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keepNext w:val="0"/>
        <w:spacing w:after="240" w:line="259" w:lineRule="auto"/>
      </w:pPr>
      <w:r>
        <w:rPr>
          <w:rFonts w:ascii="Arial" w:hAnsi="Arial"/>
          <w:b w:val="0"/>
          <w:i w:val="0"/>
          <w:color w:val="A6813D"/>
          <w:sz w:val="17"/>
        </w:rPr>
        <w:t>NEBIOT  /  PROJECT DOCUMENTATION</w:t>
      </w:r>
    </w:p>
    <w:p>
      <w:pPr>
        <w:jc w:val="center"/>
      </w:pPr>
      <w:r>
        <w:drawing>
          <wp:inline xmlns:a="http://schemas.openxmlformats.org/drawingml/2006/main" xmlns:pic="http://schemas.openxmlformats.org/drawingml/2006/picture">
            <wp:extent cx="5760720" cy="1918365"/>
            <wp:docPr id="1" name="Picture 1" descr="NEBIOT — English"/>
            <wp:cNvGraphicFramePr>
              <a:graphicFrameLocks noChangeAspect="1"/>
            </wp:cNvGraphicFramePr>
            <a:graphic>
              <a:graphicData uri="http://schemas.openxmlformats.org/drawingml/2006/picture">
                <pic:pic>
                  <pic:nvPicPr>
                    <pic:cNvPr id="0" name="NEBIOT-English-6000px.png"/>
                    <pic:cNvPicPr/>
                  </pic:nvPicPr>
                  <pic:blipFill>
                    <a:blip r:embed="rId11"/>
                    <a:stretch>
                      <a:fillRect/>
                    </a:stretch>
                  </pic:blipFill>
                  <pic:spPr>
                    <a:xfrm>
                      <a:off x="0" y="0"/>
                      <a:ext cx="5760720" cy="1918365"/>
                    </a:xfrm>
                    <a:prstGeom prst="rect"/>
                  </pic:spPr>
                </pic:pic>
              </a:graphicData>
            </a:graphic>
          </wp:inline>
        </w:drawing>
      </w:r>
    </w:p>
    <w:p>
      <w:pPr>
        <w:keepNext w:val="0"/>
        <w:spacing w:after="180" w:line="259" w:lineRule="auto"/>
      </w:pPr>
      <w:r>
        <w:rPr>
          <w:rFonts w:ascii="Arial" w:hAnsi="Arial"/>
          <w:b w:val="0"/>
          <w:i w:val="0"/>
          <w:color w:val="62716E"/>
          <w:sz w:val="16"/>
        </w:rPr>
        <w:t>Program authority: Nuevo Estándar Biotropical — NEBIOT S.A.S.</w:t>
      </w:r>
    </w:p>
    <w:p>
      <w:pPr>
        <w:pStyle w:val="Title"/>
        <w:spacing w:after="160"/>
        <w:pBdr>
          <w:bottom w:val="single" w:sz="8" w:color="A6813D" w:space="5"/>
        </w:pBdr>
      </w:pPr>
      <w:r>
        <w:t>Feasibility Study</w:t>
      </w:r>
    </w:p>
    <w:p>
      <w:pPr>
        <w:keepNext w:val="0"/>
        <w:spacing w:after="180" w:line="259" w:lineRule="auto"/>
      </w:pPr>
      <w:r>
        <w:rPr>
          <w:rFonts w:ascii="Arial" w:hAnsi="Arial"/>
          <w:b w:val="0"/>
          <w:i/>
          <w:color w:val="215F52"/>
          <w:sz w:val="21"/>
        </w:rPr>
        <w:t>FEASIBILITY • Substantiated design</w:t>
      </w:r>
    </w:p>
    <w:p>
      <w:pPr>
        <w:keepNext w:val="0"/>
        <w:spacing w:after="260" w:line="259" w:lineRule="auto"/>
      </w:pPr>
      <w:r>
        <w:rPr>
          <w:rFonts w:ascii="Arial" w:hAnsi="Arial"/>
          <w:b w:val="0"/>
          <w:i w:val="0"/>
          <w:color w:val="62716E"/>
          <w:sz w:val="17"/>
        </w:rPr>
        <w:t>Governing standard: NEBIOT 0.8.2   |   Template edition 1.2</w:t>
      </w:r>
    </w:p>
    <w:p>
      <w:pPr>
        <w:keepNext w:val="0"/>
        <w:spacing w:after="200" w:line="259" w:lineRule="auto"/>
      </w:pPr>
      <w:r>
        <w:rPr>
          <w:rFonts w:ascii="Arial" w:hAnsi="Arial"/>
          <w:b w:val="0"/>
          <w:i/>
          <w:color w:val="215F52"/>
          <w:sz w:val="32"/>
        </w:rPr>
        <w:t>[PROJECT NAME]</w:t>
      </w:r>
    </w:p>
    <w:p>
      <w:pPr>
        <w:spacing w:after="80"/>
      </w:pPr>
      <w:r>
        <w:rPr>
          <w:rFonts w:ascii="Arial" w:hAnsi="Arial"/>
          <w:b/>
          <w:i w:val="0"/>
          <w:color w:val="243A36"/>
          <w:sz w:val="18"/>
        </w:rPr>
        <w:t xml:space="preserve">Project ID: </w:t>
      </w:r>
      <w:r>
        <w:rPr>
          <w:rFonts w:ascii="Arial" w:hAnsi="Arial"/>
          <w:b w:val="0"/>
          <w:i/>
          <w:color w:val="62716E"/>
          <w:sz w:val="18"/>
        </w:rPr>
        <w:t>[Enter]</w:t>
      </w:r>
    </w:p>
    <w:p>
      <w:pPr>
        <w:spacing w:after="80"/>
      </w:pPr>
      <w:r>
        <w:rPr>
          <w:rFonts w:ascii="Arial" w:hAnsi="Arial"/>
          <w:b/>
          <w:i w:val="0"/>
          <w:color w:val="243A36"/>
          <w:sz w:val="18"/>
        </w:rPr>
        <w:t xml:space="preserve">Country / jurisdiction: </w:t>
      </w:r>
      <w:r>
        <w:rPr>
          <w:rFonts w:ascii="Arial" w:hAnsi="Arial"/>
          <w:b w:val="0"/>
          <w:i/>
          <w:color w:val="62716E"/>
          <w:sz w:val="18"/>
        </w:rPr>
        <w:t>[Enter]</w:t>
      </w:r>
    </w:p>
    <w:p>
      <w:pPr>
        <w:spacing w:after="80"/>
      </w:pPr>
      <w:r>
        <w:rPr>
          <w:rFonts w:ascii="Arial" w:hAnsi="Arial"/>
          <w:b/>
          <w:i w:val="0"/>
          <w:color w:val="243A36"/>
          <w:sz w:val="18"/>
        </w:rPr>
        <w:t xml:space="preserve">Project document version: </w:t>
      </w:r>
      <w:r>
        <w:rPr>
          <w:rFonts w:ascii="Arial" w:hAnsi="Arial"/>
          <w:b w:val="0"/>
          <w:i/>
          <w:color w:val="62716E"/>
          <w:sz w:val="18"/>
        </w:rPr>
        <w:t>[Enter]</w:t>
      </w:r>
    </w:p>
    <w:p>
      <w:pPr>
        <w:spacing w:after="80"/>
      </w:pPr>
      <w:r>
        <w:rPr>
          <w:rFonts w:ascii="Arial" w:hAnsi="Arial"/>
          <w:b/>
          <w:i w:val="0"/>
          <w:color w:val="243A36"/>
          <w:sz w:val="18"/>
        </w:rPr>
        <w:t xml:space="preserve">Issue date (YYYY-MM-DD): </w:t>
      </w:r>
      <w:r>
        <w:rPr>
          <w:rFonts w:ascii="Arial" w:hAnsi="Arial"/>
          <w:b w:val="0"/>
          <w:i/>
          <w:color w:val="62716E"/>
          <w:sz w:val="18"/>
        </w:rPr>
        <w:t>[Enter]</w:t>
      </w:r>
    </w:p>
    <w:p>
      <w:pPr>
        <w:keepNext w:val="0"/>
        <w:spacing w:after="100" w:line="259" w:lineRule="auto"/>
      </w:pPr>
      <w:r>
        <w:rPr>
          <w:rFonts w:ascii="Arial" w:hAnsi="Arial"/>
          <w:b w:val="0"/>
          <w:i w:val="0"/>
          <w:color w:val="215F52"/>
          <w:sz w:val="21"/>
        </w:rPr>
        <w:t>Implementing organizations and stakeholders</w:t>
      </w:r>
    </w:p>
    <w:tbl>
      <w:tblPr>
        <w:tblW w:type="auto" w:w="0"/>
        <w:jc w:val="center"/>
        <w:tblLayout w:type="fixed"/>
        <w:tblLook w:firstColumn="1" w:firstRow="1" w:lastColumn="0" w:lastRow="0" w:noHBand="0" w:noVBand="1" w:val="04A0"/>
      </w:tblPr>
      <w:tblGrid>
        <w:gridCol w:w="3249"/>
        <w:gridCol w:w="3249"/>
        <w:gridCol w:w="3249"/>
      </w:tblGrid>
      <w:tr>
        <w:trPr>
          <w:trHeight w:val="1296" w:hRule="atLeast"/>
        </w:trPr>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IMPLEMENTING ENTITY</w:t>
            </w:r>
          </w:p>
          <w:p>
            <w:pPr>
              <w:jc w:val="center"/>
            </w:pPr>
            <w:r>
              <w:rPr>
                <w:rFonts w:ascii="Arial" w:hAnsi="Arial"/>
                <w:b w:val="0"/>
                <w:i w:val="0"/>
                <w:color w:val="62716E"/>
                <w:sz w:val="16"/>
              </w:rPr>
              <w:t>[Insert authorized logo]</w:t>
            </w:r>
          </w:p>
          <w:p>
            <w:pPr>
              <w:jc w:val="center"/>
            </w:pPr>
            <w:r>
              <w:rPr>
                <w:rFonts w:ascii="Arial" w:hAnsi="Arial"/>
                <w:b w:val="0"/>
                <w:i/>
                <w:color w:val="62716E"/>
                <w:sz w:val="16"/>
              </w:rPr>
              <w:t>[Organization / role]</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PROJECT PROPONENT</w:t>
            </w:r>
          </w:p>
          <w:p>
            <w:pPr>
              <w:jc w:val="center"/>
            </w:pPr>
            <w:r>
              <w:rPr>
                <w:rFonts w:ascii="Arial" w:hAnsi="Arial"/>
                <w:b w:val="0"/>
                <w:i w:val="0"/>
                <w:color w:val="62716E"/>
                <w:sz w:val="16"/>
              </w:rPr>
              <w:t>[Insert authorized logo]</w:t>
            </w:r>
          </w:p>
          <w:p>
            <w:pPr>
              <w:jc w:val="center"/>
            </w:pPr>
            <w:r>
              <w:rPr>
                <w:rFonts w:ascii="Arial" w:hAnsi="Arial"/>
                <w:b w:val="0"/>
                <w:i/>
                <w:color w:val="62716E"/>
                <w:sz w:val="16"/>
              </w:rPr>
              <w:t>[Organization / role]</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RIGHTS HOLDERS / STAKEHOLDERS</w:t>
            </w:r>
          </w:p>
          <w:p>
            <w:pPr>
              <w:jc w:val="center"/>
            </w:pPr>
            <w:r>
              <w:rPr>
                <w:rFonts w:ascii="Arial" w:hAnsi="Arial"/>
                <w:b w:val="0"/>
                <w:i w:val="0"/>
                <w:color w:val="62716E"/>
                <w:sz w:val="16"/>
              </w:rPr>
              <w:t>[Insert authorized logo]</w:t>
            </w:r>
          </w:p>
          <w:p>
            <w:pPr>
              <w:jc w:val="center"/>
            </w:pPr>
            <w:r>
              <w:rPr>
                <w:rFonts w:ascii="Arial" w:hAnsi="Arial"/>
                <w:b w:val="0"/>
                <w:i/>
                <w:color w:val="62716E"/>
                <w:sz w:val="16"/>
              </w:rPr>
              <w:t>[Organization / role]</w:t>
            </w:r>
          </w:p>
        </w:tc>
      </w:tr>
    </w:tbl>
    <w:p>
      <w:pPr>
        <w:keepNext w:val="0"/>
        <w:spacing w:after="160" w:line="259" w:lineRule="auto"/>
      </w:pPr>
      <w:r>
        <w:rPr>
          <w:rFonts w:ascii="Arial" w:hAnsi="Arial"/>
          <w:b w:val="0"/>
          <w:i w:val="0"/>
          <w:color w:val="62716E"/>
          <w:sz w:val="16"/>
        </w:rPr>
        <w:t>Use authorized logos and identify each organization’s actual role. Logo display does not establish consent, project ownership, endorsement, validation or admission. Remove unused partner spaces from the completed submission.</w:t>
      </w:r>
    </w:p>
    <w:p>
      <w:pPr>
        <w:keepNext w:val="0"/>
        <w:spacing w:after="100" w:line="259" w:lineRule="auto"/>
      </w:pPr>
      <w:r>
        <w:rPr>
          <w:rFonts w:ascii="Arial" w:hAnsi="Arial"/>
          <w:b w:val="0"/>
          <w:i w:val="0"/>
          <w:color w:val="62716E"/>
          <w:sz w:val="15"/>
        </w:rPr>
        <w:t>The English logo wording is a translation, not a separate legal entity.</w:t>
      </w:r>
    </w:p>
    <w:p>
      <w:r>
        <w:br w:type="page"/>
      </w:r>
    </w:p>
    <w:p>
      <w:pPr>
        <w:pStyle w:val="Heading1"/>
        <w:keepNext/>
      </w:pPr>
      <w:r>
        <w:t>License and use of this template</w:t>
      </w:r>
    </w:p>
    <w:p>
      <w:pPr>
        <w:keepNext w:val="0"/>
        <w:spacing w:after="220" w:line="259" w:lineRule="auto"/>
      </w:pPr>
      <w:r>
        <w:rPr>
          <w:rFonts w:ascii="Arial" w:hAnsi="Arial"/>
          <w:b w:val="0"/>
          <w:i w:val="0"/>
          <w:color w:val="243A36"/>
          <w:sz w:val="19"/>
        </w:rPr>
        <w:t>This document is issued by Nuevo Estándar Biotropical—NEBIOT S.A.S. Henry Arellano-Peña is the methodological author of NEB001 and NEB002. Rights in NEBIOT's protected materials remain with their respective rights holders. Commercial use, reproduction, adaptation, redistribution, and sublicensing of protected material are subject to the applicable license or specific written permission from the authorized rights holder; permissions for use within the NEBIOT program shall be recorded in FRM-07 under S-21. Access to this document does not itself grant a commercial license, transfer ownership, authorize sublicensing, confer program admission, or authorize certification or issuance of environmental units. Supporting publications and third-party data, software, and images retain their respective licenses and attribution requirements; existing lawful permissions and uses permitted by applicable law remain unaffected. Authorized independent reviewers shall receive the access necessary for inspection, recalculation, and reporting under S-22, subject to the applicable permissions and confidentiality safeguards.</w:t>
      </w:r>
    </w:p>
    <w:p>
      <w:pPr>
        <w:pStyle w:val="Heading2"/>
        <w:keepNext/>
      </w:pPr>
      <w:r>
        <w:t>Completion instructions</w:t>
      </w:r>
    </w:p>
    <w:p>
      <w:pPr>
        <w:keepNext w:val="0"/>
        <w:spacing w:after="180" w:line="259" w:lineRule="auto"/>
      </w:pPr>
      <w:r>
        <w:rPr>
          <w:rFonts w:ascii="Arial" w:hAnsi="Arial"/>
          <w:b w:val="0"/>
          <w:i w:val="0"/>
          <w:color w:val="243A36"/>
          <w:sz w:val="19"/>
        </w:rPr>
        <w:t>This template organizes the evidence required for its project stage under NEBIOT Standard version 0.8.2. It does not replace the standard, its applicable methods, the approved case profile or the controlled forms. Complete the bracketed fields and expand tables or narrative areas as needed. For an inapplicable item, record a reason and the reviewer’s disposition; do not silently delete it. Identify unknown information as missing, not zero. Keep observations, assumptions, projections, verified outcomes and authorized NVEUs distinct. Requirements are assessed at the stage to which they apply; later-stage fields do not imply earlier completion.</w:t>
      </w:r>
    </w:p>
    <w:p>
      <w:pPr>
        <w:pStyle w:val="Heading2"/>
        <w:keepNext/>
      </w:pPr>
      <w:r>
        <w:t>Reference and scope</w:t>
      </w:r>
    </w:p>
    <w:p>
      <w:pPr>
        <w:keepNext w:val="0"/>
        <w:spacing w:after="200" w:line="259" w:lineRule="auto"/>
      </w:pPr>
      <w:r>
        <w:rPr>
          <w:rFonts w:ascii="Arial" w:hAnsi="Arial"/>
          <w:b w:val="0"/>
          <w:i w:val="0"/>
          <w:color w:val="243A36"/>
          <w:sz w:val="17"/>
        </w:rPr>
        <w:t>[1] NEBIOT. NEBIOT Standard, controlled version 0.8.2. NEB-DOC-000, integrated edition. Principal dependencies: NEB-CYC-001; NEB-STD-001 and Annex A; NEB-MTH-001/002; NEB-UNT-001; NEB-PRO-001; NEB-MIG-001; NEB-AUD-001; and NEB-FRM-001. All clause, equation, AP and FRM references in this template refer to that version. They are external normative dependencies, not missing sections of this template.</w:t>
      </w:r>
    </w:p>
    <w:p>
      <w:pPr>
        <w:keepNext w:val="0"/>
        <w:spacing w:after="140" w:line="259" w:lineRule="auto"/>
      </w:pPr>
      <w:r>
        <w:rPr>
          <w:rFonts w:ascii="Arial" w:hAnsi="Arial"/>
          <w:b w:val="0"/>
          <w:i w:val="0"/>
          <w:color w:val="243A36"/>
          <w:sz w:val="18"/>
        </w:rPr>
        <w:t>NIP retains the source name Nota de Idea de proyecto; “Project Idea Note” is an explanatory English rendering. PD means Project Description.</w:t>
      </w:r>
    </w:p>
    <w:p>
      <w:pPr>
        <w:keepNext w:val="0"/>
        <w:spacing w:after="0" w:line="259" w:lineRule="auto"/>
      </w:pPr>
      <w:r>
        <w:rPr>
          <w:rFonts w:ascii="Arial" w:hAnsi="Arial"/>
          <w:b w:val="0"/>
          <w:i w:val="0"/>
          <w:color w:val="243A36"/>
          <w:sz w:val="18"/>
        </w:rPr>
        <w:t>NEBIOT provides the contracted technical assessment, design and monitoring services. The named proponent and implementing entity retain project execution responsibilities under S-25; exceptional NEBIOT interests follow S-26.</w:t>
      </w:r>
    </w:p>
    <w:p>
      <w:r>
        <w:br w:type="page"/>
      </w:r>
    </w:p>
    <w:p>
      <w:pPr>
        <w:pStyle w:val="Heading1"/>
        <w:keepNext/>
      </w:pPr>
      <w:r>
        <w:t>Document control and contents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925"/>
        <w:gridCol w:w="6824"/>
      </w:tblGrid>
      <w:tr>
        <w:trPr>
          <w:trHeight w:val="374" w:hRule="atLeast"/>
          <w:tblHeader/>
        </w:trPr>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Control</w:t>
            </w:r>
          </w:p>
        </w:tc>
        <w:tc>
          <w:tcPr>
            <w:tcW w:type="dxa" w:w="682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Record</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Template</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Feasibility / 1.2 / EN</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Standard basis</w:t>
            </w:r>
          </w:p>
        </w:tc>
        <w:tc>
          <w:tcPr>
            <w:tcW w:type="dxa" w:w="6824"/>
            <w:vAlign w:val="center"/>
            <w:tcMar>
              <w:top w:w="70" w:type="dxa"/>
              <w:start w:w="85" w:type="dxa"/>
              <w:bottom w:w="70" w:type="dxa"/>
              <w:end w:w="85" w:type="dxa"/>
            </w:tcMar>
          </w:tcPr>
          <w:p>
            <w:pPr>
              <w:spacing w:after="0" w:line="250" w:lineRule="auto"/>
            </w:pPr>
            <w:r>
              <w:rPr>
                <w:rFonts w:ascii="Arial" w:hAnsi="Arial"/>
                <w:b w:val="0"/>
                <w:i w:val="0"/>
                <w:color w:val="243A36"/>
                <w:sz w:val="16"/>
              </w:rPr>
              <w:t>NEBIOT 0.8.2 / CYC-04</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Preparer / reviewer</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Distribution / restrictions</w:t>
            </w:r>
          </w:p>
        </w:tc>
        <w:tc>
          <w:tcPr>
            <w:tcW w:type="dxa" w:w="6824"/>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1852"/>
        <w:gridCol w:w="2242"/>
        <w:gridCol w:w="5654"/>
      </w:tblGrid>
      <w:tr>
        <w:trPr>
          <w:trHeight w:val="360" w:hRule="atLeast"/>
          <w:tblHeader/>
        </w:trPr>
        <w:tc>
          <w:tcPr>
            <w:tcW w:type="dxa" w:w="185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Version</w:t>
            </w:r>
          </w:p>
        </w:tc>
        <w:tc>
          <w:tcPr>
            <w:tcW w:type="dxa" w:w="224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Date</w:t>
            </w:r>
          </w:p>
        </w:tc>
        <w:tc>
          <w:tcPr>
            <w:tcW w:type="dxa" w:w="565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Change and authority</w:t>
            </w:r>
          </w:p>
        </w:tc>
      </w:tr>
      <w:tr>
        <w:trPr>
          <w:trHeight w:val="360" w:hRule="atLeast"/>
        </w:trPr>
        <w:tc>
          <w:tcPr>
            <w:tcW w:type="dxa" w:w="185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224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565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r>
    </w:tbl>
    <w:p>
      <w:pPr>
        <w:keepNext w:val="0"/>
        <w:spacing w:after="60" w:line="259" w:lineRule="auto"/>
      </w:pPr>
      <w:r>
        <w:rPr>
          <w:rFonts w:ascii="Arial" w:hAnsi="Arial"/>
          <w:b w:val="0"/>
          <w:i w:val="0"/>
          <w:color w:val="243A36"/>
          <w:sz w:val="2"/>
        </w:rPr>
      </w:r>
    </w:p>
    <w:p>
      <w:pPr>
        <w:keepNext w:val="0"/>
        <w:spacing w:after="100" w:line="259" w:lineRule="auto"/>
      </w:pPr>
      <w:r>
        <w:rPr>
          <w:rFonts w:ascii="Arial" w:hAnsi="Arial"/>
          <w:b/>
          <w:i w:val="0"/>
          <w:color w:val="215F52"/>
          <w:sz w:val="22"/>
        </w:rPr>
        <w:t>Contents</w:t>
      </w:r>
    </w:p>
    <w:p>
      <w:pPr>
        <w:spacing w:after="60" w:line="252" w:lineRule="auto"/>
      </w:pPr>
      <w:hyperlink w:anchor="Section_1">
        <w:r>
          <w:rPr>
            <w:rFonts w:ascii="Arial" w:hAnsi="Arial"/>
            <w:sz w:val="19"/>
            <w:color w:val="215F52"/>
          </w:rPr>
          <w:t>01  Feasibility mandate and prior-stage reconciliation</w:t>
        </w:r>
      </w:hyperlink>
    </w:p>
    <w:p>
      <w:pPr>
        <w:spacing w:after="60" w:line="252" w:lineRule="auto"/>
      </w:pPr>
      <w:hyperlink w:anchor="Section_2">
        <w:r>
          <w:rPr>
            <w:rFonts w:ascii="Arial" w:hAnsi="Arial"/>
            <w:sz w:val="19"/>
            <w:color w:val="215F52"/>
          </w:rPr>
          <w:t>02  Authority, responsibilities and implementation rights</w:t>
        </w:r>
      </w:hyperlink>
    </w:p>
    <w:p>
      <w:pPr>
        <w:spacing w:after="60" w:line="252" w:lineRule="auto"/>
      </w:pPr>
      <w:hyperlink w:anchor="Section_3">
        <w:r>
          <w:rPr>
            <w:rFonts w:ascii="Arial" w:hAnsi="Arial"/>
            <w:sz w:val="19"/>
            <w:color w:val="215F52"/>
          </w:rPr>
          <w:t>03  Boundary, strata and qualified spatial inputs</w:t>
        </w:r>
      </w:hyperlink>
    </w:p>
    <w:p>
      <w:pPr>
        <w:spacing w:after="60" w:line="252" w:lineRule="auto"/>
      </w:pPr>
      <w:hyperlink w:anchor="Section_4">
        <w:r>
          <w:rPr>
            <w:rFonts w:ascii="Arial" w:hAnsi="Arial"/>
            <w:sz w:val="19"/>
            <w:color w:val="215F52"/>
          </w:rPr>
          <w:t>04  NEB001 characterization and classification evidence</w:t>
        </w:r>
      </w:hyperlink>
    </w:p>
    <w:p>
      <w:pPr>
        <w:spacing w:after="60" w:line="252" w:lineRule="auto"/>
      </w:pPr>
      <w:hyperlink w:anchor="Section_5">
        <w:r>
          <w:rPr>
            <w:rFonts w:ascii="Arial" w:hAnsi="Arial"/>
            <w:sz w:val="19"/>
            <w:color w:val="215F52"/>
          </w:rPr>
          <w:t>05  NEB002 material reference and evidence pathway</w:t>
        </w:r>
      </w:hyperlink>
    </w:p>
    <w:p>
      <w:pPr>
        <w:spacing w:after="60" w:line="252" w:lineRule="auto"/>
      </w:pPr>
      <w:hyperlink w:anchor="Section_6">
        <w:r>
          <w:rPr>
            <w:rFonts w:ascii="Arial" w:hAnsi="Arial"/>
            <w:sz w:val="19"/>
            <w:color w:val="215F52"/>
          </w:rPr>
          <w:t>06  Baseline, interventions and continuing additionality</w:t>
        </w:r>
      </w:hyperlink>
    </w:p>
    <w:p>
      <w:pPr>
        <w:spacing w:after="60" w:line="252" w:lineRule="auto"/>
      </w:pPr>
      <w:hyperlink w:anchor="Section_7">
        <w:r>
          <w:rPr>
            <w:rFonts w:ascii="Arial" w:hAnsi="Arial"/>
            <w:sz w:val="19"/>
            <w:color w:val="215F52"/>
          </w:rPr>
          <w:t>07  Quantification, parameters and uncertainty</w:t>
        </w:r>
      </w:hyperlink>
    </w:p>
    <w:p>
      <w:pPr>
        <w:spacing w:after="60" w:line="252" w:lineRule="auto"/>
      </w:pPr>
      <w:hyperlink w:anchor="Section_8">
        <w:r>
          <w:rPr>
            <w:rFonts w:ascii="Arial" w:hAnsi="Arial"/>
            <w:sz w:val="19"/>
            <w:color w:val="215F52"/>
          </w:rPr>
          <w:t>08  Leakage, risk, liabilities and reserve design</w:t>
        </w:r>
      </w:hyperlink>
    </w:p>
    <w:p>
      <w:pPr>
        <w:spacing w:after="60" w:line="252" w:lineRule="auto"/>
      </w:pPr>
      <w:hyperlink w:anchor="Section_9">
        <w:r>
          <w:rPr>
            <w:rFonts w:ascii="Arial" w:hAnsi="Arial"/>
            <w:sz w:val="19"/>
            <w:color w:val="215F52"/>
          </w:rPr>
          <w:t>09  Safeguards, consent, benefits and overlapping claims</w:t>
        </w:r>
      </w:hyperlink>
    </w:p>
    <w:p>
      <w:pPr>
        <w:spacing w:after="60" w:line="252" w:lineRule="auto"/>
      </w:pPr>
      <w:hyperlink w:anchor="Section_10">
        <w:r>
          <w:rPr>
            <w:rFonts w:ascii="Arial" w:hAnsi="Arial"/>
            <w:sz w:val="19"/>
            <w:color w:val="215F52"/>
          </w:rPr>
          <w:t>10  Implementation, monitoring and operational feasibility</w:t>
        </w:r>
      </w:hyperlink>
    </w:p>
    <w:p>
      <w:pPr>
        <w:spacing w:after="60" w:line="252" w:lineRule="auto"/>
      </w:pPr>
      <w:hyperlink w:anchor="Section_11">
        <w:r>
          <w:rPr>
            <w:rFonts w:ascii="Arial" w:hAnsi="Arial"/>
            <w:sz w:val="19"/>
            <w:color w:val="215F52"/>
          </w:rPr>
          <w:t>11  Project Description handover and remaining conditions</w:t>
        </w:r>
      </w:hyperlink>
    </w:p>
    <w:p>
      <w:pPr>
        <w:spacing w:after="60" w:line="252" w:lineRule="auto"/>
      </w:pPr>
      <w:hyperlink w:anchor="Section_12">
        <w:r>
          <w:rPr>
            <w:rFonts w:ascii="Arial" w:hAnsi="Arial"/>
            <w:sz w:val="19"/>
            <w:color w:val="215F52"/>
          </w:rPr>
          <w:t>12  Evidence, annexes and references</w:t>
        </w:r>
      </w:hyperlink>
    </w:p>
    <w:p>
      <w:pPr>
        <w:spacing w:after="60" w:line="252" w:lineRule="auto"/>
      </w:pPr>
      <w:hyperlink w:anchor="Section_13">
        <w:r>
          <w:rPr>
            <w:rFonts w:ascii="Arial" w:hAnsi="Arial"/>
            <w:sz w:val="19"/>
            <w:color w:val="215F52"/>
          </w:rPr>
          <w:t>13  Submission, review and stage decision</w:t>
        </w:r>
      </w:hyperlink>
    </w:p>
    <w:p>
      <w:pPr>
        <w:spacing w:after="60"/>
      </w:pPr>
      <w:hyperlink w:anchor="account_annex">
        <w:r>
          <w:rPr>
            <w:color w:val="215F52"/>
          </w:rPr>
          <w:t>A. Ex-ante, ex-post and migration account attachments</w:t>
        </w:r>
      </w:hyperlink>
    </w:p>
    <w:p>
      <w:pPr>
        <w:spacing w:after="80"/>
      </w:pPr>
      <w:hyperlink w:anchor="calc_register" w:history="1">
        <w:r>
          <w:rPr>
            <w:color w:val="215F52"/>
          </w:rPr>
          <w:t>CALC  Calculation traceability and notation</w:t>
        </w:r>
      </w:hyperlink>
    </w:p>
    <w:p>
      <w:r>
        <w:br w:type="page"/>
      </w:r>
    </w:p>
    <w:p>
      <w:bookmarkStart w:id="101" w:name="Section_1"/>
      <w:pPr>
        <w:pStyle w:val="Heading1"/>
        <w:keepNext/>
      </w:pPr>
      <w:r>
        <w:t>01  Feasibility mandate and prior-stage reconciliation</w:t>
      </w:r>
      <w:bookmarkEnd w:id="101"/>
    </w:p>
    <w:p>
      <w:pPr>
        <w:keepNext/>
        <w:spacing w:after="180" w:line="259" w:lineRule="auto"/>
      </w:pPr>
      <w:r>
        <w:rPr>
          <w:rFonts w:ascii="Arial" w:hAnsi="Arial"/>
          <w:b w:val="0"/>
          <w:i w:val="0"/>
          <w:color w:val="62716E"/>
          <w:sz w:val="15"/>
        </w:rPr>
        <w:t>[1] Basis: CYC-01; CYC-04; S-18; S-25; FRM-06</w:t>
      </w:r>
    </w:p>
    <w:p>
      <w:pPr>
        <w:pStyle w:val="Heading2"/>
        <w:keepNext/>
      </w:pPr>
      <w:r>
        <w:t>Incoming records and changes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925"/>
        <w:gridCol w:w="3412"/>
        <w:gridCol w:w="3412"/>
      </w:tblGrid>
      <w:tr>
        <w:trPr>
          <w:trHeight w:val="446" w:hRule="atLeast"/>
          <w:tblHeader/>
        </w:trPr>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Prefeasibility / decision ID</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Condition, finding or change</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Evidence of closure / impact</w:t>
            </w:r>
          </w:p>
        </w:tc>
      </w:tr>
      <w:tr>
        <w:trPr>
          <w:trHeight w:val="446"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Selected design and scope of feasibility</w:t>
      </w:r>
    </w:p>
    <w:p>
      <w:pPr>
        <w:keepNext/>
        <w:spacing w:after="100" w:line="259" w:lineRule="auto"/>
      </w:pPr>
      <w:r>
        <w:rPr>
          <w:rFonts w:ascii="Arial" w:hAnsi="Arial"/>
          <w:b w:val="0"/>
          <w:i w:val="0"/>
          <w:color w:val="62716E"/>
          <w:sz w:val="18"/>
        </w:rPr>
        <w:t>Identify the selected activities, ecosystem and study boundaries, methods considered, intended attributes and funded investigations. Distinguish what has actually been tested from planned work.</w:t>
      </w:r>
    </w:p>
    <w:tbl>
      <w:tblPr>
        <w:tblW w:type="auto" w:w="0"/>
        <w:tblLook w:firstColumn="1" w:firstRow="1" w:lastColumn="0" w:lastRow="0" w:noHBand="0" w:noVBand="1" w:val="04A0"/>
      </w:tblPr>
      <w:tblGrid>
        <w:gridCol w:w="9746"/>
      </w:tblGrid>
      <w:tr>
        <w:trPr>
          <w:trHeight w:val="850"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pPr>
        <w:pStyle w:val="Heading2"/>
        <w:keepNext/>
      </w:pPr>
      <w:r>
        <w:t>Decision criteria</w:t>
      </w:r>
    </w:p>
    <w:p>
      <w:pPr>
        <w:keepNext/>
        <w:spacing w:after="100" w:line="259" w:lineRule="auto"/>
      </w:pPr>
      <w:r>
        <w:rPr>
          <w:rFonts w:ascii="Arial" w:hAnsi="Arial"/>
          <w:b w:val="0"/>
          <w:i w:val="0"/>
          <w:color w:val="62716E"/>
          <w:sz w:val="18"/>
        </w:rPr>
        <w:t>Reference the approved application profile and case-specific acceptance criteria. Record thresholds and their approval evidence; do not infer them from examples.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02" w:name="Section_2"/>
      <w:pPr>
        <w:pStyle w:val="Heading1"/>
        <w:keepNext/>
      </w:pPr>
      <w:r>
        <w:t>02  Authority, responsibilities and implementation rights</w:t>
      </w:r>
      <w:bookmarkEnd w:id="102"/>
    </w:p>
    <w:p>
      <w:pPr>
        <w:keepNext/>
        <w:spacing w:after="180" w:line="259" w:lineRule="auto"/>
      </w:pPr>
      <w:r>
        <w:rPr>
          <w:rFonts w:ascii="Arial" w:hAnsi="Arial"/>
          <w:b w:val="0"/>
          <w:i w:val="0"/>
          <w:color w:val="62716E"/>
          <w:sz w:val="15"/>
        </w:rPr>
        <w:t>[1] Basis: S-04; S-05; S-12; S-25; S-26; AO-02; AO-03; FRM-07</w:t>
      </w:r>
    </w:p>
    <w:p>
      <w:pPr>
        <w:pStyle w:val="Heading2"/>
        <w:keepNext/>
      </w:pPr>
      <w:r>
        <w:t>Responsibility and authorization register</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437"/>
        <w:gridCol w:w="2730"/>
        <w:gridCol w:w="4582"/>
      </w:tblGrid>
      <w:tr>
        <w:trPr>
          <w:trHeight w:val="446" w:hRule="atLeast"/>
          <w:tblHeader/>
        </w:trPr>
        <w:tc>
          <w:tcPr>
            <w:tcW w:type="dxa" w:w="243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Role</w:t>
            </w:r>
          </w:p>
        </w:tc>
        <w:tc>
          <w:tcPr>
            <w:tcW w:type="dxa" w:w="273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Entity / named lead</w:t>
            </w:r>
          </w:p>
        </w:tc>
        <w:tc>
          <w:tcPr>
            <w:tcW w:type="dxa" w:w="458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Mandate, scope and evidence</w:t>
            </w:r>
          </w:p>
        </w:tc>
      </w:tr>
      <w:tr>
        <w:trPr>
          <w:trHeight w:val="446" w:hRule="atLeast"/>
        </w:trPr>
        <w:tc>
          <w:tcPr>
            <w:tcW w:type="dxa" w:w="243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Project proponent</w:t>
            </w:r>
          </w:p>
        </w:tc>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58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437"/>
            <w:vAlign w:val="center"/>
            <w:tcMar>
              <w:top w:w="70" w:type="dxa"/>
              <w:start w:w="85" w:type="dxa"/>
              <w:bottom w:w="70" w:type="dxa"/>
              <w:end w:w="85" w:type="dxa"/>
            </w:tcMar>
          </w:tcPr>
          <w:p>
            <w:pPr>
              <w:spacing w:after="0" w:line="250" w:lineRule="auto"/>
            </w:pPr>
            <w:r>
              <w:rPr>
                <w:rFonts w:ascii="Arial" w:hAnsi="Arial"/>
                <w:b w:val="0"/>
                <w:i w:val="0"/>
                <w:color w:val="243A36"/>
                <w:sz w:val="16"/>
              </w:rPr>
              <w:t>Rights holders</w:t>
            </w:r>
          </w:p>
        </w:tc>
        <w:tc>
          <w:tcPr>
            <w:tcW w:type="dxa" w:w="273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458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243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Implementing entity</w:t>
            </w:r>
          </w:p>
        </w:tc>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58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437"/>
            <w:vAlign w:val="center"/>
            <w:tcMar>
              <w:top w:w="70" w:type="dxa"/>
              <w:start w:w="85" w:type="dxa"/>
              <w:bottom w:w="70" w:type="dxa"/>
              <w:end w:w="85" w:type="dxa"/>
            </w:tcMar>
          </w:tcPr>
          <w:p>
            <w:pPr>
              <w:spacing w:after="0" w:line="250" w:lineRule="auto"/>
            </w:pPr>
            <w:r>
              <w:rPr>
                <w:rFonts w:ascii="Arial" w:hAnsi="Arial"/>
                <w:b w:val="0"/>
                <w:i w:val="0"/>
                <w:color w:val="243A36"/>
                <w:sz w:val="16"/>
              </w:rPr>
              <w:t>NEBIOT technical lead</w:t>
            </w:r>
          </w:p>
        </w:tc>
        <w:tc>
          <w:tcPr>
            <w:tcW w:type="dxa" w:w="273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458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Rights and legal applicability</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022"/>
        <w:gridCol w:w="3705"/>
      </w:tblGrid>
      <w:tr>
        <w:trPr>
          <w:trHeight w:val="446" w:hRule="atLeast"/>
          <w:tblHeader/>
        </w:trPr>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Right / obligation / instrument</w:t>
            </w:r>
          </w:p>
        </w:tc>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Holder, scope and validity</w:t>
            </w:r>
          </w:p>
        </w:tc>
        <w:tc>
          <w:tcPr>
            <w:tcW w:type="dxa" w:w="370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Evidence / unresolved issue / action</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70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70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70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70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Conflicts, permissions and responsibility gaps</w:t>
      </w:r>
    </w:p>
    <w:p>
      <w:pPr>
        <w:keepNext/>
        <w:spacing w:after="100" w:line="259" w:lineRule="auto"/>
      </w:pPr>
      <w:r>
        <w:rPr>
          <w:rFonts w:ascii="Arial" w:hAnsi="Arial"/>
          <w:b w:val="0"/>
          <w:i w:val="0"/>
          <w:color w:val="62716E"/>
          <w:sz w:val="18"/>
        </w:rPr>
        <w:t>Record lawful access, protected-material permissions, affected consent and any exceptional NEBIOT interest. Assign execution, finance, monitoring, incidents and remedy without gaps.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03" w:name="Section_3"/>
      <w:pPr>
        <w:pStyle w:val="Heading1"/>
        <w:keepNext/>
      </w:pPr>
      <w:r>
        <w:t>03  Boundary, strata and qualified spatial inputs</w:t>
      </w:r>
      <w:bookmarkEnd w:id="103"/>
    </w:p>
    <w:p>
      <w:pPr>
        <w:keepNext/>
        <w:spacing w:after="180" w:line="259" w:lineRule="auto"/>
      </w:pPr>
      <w:r>
        <w:rPr>
          <w:rFonts w:ascii="Arial" w:hAnsi="Arial"/>
          <w:b w:val="0"/>
          <w:i w:val="0"/>
          <w:color w:val="62716E"/>
          <w:sz w:val="15"/>
        </w:rPr>
        <w:t>[1] Basis: S-03; S-06; T-03; MIG-13; MIG-14; MIG-15; FRM-04/M</w:t>
      </w:r>
    </w:p>
    <w:p>
      <w:pPr>
        <w:pStyle w:val="Heading2"/>
        <w:keepNext/>
      </w:pPr>
      <w:r>
        <w:t>Project map / spatial evidence</w:t>
      </w:r>
    </w:p>
    <w:p>
      <w:pPr>
        <w:keepNext/>
        <w:spacing w:after="100" w:line="259" w:lineRule="auto"/>
      </w:pPr>
      <w:r>
        <w:rPr>
          <w:rFonts w:ascii="Arial" w:hAnsi="Arial"/>
          <w:b w:val="0"/>
          <w:i w:val="0"/>
          <w:color w:val="62716E"/>
          <w:sz w:val="17"/>
        </w:rPr>
        <w:t>Insert a readable project map. Identify boundary version, coordinate reference system, scale, observation date, data source, legend and restrictions on disclosure. A screening map does not establish rights or an outcome boundary.</w:t>
      </w:r>
    </w:p>
    <w:tbl>
      <w:tblPr>
        <w:tblW w:type="auto" w:w="0"/>
        <w:tblLook w:firstColumn="1" w:firstRow="1" w:lastColumn="0" w:lastRow="0" w:noHBand="0" w:noVBand="1" w:val="04A0"/>
      </w:tblPr>
      <w:tblGrid>
        <w:gridCol w:w="9746"/>
      </w:tblGrid>
      <w:tr>
        <w:trPr>
          <w:trHeight w:val="2088" w:hRule="atLeast"/>
        </w:trPr>
        <w:tc>
          <w:tcPr>
            <w:tcW w:type="dxa" w:w="9746"/>
            <w:shd w:fill="F1F5F2"/>
            <w:vAlign w:val="center"/>
          </w:tcPr>
          <w:p>
            <w:pPr>
              <w:jc w:val="center"/>
            </w:pPr>
            <w:r>
              <w:rPr>
                <w:rFonts w:ascii="Arial" w:hAnsi="Arial"/>
                <w:b/>
                <w:i w:val="0"/>
                <w:color w:val="62716E"/>
                <w:sz w:val="20"/>
              </w:rPr>
              <w:t>[INSERT PROJECT MAP]</w:t>
            </w:r>
          </w:p>
        </w:tc>
      </w:tr>
    </w:tbl>
    <w:p>
      <w:pPr>
        <w:keepNext w:val="0"/>
        <w:spacing w:after="80" w:line="259" w:lineRule="auto"/>
      </w:pPr>
      <w:r>
        <w:rPr>
          <w:rFonts w:ascii="Arial" w:hAnsi="Arial"/>
          <w:b w:val="0"/>
          <w:i w:val="0"/>
          <w:color w:val="243A36"/>
          <w:sz w:val="2"/>
        </w:rPr>
      </w:r>
    </w:p>
    <w:p>
      <w:pPr>
        <w:pStyle w:val="Heading2"/>
        <w:keepNext/>
      </w:pPr>
      <w:r>
        <w:t>Area and strata reconciliation</w:t>
      </w:r>
    </w:p>
    <w:p>
      <w:pPr>
        <w:keepNext/>
        <w:spacing w:before="40" w:after="60"/>
      </w:pPr>
      <w:r>
        <w:rPr>
          <w:rFonts w:ascii="Lato" w:hAnsi="Lato"/>
          <w:color w:val="315B50"/>
          <w:sz w:val="18"/>
        </w:rPr>
        <w:t>FEASIBILITY-T06 / Calculation notation</w:t>
      </w:r>
    </w:p>
    <w:p>
      <w:pPr>
        <w:keepNext/>
        <w:spacing w:before="40" w:after="60"/>
      </w:pPr>
      <m:oMath>
        <m:sSub>
          <m:e>
            <m:r>
              <w:rPr>
                <w:sz w:val="18"/>
              </w:rPr>
              <m:t>A</m:t>
            </m:r>
          </m:e>
          <m:sub>
            <m:r>
              <w:rPr>
                <w:sz w:val="18"/>
              </w:rPr>
              <m:t>i</m:t>
            </m:r>
            <m:r>
              <w:rPr>
                <w:sz w:val="18"/>
              </w:rPr>
              <m:rPr>
                <m:sty m:val="p"/>
              </m:rPr>
              <m:t>,</m:t>
            </m:r>
            <m:r>
              <w:rPr>
                <w:sz w:val="18"/>
              </w:rPr>
              <m:t>t</m:t>
            </m:r>
          </m:sub>
        </m:sSub>
        <m:r>
          <w:rPr>
            <w:sz w:val="18"/>
          </w:rPr>
          <m:rPr>
            <m:sty m:val="p"/>
          </m:rPr>
          <m:t>=</m:t>
        </m:r>
        <m:f>
          <m:fPr>
            <m:type m:val="bar"/>
          </m:fPr>
          <m:num>
            <m:sSub>
              <m:e>
                <m:r>
                  <w:rPr>
                    <w:sz w:val="18"/>
                  </w:rPr>
                  <m:t>n</m:t>
                </m:r>
              </m:e>
              <m:sub>
                <m:r>
                  <w:rPr>
                    <w:sz w:val="18"/>
                  </w:rPr>
                  <m:t>i</m:t>
                </m:r>
                <m:r>
                  <w:rPr>
                    <w:sz w:val="18"/>
                  </w:rPr>
                  <m:rPr>
                    <m:sty m:val="p"/>
                  </m:rPr>
                  <m:t>,</m:t>
                </m:r>
                <m:r>
                  <w:rPr>
                    <w:sz w:val="18"/>
                  </w:rPr>
                  <m:t>t</m:t>
                </m:r>
              </m:sub>
            </m:sSub>
            <m:sSub>
              <m:e>
                <m:r>
                  <w:rPr>
                    <w:sz w:val="18"/>
                  </w:rPr>
                  <m:t>a</m:t>
                </m:r>
              </m:e>
              <m:sub>
                <m:r>
                  <w:rPr>
                    <w:sz w:val="18"/>
                  </w:rPr>
                  <m:rPr>
                    <m:sty m:val="p"/>
                  </m:rPr>
                  <m:t>c</m:t>
                </m:r>
                <m:r>
                  <w:rPr>
                    <w:sz w:val="18"/>
                  </w:rPr>
                  <m:rPr>
                    <m:sty m:val="p"/>
                  </m:rPr>
                  <m:t>e</m:t>
                </m:r>
                <m:r>
                  <w:rPr>
                    <w:sz w:val="18"/>
                  </w:rPr>
                  <m:rPr>
                    <m:sty m:val="p"/>
                  </m:rPr>
                  <m:t>l</m:t>
                </m:r>
                <m:r>
                  <w:rPr>
                    <w:sz w:val="18"/>
                  </w:rPr>
                  <m:rPr>
                    <m:sty m:val="p"/>
                  </m:rPr>
                  <m:t>l</m:t>
                </m:r>
              </m:sub>
            </m:sSub>
          </m:num>
          <m:den>
            <m:sSub>
              <m:e>
                <m:r>
                  <w:rPr>
                    <w:sz w:val="18"/>
                  </w:rPr>
                  <m:t>k</m:t>
                </m:r>
              </m:e>
              <m:sub>
                <m:r>
                  <w:rPr>
                    <w:sz w:val="18"/>
                  </w:rPr>
                  <m:t>A</m:t>
                </m:r>
              </m:sub>
            </m:sSub>
          </m:den>
        </m:f>
        <m:r>
          <w:rPr>
            <w:sz w:val="18"/>
          </w:rPr>
          <m:rPr>
            <m:sty m:val="p"/>
          </m:rPr>
          <m:t>,</m:t>
        </m:r>
        <m:r>
          <w:rPr>
            <w:sz w:val="18"/>
          </w:rPr>
          <m:t>  </m:t>
        </m:r>
        <m:sSub>
          <m:e>
            <m:r>
              <w:rPr>
                <w:sz w:val="18"/>
              </w:rPr>
              <m:t>k</m:t>
            </m:r>
          </m:e>
          <m:sub>
            <m:r>
              <w:rPr>
                <w:sz w:val="18"/>
              </w:rPr>
              <m:t>A</m:t>
            </m:r>
          </m:sub>
        </m:sSub>
        <m:r>
          <w:rPr>
            <w:sz w:val="18"/>
          </w:rPr>
          <m:rPr>
            <m:sty m:val="p"/>
          </m:rPr>
          <m:t>=</m:t>
        </m:r>
        <m:sSup>
          <m:e>
            <m:r>
              <w:rPr>
                <w:sz w:val="18"/>
              </w:rPr>
              <m:t>10</m:t>
            </m:r>
          </m:e>
          <m:sup>
            <m:r>
              <w:rPr>
                <w:sz w:val="18"/>
              </w:rPr>
              <m:t>4</m:t>
            </m:r>
          </m:sup>
        </m:sSup>
        <m:r>
          <w:rPr>
            <w:sz w:val="18"/>
          </w:rPr>
          <m:t> </m:t>
        </m:r>
        <m:sSup>
          <m:e>
            <m:r>
              <w:rPr>
                <w:sz w:val="18"/>
              </w:rPr>
              <m:rPr>
                <m:sty m:val="p"/>
              </m:rPr>
              <m:t>m</m:t>
            </m:r>
          </m:e>
          <m:sup>
            <m:r>
              <w:rPr>
                <w:sz w:val="18"/>
              </w:rPr>
              <m:rPr>
                <m:sty m:val="p"/>
              </m:rPr>
              <m:t>2</m:t>
            </m:r>
          </m:sup>
        </m:sSup>
        <m:r>
          <w:rPr>
            <w:sz w:val="18"/>
          </w:rPr>
          <m:rPr>
            <m:sty m:val="p"/>
          </m:rPr>
          <m:t> </m:t>
        </m:r>
        <m:r>
          <w:rPr>
            <w:sz w:val="18"/>
          </w:rPr>
          <m:rPr>
            <m:sty m:val="p"/>
          </m:rPr>
          <m:t>h</m:t>
        </m:r>
        <m:sSup>
          <m:e>
            <m:r>
              <w:rPr>
                <w:sz w:val="18"/>
              </w:rPr>
              <m:rPr>
                <m:sty m:val="p"/>
              </m:rPr>
              <m:t>a</m:t>
            </m:r>
          </m:e>
          <m:sup>
            <m:r>
              <w:rPr>
                <w:sz w:val="18"/>
              </w:rPr>
              <m:rPr>
                <m:sty m:val="p"/>
              </m:rPr>
              <m:t>−</m:t>
            </m:r>
            <m:r>
              <w:rPr>
                <w:sz w:val="18"/>
              </w:rPr>
              <m:rPr>
                <m:sty m:val="p"/>
              </m:rPr>
              <m:t>1</m:t>
            </m:r>
          </m:sup>
        </m:sSup>
      </m:oMath>
    </w:p>
    <w:p>
      <w:pPr>
        <w:keepNext/>
        <w:spacing w:before="40" w:after="60"/>
      </w:pPr>
      <w:r>
        <w:rPr>
          <w:rFonts w:ascii="Lato" w:hAnsi="Lato"/>
          <w:color w:val="315B50"/>
          <w:sz w:val="16"/>
        </w:rPr>
        <w:t>n is a pixel count; a_cell is pixel area in m2; A is area in ha. The PIXELS route uses the displayed geometric conversion. Direct area is a documented input. Net class change is not gross deforestation.</w:t>
      </w:r>
    </w:p>
    <w:p>
      <w:pPr>
        <w:keepNext/>
        <w:spacing w:before="40" w:after="60"/>
      </w:pPr>
      <w:r>
        <w:rPr>
          <w:rFonts w:ascii="Lato" w:hAnsi="Lato"/>
          <w:color w:val="315B50"/>
          <w:sz w:val="14"/>
        </w:rPr>
        <w:t>Basis: M01; MIG-13; MIG-14 | Workbook: Spatial!F:I; Profile!B15</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217"/>
        <w:gridCol w:w="3510"/>
      </w:tblGrid>
      <w:tr>
        <w:trPr>
          <w:trHeight w:val="446" w:hRule="atLeast"/>
          <w:tblHeader/>
        </w:trPr>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Domain / stratum / mask</w:t>
            </w:r>
          </w:p>
          <w:p>
            <w:pPr>
              <w:spacing w:before="40" w:after="40"/>
            </w:pPr>
            <m:oMath>
              <m:r>
                <w:rPr>
                  <w:sz w:val="16"/>
                  <w:color w:val="173E34"/>
                </w:rPr>
                <m:t>i</m:t>
              </m:r>
              <m:r>
                <w:rPr>
                  <w:sz w:val="16"/>
                  <w:color w:val="173E34"/>
                </w:rPr>
                <m:rPr>
                  <m:sty m:val="p"/>
                </m:rPr>
                <m:t>,</m:t>
              </m:r>
              <m:r>
                <w:rPr>
                  <w:sz w:val="16"/>
                  <w:color w:val="173E34"/>
                </w:rPr>
                <m:t> </m:t>
              </m:r>
              <m:r>
                <w:rPr>
                  <w:sz w:val="16"/>
                  <w:color w:val="173E34"/>
                </w:rPr>
                <m:t>t</m:t>
              </m:r>
            </m:oMath>
          </w:p>
        </w:tc>
        <w:tc>
          <w:tcPr>
            <w:tcW w:type="dxa" w:w="321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Area, unit and boundary version</w:t>
            </w:r>
          </w:p>
          <w:p>
            <w:pPr>
              <w:spacing w:before="40" w:after="40"/>
            </w:pPr>
            <m:oMath>
              <m:sSub>
                <m:e>
                  <m:r>
                    <w:rPr>
                      <w:sz w:val="16"/>
                      <w:color w:val="173E34"/>
                    </w:rPr>
                    <m:t>A</m:t>
                  </m:r>
                </m:e>
                <m:sub>
                  <m:r>
                    <w:rPr>
                      <w:sz w:val="16"/>
                      <w:color w:val="173E34"/>
                    </w:rPr>
                    <m:t>i</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n</m:t>
                  </m:r>
                </m:e>
                <m:sub>
                  <m:r>
                    <w:rPr>
                      <w:sz w:val="16"/>
                      <w:color w:val="173E34"/>
                    </w:rPr>
                    <m:t>i</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a</m:t>
                  </m:r>
                </m:e>
                <m:sub>
                  <m:r>
                    <w:rPr>
                      <w:sz w:val="16"/>
                      <w:color w:val="173E34"/>
                    </w:rPr>
                    <m:rPr>
                      <m:sty m:val="p"/>
                    </m:rPr>
                    <m:t>c</m:t>
                  </m:r>
                  <m:r>
                    <w:rPr>
                      <w:sz w:val="16"/>
                      <w:color w:val="173E34"/>
                    </w:rPr>
                    <m:rPr>
                      <m:sty m:val="p"/>
                    </m:rPr>
                    <m:t>e</m:t>
                  </m:r>
                  <m:r>
                    <w:rPr>
                      <w:sz w:val="16"/>
                      <w:color w:val="173E34"/>
                    </w:rPr>
                    <m:rPr>
                      <m:sty m:val="p"/>
                    </m:rPr>
                    <m:t>l</m:t>
                  </m:r>
                  <m:r>
                    <w:rPr>
                      <w:sz w:val="16"/>
                      <w:color w:val="173E34"/>
                    </w:rPr>
                    <m:rPr>
                      <m:sty m:val="p"/>
                    </m:rPr>
                    <m:t>l</m:t>
                  </m:r>
                </m:sub>
              </m:sSub>
            </m:oMath>
          </w:p>
        </w:tc>
        <w:tc>
          <w:tcPr>
            <w:tcW w:type="dxa" w:w="351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Overlap, exclusions and evidence</w:t>
            </w:r>
          </w:p>
          <w:p>
            <w:pPr>
              <w:spacing w:before="40" w:after="40"/>
            </w:pPr>
            <m:oMath>
              <m:r>
                <w:rPr>
                  <w:sz w:val="16"/>
                  <w:color w:val="173E34"/>
                </w:rPr>
                <m:rPr>
                  <m:nor/>
                  <m:sty m:val="p"/>
                </m:rPr>
                <m:t>mask</m:t>
              </m:r>
              <m:r>
                <w:rPr>
                  <w:sz w:val="16"/>
                  <w:color w:val="173E34"/>
                </w:rPr>
                <m:rPr>
                  <m:sty m:val="p"/>
                </m:rPr>
                <m:t>,</m:t>
              </m:r>
              <m:r>
                <w:rPr>
                  <w:sz w:val="16"/>
                  <w:color w:val="173E34"/>
                </w:rPr>
                <m:t> </m:t>
              </m:r>
              <m:r>
                <w:rPr>
                  <w:sz w:val="16"/>
                  <w:color w:val="173E34"/>
                </w:rPr>
                <m:rPr>
                  <m:nor/>
                  <m:sty m:val="p"/>
                </m:rPr>
                <m:t>scope</m:t>
              </m:r>
            </m:oMath>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Data identity, temporal bridge and independent assessment</w:t>
      </w:r>
    </w:p>
    <w:p>
      <w:pPr>
        <w:keepNext/>
        <w:spacing w:after="100" w:line="259" w:lineRule="auto"/>
      </w:pPr>
      <w:r>
        <w:rPr>
          <w:rFonts w:ascii="Arial" w:hAnsi="Arial"/>
          <w:b w:val="0"/>
          <w:i w:val="0"/>
          <w:color w:val="62716E"/>
          <w:sz w:val="18"/>
        </w:rPr>
        <w:t>Attach product passports with bands, units, measurement support, dates, transformations, forest definitions, event interpretation and independent reference evidence. Explain retained and replaced inputs.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04" w:name="Section_4"/>
      <w:pPr>
        <w:pStyle w:val="Heading1"/>
        <w:keepNext/>
      </w:pPr>
      <w:r>
        <w:t>04  NEB001 characterization and classification evidence</w:t>
      </w:r>
      <w:bookmarkEnd w:id="104"/>
    </w:p>
    <w:p>
      <w:pPr>
        <w:keepNext/>
        <w:spacing w:after="180" w:line="259" w:lineRule="auto"/>
      </w:pPr>
      <w:r>
        <w:rPr>
          <w:rFonts w:ascii="Arial" w:hAnsi="Arial"/>
          <w:b w:val="0"/>
          <w:i w:val="0"/>
          <w:color w:val="62716E"/>
          <w:sz w:val="15"/>
        </w:rPr>
        <w:t>[1] Basis: T-01; T-02; T-03; T-06; T-07; T-21; T-22; FRM-08</w:t>
      </w:r>
    </w:p>
    <w:p>
      <w:pPr>
        <w:pStyle w:val="Heading2"/>
        <w:keepNext/>
      </w:pPr>
      <w:r>
        <w:t>Observed vegetation and sampling</w:t>
      </w:r>
    </w:p>
    <w:p>
      <w:pPr>
        <w:keepNext/>
        <w:spacing w:before="40" w:after="60"/>
      </w:pPr>
      <w:r>
        <w:rPr>
          <w:rFonts w:ascii="Lato" w:hAnsi="Lato"/>
          <w:color w:val="315B50"/>
          <w:sz w:val="18"/>
        </w:rPr>
        <w:t>FEASIBILITY-T07 / Calculation notation</w:t>
      </w:r>
    </w:p>
    <w:p>
      <w:pPr>
        <w:keepNext/>
        <w:spacing w:before="40" w:after="60"/>
      </w:pPr>
      <m:oMath>
        <m:sSub>
          <m:e>
            <m:r>
              <w:rPr>
                <w:sz w:val="18"/>
              </w:rPr>
              <m:t>W</m:t>
            </m:r>
          </m:e>
          <m:sub>
            <m:r>
              <w:rPr>
                <w:sz w:val="18"/>
              </w:rPr>
              <m:t>i</m:t>
            </m:r>
          </m:sub>
        </m:sSub>
        <m:r>
          <w:rPr>
            <w:sz w:val="18"/>
          </w:rPr>
          <m:rPr>
            <m:sty m:val="p"/>
          </m:rPr>
          <m:t>=</m:t>
        </m:r>
        <m:f>
          <m:fPr>
            <m:type m:val="bar"/>
          </m:fPr>
          <m:num>
            <m:sSub>
              <m:e>
                <m:r>
                  <w:rPr>
                    <w:sz w:val="18"/>
                  </w:rPr>
                  <m:t>A</m:t>
                </m:r>
              </m:e>
              <m:sub>
                <m:r>
                  <w:rPr>
                    <w:sz w:val="18"/>
                  </w:rPr>
                  <m:t>i</m:t>
                </m:r>
              </m:sub>
            </m:sSub>
          </m:num>
          <m:den>
            <m:r>
              <w:rPr>
                <w:sz w:val="18"/>
              </w:rPr>
              <m:t>A</m:t>
            </m:r>
          </m:den>
        </m:f>
        <m:r>
          <w:rPr>
            <w:sz w:val="18"/>
          </w:rPr>
          <m:rPr>
            <m:sty m:val="p"/>
          </m:rPr>
          <m:t>,</m:t>
        </m:r>
        <m:r>
          <w:rPr>
            <w:sz w:val="18"/>
          </w:rPr>
          <m:t> </m:t>
        </m:r>
        <m:sSub>
          <m:e>
            <m:acc>
              <m:accPr>
                <m:chr m:val="̂"/>
              </m:accPr>
              <m:e>
                <m:r>
                  <w:rPr>
                    <w:sz w:val="18"/>
                  </w:rPr>
                  <m:t>p</m:t>
                </m:r>
              </m:e>
            </m:acc>
          </m:e>
          <m:sub>
            <m:r>
              <w:rPr>
                <w:sz w:val="18"/>
              </w:rPr>
              <m:t>i</m:t>
            </m:r>
            <m:r>
              <w:rPr>
                <w:sz w:val="18"/>
              </w:rPr>
              <m:t>j</m:t>
            </m:r>
          </m:sub>
        </m:sSub>
        <m:r>
          <w:rPr>
            <w:sz w:val="18"/>
          </w:rPr>
          <m:rPr>
            <m:sty m:val="p"/>
          </m:rPr>
          <m:t>=</m:t>
        </m:r>
        <m:f>
          <m:fPr>
            <m:type m:val="bar"/>
          </m:fPr>
          <m:num>
            <m:sSub>
              <m:e>
                <m:r>
                  <w:rPr>
                    <w:sz w:val="18"/>
                  </w:rPr>
                  <m:t>n</m:t>
                </m:r>
              </m:e>
              <m:sub>
                <m:r>
                  <w:rPr>
                    <w:sz w:val="18"/>
                  </w:rPr>
                  <m:t>i</m:t>
                </m:r>
                <m:r>
                  <w:rPr>
                    <w:sz w:val="18"/>
                  </w:rPr>
                  <m:t>j</m:t>
                </m:r>
              </m:sub>
            </m:sSub>
          </m:num>
          <m:den>
            <m:sSub>
              <m:e>
                <m:r>
                  <w:rPr>
                    <w:sz w:val="18"/>
                  </w:rPr>
                  <m:t>n</m:t>
                </m:r>
              </m:e>
              <m:sub>
                <m:r>
                  <w:rPr>
                    <w:sz w:val="18"/>
                  </w:rPr>
                  <m:t>i</m:t>
                </m:r>
              </m:sub>
            </m:sSub>
          </m:den>
        </m:f>
        <m:r>
          <w:rPr>
            <w:sz w:val="18"/>
          </w:rPr>
          <m:rPr>
            <m:sty m:val="p"/>
          </m:rPr>
          <m:t>,</m:t>
        </m:r>
        <m:r>
          <w:rPr>
            <w:sz w:val="18"/>
          </w:rPr>
          <m:t> </m:t>
        </m:r>
        <m:sSub>
          <m:e>
            <m:acc>
              <m:accPr>
                <m:chr m:val="̂"/>
              </m:accPr>
              <m:e>
                <m:r>
                  <w:rPr>
                    <w:sz w:val="18"/>
                  </w:rPr>
                  <m:t>A</m:t>
                </m:r>
              </m:e>
            </m:acc>
          </m:e>
          <m:sub>
            <m:r>
              <w:rPr>
                <w:sz w:val="18"/>
              </w:rPr>
              <m:t>j</m:t>
            </m:r>
          </m:sub>
        </m:sSub>
        <m:r>
          <w:rPr>
            <w:sz w:val="18"/>
          </w:rPr>
          <m:rPr>
            <m:sty m:val="p"/>
          </m:rPr>
          <m:t>=</m:t>
        </m:r>
        <m:r>
          <w:rPr>
            <w:sz w:val="18"/>
          </w:rPr>
          <m:t>A</m:t>
        </m:r>
        <m:nary>
          <m:naryPr>
            <m:chr m:val="∑"/>
            <m:limLoc m:val="undOvr"/>
            <m:subHide m:val="off"/>
            <m:supHide m:val="on"/>
          </m:naryPr>
          <m:sub>
            <m:r>
              <w:rPr>
                <w:sz w:val="18"/>
              </w:rPr>
              <m:t>i</m:t>
            </m:r>
          </m:sub>
          <m:sup>
            <m:r>
              <w:rPr>
                <w:sz w:val="18"/>
              </w:rPr>
              <m:t>​</m:t>
            </m:r>
          </m:sup>
          <m:e>
            <m:sSub>
              <m:e>
                <m:r>
                  <w:rPr>
                    <w:sz w:val="18"/>
                  </w:rPr>
                  <m:t>W</m:t>
                </m:r>
              </m:e>
              <m:sub>
                <m:r>
                  <w:rPr>
                    <w:sz w:val="18"/>
                  </w:rPr>
                  <m:t>i</m:t>
                </m:r>
              </m:sub>
            </m:sSub>
          </m:e>
        </m:nary>
        <m:sSub>
          <m:e>
            <m:acc>
              <m:accPr>
                <m:chr m:val="̂"/>
              </m:accPr>
              <m:e>
                <m:r>
                  <w:rPr>
                    <w:sz w:val="18"/>
                  </w:rPr>
                  <m:t>p</m:t>
                </m:r>
              </m:e>
            </m:acc>
          </m:e>
          <m:sub>
            <m:r>
              <w:rPr>
                <w:sz w:val="18"/>
              </w:rPr>
              <m:t>i</m:t>
            </m:r>
            <m:r>
              <w:rPr>
                <w:sz w:val="18"/>
              </w:rPr>
              <m:t>j</m:t>
            </m:r>
          </m:sub>
        </m:sSub>
      </m:oMath>
    </w:p>
    <w:p>
      <w:pPr>
        <w:keepNext/>
        <w:spacing w:before="40" w:after="60"/>
      </w:pPr>
      <w:r>
        <w:rPr>
          <w:rFonts w:ascii="Lato" w:hAnsi="Lato"/>
          <w:color w:val="315B50"/>
          <w:sz w:val="16"/>
        </w:rPr>
        <w:t>Use the sampling design and domain required by M01.4. W_i is the mapped stratum weight, not an estimated weight by default; n_ij and n_i are reference counts. This upstream estimator is not fitted by the account workbook.</w:t>
      </w:r>
    </w:p>
    <w:p>
      <w:pPr>
        <w:keepNext/>
        <w:spacing w:before="40" w:after="60"/>
      </w:pPr>
      <w:r>
        <w:rPr>
          <w:rFonts w:ascii="Lato" w:hAnsi="Lato"/>
          <w:color w:val="315B50"/>
          <w:sz w:val="14"/>
        </w:rPr>
        <w:t>Basis: M01.4; M01.5; T-03 | Workbook: Evidence!G; Spatial!I; qualified upstream calculation</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510"/>
        <w:gridCol w:w="3120"/>
      </w:tblGrid>
      <w:tr>
        <w:trPr>
          <w:trHeight w:val="446" w:hRule="atLeast"/>
          <w:tblHeader/>
        </w:trPr>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Stratum / plot / observation set</w:t>
            </w:r>
          </w:p>
          <w:p>
            <w:pPr>
              <w:spacing w:before="40" w:after="40"/>
            </w:pPr>
            <m:oMath>
              <m:r>
                <w:rPr>
                  <w:sz w:val="16"/>
                  <w:color w:val="173E34"/>
                </w:rPr>
                <m:t>i</m:t>
              </m:r>
              <m:r>
                <w:rPr>
                  <w:sz w:val="16"/>
                  <w:color w:val="173E34"/>
                </w:rPr>
                <m:rPr>
                  <m:sty m:val="p"/>
                </m:rPr>
                <m:t>,</m:t>
              </m:r>
              <m:r>
                <w:rPr>
                  <w:sz w:val="16"/>
                  <w:color w:val="173E34"/>
                </w:rPr>
                <m:t> </m:t>
              </m:r>
              <m:r>
                <w:rPr>
                  <w:sz w:val="16"/>
                  <w:color w:val="173E34"/>
                </w:rPr>
                <m:t>j</m:t>
              </m:r>
              <m:r>
                <w:rPr>
                  <w:sz w:val="16"/>
                  <w:color w:val="173E34"/>
                </w:rPr>
                <m:rPr>
                  <m:sty m:val="p"/>
                </m:rPr>
                <m:t>,</m:t>
              </m:r>
              <m:r>
                <w:rPr>
                  <w:sz w:val="16"/>
                  <w:color w:val="173E34"/>
                </w:rPr>
                <m:t> </m:t>
              </m:r>
              <m:sSub>
                <m:e>
                  <m:r>
                    <w:rPr>
                      <w:sz w:val="16"/>
                      <w:color w:val="173E34"/>
                    </w:rPr>
                    <m:t>n</m:t>
                  </m:r>
                </m:e>
                <m:sub>
                  <m:r>
                    <w:rPr>
                      <w:sz w:val="16"/>
                      <w:color w:val="173E34"/>
                    </w:rPr>
                    <m:t>i</m:t>
                  </m:r>
                </m:sub>
              </m:sSub>
            </m:oMath>
          </w:p>
        </w:tc>
        <w:tc>
          <w:tcPr>
            <w:tcW w:type="dxa" w:w="351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Design, variables and quality controls</w:t>
            </w:r>
          </w:p>
          <w:p>
            <w:pPr>
              <w:spacing w:before="40" w:after="40"/>
            </w:pPr>
            <m:oMath>
              <m:sSub>
                <m:e>
                  <m:r>
                    <w:rPr>
                      <w:sz w:val="16"/>
                      <w:color w:val="173E34"/>
                    </w:rPr>
                    <m:t>W</m:t>
                  </m:r>
                </m:e>
                <m:sub>
                  <m:r>
                    <w:rPr>
                      <w:sz w:val="16"/>
                      <w:color w:val="173E34"/>
                    </w:rPr>
                    <m:t>i</m:t>
                  </m:r>
                </m:sub>
              </m:sSub>
              <m:r>
                <w:rPr>
                  <w:sz w:val="16"/>
                  <w:color w:val="173E34"/>
                </w:rPr>
                <m:rPr>
                  <m:sty m:val="p"/>
                </m:rPr>
                <m:t>,</m:t>
              </m:r>
              <m:r>
                <w:rPr>
                  <w:sz w:val="16"/>
                  <w:color w:val="173E34"/>
                </w:rPr>
                <m:t> </m:t>
              </m:r>
              <m:sSub>
                <m:e>
                  <m:acc>
                    <m:accPr>
                      <m:chr m:val="̂"/>
                    </m:accPr>
                    <m:e>
                      <m:r>
                        <w:rPr>
                          <w:sz w:val="16"/>
                          <w:color w:val="173E34"/>
                        </w:rPr>
                        <m:t>p</m:t>
                      </m:r>
                    </m:e>
                  </m:acc>
                </m:e>
                <m:sub>
                  <m:r>
                    <w:rPr>
                      <w:sz w:val="16"/>
                      <w:color w:val="173E34"/>
                    </w:rPr>
                    <m:t>i</m:t>
                  </m:r>
                  <m:r>
                    <w:rPr>
                      <w:sz w:val="16"/>
                      <w:color w:val="173E34"/>
                    </w:rPr>
                    <m:t>j</m:t>
                  </m:r>
                </m:sub>
              </m:sSub>
            </m:oMath>
          </w:p>
        </w:tc>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Evidence, coverage and limitations</w:t>
            </w:r>
          </w:p>
          <w:p>
            <w:pPr>
              <w:spacing w:before="40" w:after="40"/>
            </w:pPr>
            <m:oMath>
              <m:sSub>
                <m:e>
                  <m:acc>
                    <m:accPr>
                      <m:chr m:val="̂"/>
                    </m:accPr>
                    <m:e>
                      <m:r>
                        <w:rPr>
                          <w:sz w:val="16"/>
                          <w:color w:val="173E34"/>
                        </w:rPr>
                        <m:t>A</m:t>
                      </m:r>
                    </m:e>
                  </m:acc>
                </m:e>
                <m:sub>
                  <m:r>
                    <w:rPr>
                      <w:sz w:val="16"/>
                      <w:color w:val="173E34"/>
                    </w:rPr>
                    <m:t>j</m:t>
                  </m:r>
                </m:sub>
              </m:sSub>
            </m:oMath>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Model and implementation passport</w:t>
      </w:r>
    </w:p>
    <w:p>
      <w:pPr>
        <w:keepNext/>
        <w:spacing w:before="40" w:after="60"/>
      </w:pPr>
      <w:r>
        <w:rPr>
          <w:rFonts w:ascii="Lato" w:hAnsi="Lato"/>
          <w:color w:val="315B50"/>
          <w:sz w:val="18"/>
        </w:rPr>
        <w:t>FEASIBILITY-T08 / Calculation notation</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is the identified observation, input, or output; u_l is its declared unit. Record the exact equation and source file, worksheet, cell/range, period, and status. This notation does not prescribe an estimator.</w:t>
      </w:r>
    </w:p>
    <w:p>
      <w:pPr>
        <w:keepNext/>
        <w:spacing w:before="40" w:after="60"/>
      </w:pPr>
      <w:r>
        <w:rPr>
          <w:rFonts w:ascii="Lato" w:hAnsi="Lato"/>
          <w:color w:val="315B50"/>
          <w:sz w:val="14"/>
        </w:rPr>
        <w:t>Basis: F-01; T-01 | Workbook: Evidence!A:J; Components!F:L</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607"/>
        <w:gridCol w:w="3217"/>
        <w:gridCol w:w="2925"/>
      </w:tblGrid>
      <w:tr>
        <w:trPr>
          <w:trHeight w:val="446" w:hRule="atLeast"/>
          <w:tblHeader/>
        </w:trPr>
        <w:tc>
          <w:tcPr>
            <w:tcW w:type="dxa" w:w="360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Component / equation IDs</w:t>
            </w:r>
          </w:p>
          <w:p>
            <w:pPr>
              <w:spacing w:before="40" w:after="40"/>
            </w:pPr>
            <m:oMath>
              <m:sSub>
                <m:e>
                  <m:r>
                    <w:rPr>
                      <w:sz w:val="16"/>
                      <w:color w:val="173E34"/>
                    </w:rPr>
                    <m:t>x</m:t>
                  </m:r>
                </m:e>
                <m:sub>
                  <m:r>
                    <w:rPr>
                      <w:sz w:val="16"/>
                      <w:color w:val="173E34"/>
                    </w:rPr>
                    <m:rPr>
                      <m:sty m:val="p"/>
                    </m:rPr>
                    <m:t>ℓ</m:t>
                  </m:r>
                </m:sub>
              </m:sSub>
            </m:oMath>
          </w:p>
        </w:tc>
        <w:tc>
          <w:tcPr>
            <w:tcW w:type="dxa" w:w="321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Version, parameters and provenance</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292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Calibration / independent test</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446" w:hRule="atLeast"/>
        </w:trPr>
        <w:tc>
          <w:tcPr>
            <w:tcW w:type="dxa" w:w="360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CCA and physical-gradient calibration</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607"/>
            <w:vAlign w:val="center"/>
            <w:tcMar>
              <w:top w:w="70" w:type="dxa"/>
              <w:start w:w="85" w:type="dxa"/>
              <w:bottom w:w="70" w:type="dxa"/>
              <w:end w:w="85" w:type="dxa"/>
            </w:tcMar>
          </w:tcPr>
          <w:p>
            <w:pPr>
              <w:spacing w:after="0" w:line="250" w:lineRule="auto"/>
            </w:pPr>
            <w:r>
              <w:rPr>
                <w:rFonts w:ascii="Arial" w:hAnsi="Arial"/>
                <w:b w:val="0"/>
                <w:i w:val="0"/>
                <w:color w:val="243A36"/>
                <w:sz w:val="16"/>
              </w:rPr>
              <w:t>Membership, rules, inference and MOM</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60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Classification and temporal transitions</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Independent performance and transfer decision</w:t>
      </w:r>
    </w:p>
    <w:p>
      <w:pPr>
        <w:keepNext/>
        <w:spacing w:after="100" w:line="259" w:lineRule="auto"/>
      </w:pPr>
      <w:r>
        <w:rPr>
          <w:rFonts w:ascii="Arial" w:hAnsi="Arial"/>
          <w:b w:val="0"/>
          <w:i w:val="0"/>
          <w:color w:val="62716E"/>
          <w:sz w:val="18"/>
        </w:rPr>
        <w:t>Report validation design, reference provenance, errors and uncertainty, failed tests and supported domain. Membership is not probability or area. Distinguish shrub vegetation from demonstrated degradation and class changes from physical losses.</w:t>
      </w:r>
    </w:p>
    <w:tbl>
      <w:tblPr>
        <w:tblW w:type="auto" w:w="0"/>
        <w:tblLook w:firstColumn="1" w:firstRow="1" w:lastColumn="0" w:lastRow="0" w:noHBand="0" w:noVBand="1" w:val="04A0"/>
      </w:tblPr>
      <w:tblGrid>
        <w:gridCol w:w="9746"/>
      </w:tblGrid>
      <w:tr>
        <w:trPr>
          <w:trHeight w:val="850"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05" w:name="Section_5"/>
      <w:pPr>
        <w:pStyle w:val="Heading1"/>
        <w:keepNext/>
      </w:pPr>
      <w:r>
        <w:t>05  NEB002 material reference and evidence pathway</w:t>
      </w:r>
      <w:bookmarkEnd w:id="105"/>
    </w:p>
    <w:p>
      <w:pPr>
        <w:keepNext/>
        <w:spacing w:after="180" w:line="259" w:lineRule="auto"/>
      </w:pPr>
      <w:r>
        <w:rPr>
          <w:rFonts w:ascii="Arial" w:hAnsi="Arial"/>
          <w:b w:val="0"/>
          <w:i w:val="0"/>
          <w:color w:val="62716E"/>
          <w:sz w:val="15"/>
        </w:rPr>
        <w:t>[1] Basis: T-04; T-05; T-06; T-07; T-11; T-12; T-13; T-15; FRM-08</w:t>
      </w:r>
    </w:p>
    <w:p>
      <w:pPr>
        <w:pStyle w:val="Heading2"/>
        <w:keepNext/>
      </w:pPr>
      <w:r>
        <w:t>Pathway by stratum</w:t>
      </w:r>
    </w:p>
    <w:p>
      <w:pPr>
        <w:keepNext/>
        <w:spacing w:before="40" w:after="60"/>
      </w:pPr>
      <w:r>
        <w:rPr>
          <w:rFonts w:ascii="Lato" w:hAnsi="Lato"/>
          <w:color w:val="315B50"/>
          <w:sz w:val="18"/>
        </w:rPr>
        <w:t>FEASIBILITY-T09 / Calculation notation</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is the identified observation, input, or output; u_l is its declared unit. Record the exact equation and source file, worksheet, cell/range, period, and status. This notation does not prescribe an estimator.</w:t>
      </w:r>
    </w:p>
    <w:p>
      <w:pPr>
        <w:keepNext/>
        <w:spacing w:before="40" w:after="60"/>
      </w:pPr>
      <w:r>
        <w:rPr>
          <w:rFonts w:ascii="Lato" w:hAnsi="Lato"/>
          <w:color w:val="315B50"/>
          <w:sz w:val="14"/>
        </w:rPr>
        <w:t>Basis: F-01; T-01 | Workbook: Evidence!A:J; Components!F:L</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510"/>
        <w:gridCol w:w="3217"/>
      </w:tblGrid>
      <w:tr>
        <w:trPr>
          <w:trHeight w:val="446" w:hRule="atLeast"/>
          <w:tblHeader/>
        </w:trPr>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Stratum / selected route A, B or C</w:t>
            </w:r>
          </w:p>
          <w:p>
            <w:pPr>
              <w:spacing w:before="40" w:after="40"/>
            </w:pPr>
            <m:oMath>
              <m:sSub>
                <m:e>
                  <m:r>
                    <w:rPr>
                      <w:sz w:val="16"/>
                      <w:color w:val="173E34"/>
                    </w:rPr>
                    <m:t>x</m:t>
                  </m:r>
                </m:e>
                <m:sub>
                  <m:r>
                    <w:rPr>
                      <w:sz w:val="16"/>
                      <w:color w:val="173E34"/>
                    </w:rPr>
                    <m:rPr>
                      <m:sty m:val="p"/>
                    </m:rPr>
                    <m:t>ℓ</m:t>
                  </m:r>
                </m:sub>
              </m:sSub>
            </m:oMath>
          </w:p>
        </w:tc>
        <w:tc>
          <w:tcPr>
            <w:tcW w:type="dxa" w:w="351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Retained or new reference evidence</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1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Applicability and independent checks</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Material-to-carbon and calibration record</w:t>
      </w:r>
    </w:p>
    <w:p>
      <w:pPr>
        <w:keepNext/>
        <w:spacing w:before="40" w:after="60"/>
      </w:pPr>
      <w:r>
        <w:rPr>
          <w:rFonts w:ascii="Lato" w:hAnsi="Lato"/>
          <w:color w:val="315B50"/>
          <w:sz w:val="18"/>
        </w:rPr>
        <w:t>FEASIBILITY-T10 / Calculation notation</w:t>
      </w:r>
    </w:p>
    <w:p>
      <w:pPr>
        <w:keepNext/>
        <w:spacing w:before="40" w:after="60"/>
      </w:pPr>
      <m:oMath>
        <m:sSub>
          <m:e>
            <m:r>
              <w:rPr>
                <w:sz w:val="18"/>
              </w:rPr>
              <m:t>C</m:t>
            </m:r>
          </m:e>
          <m:sub>
            <m:r>
              <w:rPr>
                <w:sz w:val="18"/>
              </w:rPr>
              <m:t>j</m:t>
            </m:r>
          </m:sub>
        </m:sSub>
        <m:r>
          <w:rPr>
            <w:sz w:val="18"/>
          </w:rPr>
          <m:rPr>
            <m:sty m:val="p"/>
          </m:rPr>
          <m:t>=</m:t>
        </m:r>
        <m:sSup>
          <m:e>
            <m:r>
              <w:rPr>
                <w:sz w:val="18"/>
              </w:rPr>
              <m:t>10</m:t>
            </m:r>
          </m:e>
          <m:sup>
            <m:r>
              <w:rPr>
                <w:sz w:val="18"/>
              </w:rPr>
              <m:rPr>
                <m:sty m:val="p"/>
              </m:rPr>
              <m:t>−</m:t>
            </m:r>
            <m:r>
              <w:rPr>
                <w:sz w:val="18"/>
              </w:rPr>
              <m:t>3</m:t>
            </m:r>
          </m:sup>
        </m:sSup>
        <m:nary>
          <m:naryPr>
            <m:chr m:val="∑"/>
            <m:limLoc m:val="undOvr"/>
            <m:subHide m:val="off"/>
            <m:supHide m:val="on"/>
          </m:naryPr>
          <m:sub>
            <m:r>
              <w:rPr>
                <w:sz w:val="18"/>
              </w:rPr>
              <m:t>o</m:t>
            </m:r>
          </m:sub>
          <m:sup>
            <m:r>
              <w:rPr>
                <w:sz w:val="18"/>
              </w:rPr>
              <m:t>​</m:t>
            </m:r>
          </m:sup>
          <m:e>
            <m:sSub>
              <m:e>
                <m:r>
                  <w:rPr>
                    <w:sz w:val="18"/>
                  </w:rPr>
                  <m:t>V</m:t>
                </m:r>
              </m:e>
              <m:sub>
                <m:r>
                  <w:rPr>
                    <w:sz w:val="18"/>
                  </w:rPr>
                  <m:t>j</m:t>
                </m:r>
                <m:r>
                  <w:rPr>
                    <w:sz w:val="18"/>
                  </w:rPr>
                  <m:t>o</m:t>
                </m:r>
              </m:sub>
            </m:sSub>
          </m:e>
        </m:nary>
        <m:sSubSup>
          <m:e>
            <m:r>
              <w:rPr>
                <w:sz w:val="18"/>
              </w:rPr>
              <m:t>ρ</m:t>
            </m:r>
          </m:e>
          <m:sub>
            <m:r>
              <w:rPr>
                <w:sz w:val="18"/>
              </w:rPr>
              <m:t>j</m:t>
            </m:r>
            <m:r>
              <w:rPr>
                <w:sz w:val="18"/>
              </w:rPr>
              <m:t>o</m:t>
            </m:r>
          </m:sub>
          <m:sup>
            <m:r>
              <w:rPr>
                <w:sz w:val="18"/>
              </w:rPr>
              <m:t>b</m:t>
            </m:r>
          </m:sup>
        </m:sSubSup>
        <m:sSubSup>
          <m:e>
            <m:r>
              <w:rPr>
                <w:sz w:val="18"/>
              </w:rPr>
              <m:t>f</m:t>
            </m:r>
          </m:e>
          <m:sub>
            <m:r>
              <w:rPr>
                <w:sz w:val="18"/>
              </w:rPr>
              <m:t>j</m:t>
            </m:r>
            <m:r>
              <w:rPr>
                <w:sz w:val="18"/>
              </w:rPr>
              <m:t>o</m:t>
            </m:r>
          </m:sub>
          <m:sup>
            <m:r>
              <w:rPr>
                <w:sz w:val="18"/>
              </w:rPr>
              <m:t>C</m:t>
            </m:r>
          </m:sup>
        </m:sSubSup>
      </m:oMath>
    </w:p>
    <w:p>
      <w:pPr>
        <w:keepNext/>
        <w:spacing w:before="40" w:after="60"/>
      </w:pPr>
      <m:oMath>
        <m:sSub>
          <m:e>
            <m:r>
              <w:rPr>
                <w:sz w:val="18"/>
              </w:rPr>
              <m:t>c</m:t>
            </m:r>
          </m:e>
          <m:sub>
            <m:r>
              <w:rPr>
                <w:sz w:val="18"/>
              </w:rPr>
              <m:t>p</m:t>
            </m:r>
          </m:sub>
        </m:sSub>
        <m:r>
          <w:rPr>
            <w:sz w:val="18"/>
          </w:rPr>
          <m:rPr>
            <m:sty m:val="p"/>
          </m:rPr>
          <m:t>=</m:t>
        </m:r>
        <m:f>
          <m:fPr>
            <m:type m:val="bar"/>
          </m:fPr>
          <m:num>
            <m:nary>
              <m:naryPr>
                <m:chr m:val="∑"/>
                <m:limLoc m:val="undOvr"/>
                <m:subHide m:val="off"/>
                <m:supHide m:val="on"/>
              </m:naryPr>
              <m:sub>
                <m:r>
                  <w:rPr>
                    <w:sz w:val="18"/>
                  </w:rPr>
                  <m:t>j</m:t>
                </m:r>
                <m:r>
                  <w:rPr>
                    <w:sz w:val="18"/>
                  </w:rPr>
                  <m:rPr>
                    <m:sty m:val="p"/>
                  </m:rPr>
                  <m:t>∈</m:t>
                </m:r>
                <m:r>
                  <w:rPr>
                    <w:sz w:val="18"/>
                  </w:rPr>
                  <m:t>p</m:t>
                </m:r>
              </m:sub>
              <m:sup>
                <m:r>
                  <w:rPr>
                    <w:sz w:val="18"/>
                  </w:rPr>
                  <m:t>​</m:t>
                </m:r>
              </m:sup>
              <m:e>
                <m:sSub>
                  <m:e>
                    <m:r>
                      <w:rPr>
                        <w:sz w:val="18"/>
                      </w:rPr>
                      <m:t>C</m:t>
                    </m:r>
                  </m:e>
                  <m:sub>
                    <m:r>
                      <w:rPr>
                        <w:sz w:val="18"/>
                      </w:rPr>
                      <m:t>j</m:t>
                    </m:r>
                  </m:sub>
                </m:sSub>
              </m:e>
            </m:nary>
            <m:r>
              <w:rPr>
                <w:sz w:val="18"/>
              </w:rPr>
              <m:rPr>
                <m:sty m:val="p"/>
              </m:rPr>
              <m:t>+</m:t>
            </m:r>
            <m:sSub>
              <m:e>
                <m:r>
                  <w:rPr>
                    <w:sz w:val="18"/>
                  </w:rPr>
                  <m:t>C</m:t>
                </m:r>
              </m:e>
              <m:sub>
                <m:r>
                  <w:rPr>
                    <w:sz w:val="18"/>
                  </w:rPr>
                  <m:t>p</m:t>
                </m:r>
                <m:r>
                  <w:rPr>
                    <w:sz w:val="18"/>
                  </w:rPr>
                  <m:rPr>
                    <m:sty m:val="p"/>
                  </m:rPr>
                  <m:t>,</m:t>
                </m:r>
                <m:r>
                  <w:rPr>
                    <w:sz w:val="18"/>
                  </w:rPr>
                  <m:rPr>
                    <m:sty m:val="p"/>
                  </m:rPr>
                  <m:t>o</m:t>
                </m:r>
                <m:r>
                  <w:rPr>
                    <w:sz w:val="18"/>
                  </w:rPr>
                  <m:rPr>
                    <m:sty m:val="p"/>
                  </m:rPr>
                  <m:t>t</m:t>
                </m:r>
                <m:r>
                  <w:rPr>
                    <w:sz w:val="18"/>
                  </w:rPr>
                  <m:rPr>
                    <m:sty m:val="p"/>
                  </m:rPr>
                  <m:t>h</m:t>
                </m:r>
                <m:r>
                  <w:rPr>
                    <w:sz w:val="18"/>
                  </w:rPr>
                  <m:rPr>
                    <m:sty m:val="p"/>
                  </m:rPr>
                  <m:t>e</m:t>
                </m:r>
                <m:r>
                  <w:rPr>
                    <w:sz w:val="18"/>
                  </w:rPr>
                  <m:rPr>
                    <m:sty m:val="p"/>
                  </m:rPr>
                  <m:t>r</m:t>
                </m:r>
              </m:sub>
            </m:sSub>
          </m:num>
          <m:den>
            <m:sSub>
              <m:e>
                <m:r>
                  <w:rPr>
                    <w:sz w:val="18"/>
                  </w:rPr>
                  <m:t>a</m:t>
                </m:r>
              </m:e>
              <m:sub>
                <m:r>
                  <w:rPr>
                    <w:sz w:val="18"/>
                  </w:rPr>
                  <m:t>p</m:t>
                </m:r>
              </m:sub>
            </m:sSub>
          </m:den>
        </m:f>
      </m:oMath>
    </w:p>
    <w:p>
      <w:pPr>
        <w:keepNext/>
        <w:spacing w:before="40" w:after="60"/>
      </w:pPr>
      <w:r>
        <w:rPr>
          <w:rFonts w:ascii="Lato" w:hAnsi="Lato"/>
          <w:color w:val="315B50"/>
          <w:sz w:val="16"/>
        </w:rPr>
        <w:t>V is green material volume in m3; rho_b is oven-dry kg per green m3; f_C is dry-mass carbon fraction. C_j is Mg C; c_p is Mg C/ha. The plot denominator a_p is in ha. Pools must be disjoint and moisture conventions matched.</w:t>
      </w:r>
    </w:p>
    <w:p>
      <w:pPr>
        <w:keepNext/>
        <w:spacing w:before="40" w:after="60"/>
      </w:pPr>
      <w:r>
        <w:rPr>
          <w:rFonts w:ascii="Lato" w:hAnsi="Lato"/>
          <w:color w:val="315B50"/>
          <w:sz w:val="14"/>
        </w:rPr>
        <w:t>Basis: M02.1; M02.2; F-M01 | Workbook: Evidence!G; Factors!D:G; upstream organ and plot records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217"/>
        <w:gridCol w:w="3315"/>
        <w:gridCol w:w="3217"/>
      </w:tblGrid>
      <w:tr>
        <w:trPr>
          <w:trHeight w:val="446" w:hRule="atLeast"/>
          <w:tblHeader/>
        </w:trPr>
        <w:tc>
          <w:tcPr>
            <w:tcW w:type="dxa" w:w="321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Input / compartment / equation</w:t>
            </w:r>
          </w:p>
          <w:p>
            <w:pPr>
              <w:spacing w:before="40" w:after="40"/>
            </w:pPr>
            <m:oMath>
              <m:r>
                <w:rPr>
                  <w:sz w:val="16"/>
                  <w:color w:val="173E34"/>
                </w:rPr>
                <m:t>j</m:t>
              </m:r>
              <m:r>
                <w:rPr>
                  <w:sz w:val="16"/>
                  <w:color w:val="173E34"/>
                </w:rPr>
                <m:rPr>
                  <m:sty m:val="p"/>
                </m:rPr>
                <m:t>,</m:t>
              </m:r>
              <m:r>
                <w:rPr>
                  <w:sz w:val="16"/>
                  <w:color w:val="173E34"/>
                </w:rPr>
                <m:t> </m:t>
              </m:r>
              <m:r>
                <w:rPr>
                  <w:sz w:val="16"/>
                  <w:color w:val="173E34"/>
                </w:rPr>
                <m:t>o</m:t>
              </m:r>
              <m:r>
                <w:rPr>
                  <w:sz w:val="16"/>
                  <w:color w:val="173E34"/>
                </w:rPr>
                <m:rPr>
                  <m:sty m:val="p"/>
                </m:rPr>
                <m:t>,</m:t>
              </m:r>
              <m:r>
                <w:rPr>
                  <w:sz w:val="16"/>
                  <w:color w:val="173E34"/>
                </w:rPr>
                <m:t> </m:t>
              </m:r>
              <m:r>
                <w:rPr>
                  <w:sz w:val="16"/>
                  <w:color w:val="173E34"/>
                </w:rPr>
                <m:t>p</m:t>
              </m:r>
            </m:oMath>
          </w:p>
        </w:tc>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Units, convention and evidence</w:t>
            </w:r>
          </w:p>
          <w:p>
            <w:pPr>
              <w:spacing w:before="40" w:after="40"/>
            </w:pPr>
            <m:oMath>
              <m:sSub>
                <m:e>
                  <m:r>
                    <w:rPr>
                      <w:sz w:val="16"/>
                      <w:color w:val="173E34"/>
                    </w:rPr>
                    <m:t>V</m:t>
                  </m:r>
                </m:e>
                <m:sub>
                  <m:r>
                    <w:rPr>
                      <w:sz w:val="16"/>
                      <w:color w:val="173E34"/>
                    </w:rPr>
                    <m:t>j</m:t>
                  </m:r>
                  <m:r>
                    <w:rPr>
                      <w:sz w:val="16"/>
                      <w:color w:val="173E34"/>
                    </w:rPr>
                    <m:t>o</m:t>
                  </m:r>
                </m:sub>
              </m:sSub>
              <m:r>
                <w:rPr>
                  <w:sz w:val="16"/>
                  <w:color w:val="173E34"/>
                </w:rPr>
                <m:rPr>
                  <m:sty m:val="p"/>
                </m:rPr>
                <m:t>,</m:t>
              </m:r>
              <m:sSubSup>
                <m:e>
                  <m:r>
                    <w:rPr>
                      <w:sz w:val="16"/>
                      <w:color w:val="173E34"/>
                    </w:rPr>
                    <m:t>ρ</m:t>
                  </m:r>
                </m:e>
                <m:sub>
                  <m:r>
                    <w:rPr>
                      <w:sz w:val="16"/>
                      <w:color w:val="173E34"/>
                    </w:rPr>
                    <m:t>j</m:t>
                  </m:r>
                  <m:r>
                    <w:rPr>
                      <w:sz w:val="16"/>
                      <w:color w:val="173E34"/>
                    </w:rPr>
                    <m:t>o</m:t>
                  </m:r>
                </m:sub>
                <m:sup>
                  <m:r>
                    <w:rPr>
                      <w:sz w:val="16"/>
                      <w:color w:val="173E34"/>
                    </w:rPr>
                    <m:t>b</m:t>
                  </m:r>
                </m:sup>
              </m:sSubSup>
              <m:r>
                <w:rPr>
                  <w:sz w:val="16"/>
                  <w:color w:val="173E34"/>
                </w:rPr>
                <m:rPr>
                  <m:sty m:val="p"/>
                </m:rPr>
                <m:t>,</m:t>
              </m:r>
              <m:r>
                <w:rPr>
                  <w:sz w:val="16"/>
                  <w:color w:val="173E34"/>
                </w:rPr>
                <m:t> </m:t>
              </m:r>
              <m:sSubSup>
                <m:e>
                  <m:r>
                    <w:rPr>
                      <w:sz w:val="16"/>
                      <w:color w:val="173E34"/>
                    </w:rPr>
                    <m:t>f</m:t>
                  </m:r>
                </m:e>
                <m:sub>
                  <m:r>
                    <w:rPr>
                      <w:sz w:val="16"/>
                      <w:color w:val="173E34"/>
                    </w:rPr>
                    <m:t>j</m:t>
                  </m:r>
                  <m:r>
                    <w:rPr>
                      <w:sz w:val="16"/>
                      <w:color w:val="173E34"/>
                    </w:rPr>
                    <m:t>o</m:t>
                  </m:r>
                </m:sub>
                <m:sup>
                  <m:r>
                    <w:rPr>
                      <w:sz w:val="16"/>
                      <w:color w:val="173E34"/>
                    </w:rPr>
                    <m:t>C</m:t>
                  </m:r>
                </m:sup>
              </m:sSubSup>
            </m:oMath>
          </w:p>
        </w:tc>
        <w:tc>
          <w:tcPr>
            <w:tcW w:type="dxa" w:w="321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Calibration, uncertainty and test</w:t>
            </w:r>
          </w:p>
          <w:p>
            <w:pPr>
              <w:spacing w:before="40" w:after="40"/>
            </w:pPr>
            <m:oMath>
              <m:sSub>
                <m:e>
                  <m:r>
                    <w:rPr>
                      <w:sz w:val="16"/>
                      <w:color w:val="173E34"/>
                    </w:rPr>
                    <m:t>C</m:t>
                  </m:r>
                </m:e>
                <m:sub>
                  <m:r>
                    <w:rPr>
                      <w:sz w:val="16"/>
                      <w:color w:val="173E34"/>
                    </w:rPr>
                    <m:t>j</m:t>
                  </m:r>
                </m:sub>
              </m:sSub>
              <m:r>
                <w:rPr>
                  <w:sz w:val="16"/>
                  <w:color w:val="173E34"/>
                </w:rPr>
                <m:rPr>
                  <m:sty m:val="p"/>
                </m:rPr>
                <m:t>,</m:t>
              </m:r>
              <m:r>
                <w:rPr>
                  <w:sz w:val="16"/>
                  <w:color w:val="173E34"/>
                </w:rPr>
                <m:t> </m:t>
              </m:r>
              <m:sSub>
                <m:e>
                  <m:r>
                    <w:rPr>
                      <w:sz w:val="16"/>
                      <w:color w:val="173E34"/>
                    </w:rPr>
                    <m:t>c</m:t>
                  </m:r>
                </m:e>
                <m:sub>
                  <m:r>
                    <w:rPr>
                      <w:sz w:val="16"/>
                      <w:color w:val="173E34"/>
                    </w:rPr>
                    <m:t>p</m:t>
                  </m:r>
                </m:sub>
              </m:sSub>
            </m:oMath>
          </w:p>
        </w:tc>
      </w:tr>
      <w:tr>
        <w:trPr>
          <w:trHeight w:val="446" w:hRule="atLeast"/>
        </w:trPr>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Reference qualification and completeness</w:t>
      </w:r>
    </w:p>
    <w:p>
      <w:pPr>
        <w:keepNext/>
        <w:spacing w:after="100" w:line="259" w:lineRule="auto"/>
      </w:pPr>
      <w:r>
        <w:rPr>
          <w:rFonts w:ascii="Arial" w:hAnsi="Arial"/>
          <w:b w:val="0"/>
          <w:i w:val="0"/>
          <w:color w:val="62716E"/>
          <w:sz w:val="18"/>
        </w:rPr>
        <w:t>For new material evidence, document volume, disjoint organs, dry/green density conventions, tissue fractions and quality controls. For libraries, provide actual model records and transfer tests. For secondary products, establish support and a complete-account conservative treatment.</w:t>
      </w:r>
    </w:p>
    <w:tbl>
      <w:tblPr>
        <w:tblW w:type="auto" w:w="0"/>
        <w:tblLook w:firstColumn="1" w:firstRow="1" w:lastColumn="0" w:lastRow="0" w:noHBand="0" w:noVBand="1" w:val="04A0"/>
      </w:tblPr>
      <w:tblGrid>
        <w:gridCol w:w="9746"/>
      </w:tblGrid>
      <w:tr>
        <w:trPr>
          <w:trHeight w:val="850"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pPr>
        <w:keepNext w:val="0"/>
        <w:spacing w:after="160" w:line="259" w:lineRule="auto"/>
        <w:shd w:fill="F1F5F2"/>
      </w:pPr>
      <w:r>
        <w:rPr>
          <w:rFonts w:ascii="Arial" w:hAnsi="Arial"/>
          <w:b w:val="0"/>
          <w:i w:val="0"/>
          <w:color w:val="215F52"/>
          <w:sz w:val="18"/>
        </w:rPr>
        <w:t>No universal architectural uplift or automatic conventional-estimator ceiling is assumed. A finer map does not independently validate its inherited carbon labels.</w:t>
      </w:r>
    </w:p>
    <w:p>
      <w:r>
        <w:br w:type="page"/>
      </w:r>
    </w:p>
    <w:p>
      <w:bookmarkStart w:id="106" w:name="Section_6"/>
      <w:pPr>
        <w:pStyle w:val="Heading1"/>
        <w:keepNext/>
      </w:pPr>
      <w:r>
        <w:t>06  Baseline, interventions and continuing additionality</w:t>
      </w:r>
      <w:bookmarkEnd w:id="106"/>
    </w:p>
    <w:p>
      <w:pPr>
        <w:keepNext/>
        <w:spacing w:after="180" w:line="259" w:lineRule="auto"/>
      </w:pPr>
      <w:r>
        <w:rPr>
          <w:rFonts w:ascii="Arial" w:hAnsi="Arial"/>
          <w:b w:val="0"/>
          <w:i w:val="0"/>
          <w:color w:val="62716E"/>
          <w:sz w:val="15"/>
        </w:rPr>
        <w:t>[1] Basis: S-08; S-09; AO-05; AO-06; AO-07; AO-08; AO-10; FRM-01/AO</w:t>
      </w:r>
    </w:p>
    <w:p>
      <w:pPr>
        <w:pStyle w:val="Heading2"/>
        <w:keepNext/>
      </w:pPr>
      <w:r>
        <w:t>Baseline alternatives and selection</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315"/>
        <w:gridCol w:w="3217"/>
        <w:gridCol w:w="3217"/>
      </w:tblGrid>
      <w:tr>
        <w:trPr>
          <w:trHeight w:val="446" w:hRule="atLeast"/>
          <w:tblHeader/>
        </w:trPr>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Alternative / driver / spatial support</w:t>
            </w:r>
          </w:p>
        </w:tc>
        <w:tc>
          <w:tcPr>
            <w:tcW w:type="dxa" w:w="321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Credibility, status and evidence</w:t>
            </w:r>
          </w:p>
        </w:tc>
        <w:tc>
          <w:tcPr>
            <w:tcW w:type="dxa" w:w="321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Selection / rejection and sensitivity</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Intervention-level additionality</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412"/>
        <w:gridCol w:w="3315"/>
      </w:tblGrid>
      <w:tr>
        <w:trPr>
          <w:trHeight w:val="446" w:hRule="atLeast"/>
          <w:tblHeader/>
        </w:trPr>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Intervention / implementing party</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Driver, barrier and causal mechanism</w:t>
            </w:r>
          </w:p>
        </w:tc>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Test, counterfactual and evidence</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Continuing assessment and prior interventions</w:t>
      </w:r>
    </w:p>
    <w:p>
      <w:pPr>
        <w:keepNext/>
        <w:spacing w:after="100" w:line="259" w:lineRule="auto"/>
      </w:pPr>
      <w:r>
        <w:rPr>
          <w:rFonts w:ascii="Arial" w:hAnsi="Arial"/>
          <w:b w:val="0"/>
          <w:i w:val="0"/>
          <w:color w:val="62716E"/>
          <w:sz w:val="18"/>
        </w:rPr>
        <w:t>Reference legal duties, common practice and relevant financing tests. Address existing activities affecting the counterfactual, timing of evidence, governance indicators, review triggers and controlled reassessment without opportunistic baseline resets.</w:t>
      </w:r>
    </w:p>
    <w:tbl>
      <w:tblPr>
        <w:tblW w:type="auto" w:w="0"/>
        <w:tblLook w:firstColumn="1" w:firstRow="1" w:lastColumn="0" w:lastRow="0" w:noHBand="0" w:noVBand="1" w:val="04A0"/>
      </w:tblPr>
      <w:tblGrid>
        <w:gridCol w:w="9746"/>
      </w:tblGrid>
      <w:tr>
        <w:trPr>
          <w:trHeight w:val="850"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07" w:name="Section_7"/>
      <w:pPr>
        <w:pStyle w:val="Heading1"/>
        <w:keepNext/>
      </w:pPr>
      <w:r>
        <w:t>07  Quantification, parameters and uncertainty</w:t>
      </w:r>
      <w:bookmarkEnd w:id="107"/>
    </w:p>
    <w:p>
      <w:pPr>
        <w:keepNext/>
        <w:spacing w:after="180" w:line="259" w:lineRule="auto"/>
      </w:pPr>
      <w:r>
        <w:rPr>
          <w:rFonts w:ascii="Arial" w:hAnsi="Arial"/>
          <w:b w:val="0"/>
          <w:i w:val="0"/>
          <w:color w:val="62716E"/>
          <w:sz w:val="15"/>
        </w:rPr>
        <w:t>[1] Basis: F-01; F-02; T-08; T-09; T-14; T-16; FRM-05; FRM-08</w:t>
      </w:r>
    </w:p>
    <w:p>
      <w:pPr>
        <w:pStyle w:val="Heading2"/>
        <w:keepNext/>
      </w:pPr>
      <w:r>
        <w:t>Complete calculation chain</w:t>
      </w:r>
    </w:p>
    <w:p>
      <w:pPr>
        <w:keepNext/>
        <w:spacing w:before="40" w:after="60"/>
      </w:pPr>
      <w:r>
        <w:rPr>
          <w:rFonts w:ascii="Lato" w:hAnsi="Lato"/>
          <w:color w:val="315B50"/>
          <w:sz w:val="18"/>
        </w:rPr>
        <w:t>FEASIBILITY-T13 / Calculation notation</w:t>
      </w:r>
    </w:p>
    <w:p>
      <w:pPr>
        <w:keepNext/>
        <w:spacing w:before="40" w:after="60"/>
      </w:pPr>
      <m:oMath>
        <m:sSub>
          <m:e>
            <m:r>
              <w:rPr>
                <w:sz w:val="18"/>
              </w:rPr>
              <m:t>q</m:t>
            </m:r>
          </m:e>
          <m:sub>
            <m:r>
              <w:rPr>
                <w:sz w:val="18"/>
              </w:rPr>
              <m:rPr>
                <m:sty m:val="p"/>
              </m:rPr>
              <m:t>ℓ</m:t>
            </m:r>
            <m:r>
              <w:rPr>
                <w:sz w:val="18"/>
              </w:rPr>
              <m:rPr>
                <m:sty m:val="p"/>
              </m:rPr>
              <m:t>,</m:t>
            </m:r>
            <m:r>
              <w:rPr>
                <w:sz w:val="18"/>
              </w:rPr>
              <m:t>s</m:t>
            </m:r>
            <m:r>
              <w:rPr>
                <w:sz w:val="18"/>
              </w:rPr>
              <m:rPr>
                <m:sty m:val="p"/>
              </m:rPr>
              <m:t>,</m:t>
            </m:r>
            <m:r>
              <w:rPr>
                <w:sz w:val="18"/>
              </w:rPr>
              <m:t>t</m:t>
            </m:r>
          </m:sub>
        </m:sSub>
        <m:r>
          <w:rPr>
            <w:sz w:val="18"/>
          </w:rPr>
          <m:rPr>
            <m:sty m:val="p"/>
          </m:rPr>
          <m:t>=</m:t>
        </m:r>
        <m:sSub>
          <m:e>
            <m:r>
              <w:rPr>
                <w:sz w:val="18"/>
              </w:rPr>
              <m:t>x</m:t>
            </m:r>
          </m:e>
          <m:sub>
            <m:r>
              <w:rPr>
                <w:sz w:val="18"/>
              </w:rPr>
              <m:rPr>
                <m:sty m:val="p"/>
              </m:rPr>
              <m:t>ℓ</m:t>
            </m:r>
            <m:r>
              <w:rPr>
                <w:sz w:val="18"/>
              </w:rPr>
              <m:rPr>
                <m:sty m:val="p"/>
              </m:rPr>
              <m:t>,</m:t>
            </m:r>
            <m:r>
              <w:rPr>
                <w:sz w:val="18"/>
              </w:rPr>
              <m:t>s</m:t>
            </m:r>
            <m:r>
              <w:rPr>
                <w:sz w:val="18"/>
              </w:rPr>
              <m:rPr>
                <m:sty m:val="p"/>
              </m:rPr>
              <m:t>,</m:t>
            </m:r>
            <m:r>
              <w:rPr>
                <w:sz w:val="18"/>
              </w:rPr>
              <m:t>t</m:t>
            </m:r>
          </m:sub>
        </m:sSub>
        <m:sSub>
          <m:e>
            <m:r>
              <w:rPr>
                <w:sz w:val="18"/>
              </w:rPr>
              <m:t>f</m:t>
            </m:r>
          </m:e>
          <m:sub>
            <m:r>
              <w:rPr>
                <w:sz w:val="18"/>
              </w:rPr>
              <m:rPr>
                <m:sty m:val="p"/>
              </m:rPr>
              <m:t>ℓ</m:t>
            </m:r>
            <m:r>
              <w:rPr>
                <w:sz w:val="18"/>
              </w:rPr>
              <m:rPr>
                <m:sty m:val="p"/>
              </m:rPr>
              <m:t>,</m:t>
            </m:r>
            <m:r>
              <w:rPr>
                <w:sz w:val="18"/>
              </w:rPr>
              <m:t>s</m:t>
            </m:r>
            <m:r>
              <w:rPr>
                <w:sz w:val="18"/>
              </w:rPr>
              <m:rPr>
                <m:sty m:val="p"/>
              </m:rPr>
              <m:t>,</m:t>
            </m:r>
            <m:r>
              <w:rPr>
                <w:sz w:val="18"/>
              </w:rPr>
              <m:t>t</m:t>
            </m:r>
          </m:sub>
        </m:sSub>
      </m:oMath>
    </w:p>
    <w:p>
      <w:pPr>
        <w:keepNext/>
        <w:spacing w:before="40" w:after="60"/>
      </w:pPr>
      <m:oMath>
        <m:sSub>
          <m:e>
            <m:r>
              <w:rPr>
                <w:sz w:val="18"/>
              </w:rPr>
              <m:t>N</m:t>
            </m:r>
          </m:e>
          <m:sub>
            <m:r>
              <w:rPr>
                <w:sz w:val="18"/>
              </w:rPr>
              <m:t>s</m:t>
            </m:r>
            <m:r>
              <w:rPr>
                <w:sz w:val="18"/>
              </w:rPr>
              <m:rPr>
                <m:sty m:val="p"/>
              </m:rPr>
              <m:t>,</m:t>
            </m:r>
            <m:r>
              <w:rPr>
                <w:sz w:val="18"/>
              </w:rPr>
              <m:t>t</m:t>
            </m:r>
          </m:sub>
        </m:sSub>
        <m:r>
          <w:rPr>
            <w:sz w:val="18"/>
          </w:rPr>
          <m:rPr>
            <m:sty m:val="p"/>
          </m:rPr>
          <m:t>=</m:t>
        </m:r>
        <m:nary>
          <m:naryPr>
            <m:chr m:val="∑"/>
            <m:limLoc m:val="undOvr"/>
            <m:subHide m:val="off"/>
            <m:supHide m:val="on"/>
          </m:naryPr>
          <m:sub>
            <m:r>
              <w:rPr>
                <w:sz w:val="18"/>
              </w:rPr>
              <m:rPr>
                <m:sty m:val="p"/>
              </m:rPr>
              <m:t>ℓ</m:t>
            </m:r>
            <m:r>
              <w:rPr>
                <w:sz w:val="18"/>
              </w:rPr>
              <m:rPr>
                <m:sty m:val="p"/>
              </m:rPr>
              <m:t>∈</m:t>
            </m:r>
            <m:sSub>
              <m:e>
                <m:r>
                  <w:rPr>
                    <w:sz w:val="18"/>
                  </w:rPr>
                  <m:rPr>
                    <m:sty m:val="p"/>
                    <m:scr m:val="script"/>
                  </m:rPr>
                  <m:t>I</m:t>
                </m:r>
              </m:e>
              <m:sub>
                <m:r>
                  <w:rPr>
                    <w:sz w:val="18"/>
                  </w:rPr>
                  <m:t>s</m:t>
                </m:r>
                <m:r>
                  <w:rPr>
                    <w:sz w:val="18"/>
                  </w:rPr>
                  <m:rPr>
                    <m:sty m:val="p"/>
                  </m:rPr>
                  <m:t>,</m:t>
                </m:r>
                <m:r>
                  <w:rPr>
                    <w:sz w:val="18"/>
                  </w:rPr>
                  <m:t>t</m:t>
                </m:r>
              </m:sub>
            </m:sSub>
          </m:sub>
          <m:sup>
            <m:r>
              <w:rPr>
                <w:sz w:val="18"/>
              </w:rPr>
              <m:t>​</m:t>
            </m:r>
          </m:sup>
          <m:e>
            <m:sSub>
              <m:e>
                <m:r>
                  <w:rPr>
                    <w:sz w:val="18"/>
                  </w:rPr>
                  <m:t>q</m:t>
                </m:r>
              </m:e>
              <m:sub>
                <m:r>
                  <w:rPr>
                    <w:sz w:val="18"/>
                  </w:rPr>
                  <m:rPr>
                    <m:sty m:val="p"/>
                  </m:rPr>
                  <m:t>ℓ</m:t>
                </m:r>
                <m:r>
                  <w:rPr>
                    <w:sz w:val="18"/>
                  </w:rPr>
                  <m:rPr>
                    <m:sty m:val="p"/>
                  </m:rPr>
                  <m:t>,</m:t>
                </m:r>
                <m:r>
                  <w:rPr>
                    <w:sz w:val="18"/>
                  </w:rPr>
                  <m:t>s</m:t>
                </m:r>
                <m:r>
                  <w:rPr>
                    <w:sz w:val="18"/>
                  </w:rPr>
                  <m:rPr>
                    <m:sty m:val="p"/>
                  </m:rPr>
                  <m:t>,</m:t>
                </m:r>
                <m:r>
                  <w:rPr>
                    <w:sz w:val="18"/>
                  </w:rPr>
                  <m:t>t</m:t>
                </m:r>
              </m:sub>
            </m:sSub>
          </m:e>
        </m:nary>
      </m:oMath>
    </w:p>
    <w:p>
      <w:pPr>
        <w:keepNext/>
        <w:spacing w:before="40" w:after="60"/>
      </w:pPr>
      <w:r>
        <w:rPr>
          <w:rFonts w:ascii="Lato" w:hAnsi="Lato"/>
          <w:color w:val="315B50"/>
          <w:sz w:val="16"/>
        </w:rPr>
        <w:t>x and f have reciprocal units yielding t CO2e per period. I is the set of included, evidenced, disjoint components for the same basis, period and account. For precomputed mass, f=1 must be explicitly entered with its meaning. BL and PJ are net emissions; LK is attributable leakage.</w:t>
      </w:r>
    </w:p>
    <w:p>
      <w:pPr>
        <w:keepNext/>
        <w:spacing w:before="40" w:after="60"/>
      </w:pPr>
      <w:r>
        <w:rPr>
          <w:rFonts w:ascii="Lato" w:hAnsi="Lato"/>
          <w:color w:val="315B50"/>
          <w:sz w:val="14"/>
        </w:rPr>
        <w:t>Basis: M04.4; M04.5; T-08; arithmetic implementation | Workbook: Components!G:I; ExAnte!F:H; ExPost!F:H</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925"/>
        <w:gridCol w:w="3900"/>
        <w:gridCol w:w="2925"/>
      </w:tblGrid>
      <w:tr>
        <w:trPr>
          <w:trHeight w:val="446" w:hRule="atLeast"/>
          <w:tblHeader/>
        </w:trPr>
        <w:tc>
          <w:tcPr>
            <w:tcW w:type="dxa" w:w="292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Output / equation IDs</w:t>
            </w:r>
          </w:p>
          <w:p>
            <w:pPr>
              <w:spacing w:before="40" w:after="40"/>
            </w:pPr>
            <m:oMath>
              <m:r>
                <w:rPr>
                  <w:sz w:val="16"/>
                  <w:color w:val="173E34"/>
                </w:rPr>
                <m:rPr>
                  <m:sty m:val="p"/>
                </m:rPr>
                <m:t>ℓ</m:t>
              </m:r>
              <m:r>
                <w:rPr>
                  <w:sz w:val="16"/>
                  <w:color w:val="173E34"/>
                </w:rPr>
                <m:rPr>
                  <m:sty m:val="p"/>
                </m:rPr>
                <m:t>,</m:t>
              </m:r>
              <m:r>
                <w:rPr>
                  <w:sz w:val="16"/>
                  <w:color w:val="173E34"/>
                </w:rPr>
                <m:t> </m:t>
              </m:r>
              <m:r>
                <w:rPr>
                  <w:sz w:val="16"/>
                  <w:color w:val="173E34"/>
                </w:rPr>
                <m:t>s</m:t>
              </m:r>
              <m:r>
                <w:rPr>
                  <w:sz w:val="16"/>
                  <w:color w:val="173E34"/>
                </w:rPr>
                <m:rPr>
                  <m:sty m:val="p"/>
                </m:rPr>
                <m:t>,</m:t>
              </m:r>
              <m:r>
                <w:rPr>
                  <w:sz w:val="16"/>
                  <w:color w:val="173E34"/>
                </w:rPr>
                <m:t> </m:t>
              </m:r>
              <m:r>
                <w:rPr>
                  <w:sz w:val="16"/>
                  <w:color w:val="173E34"/>
                </w:rPr>
                <m:t>t</m:t>
              </m:r>
            </m:oMath>
          </w:p>
        </w:tc>
        <w:tc>
          <w:tcPr>
            <w:tcW w:type="dxa" w:w="390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Inputs, support, units and source</w:t>
            </w:r>
          </w:p>
          <w:p>
            <w:pPr>
              <w:spacing w:before="40" w:after="40"/>
            </w:pPr>
            <m:oMath>
              <m:sSub>
                <m:e>
                  <m:r>
                    <w:rPr>
                      <w:sz w:val="16"/>
                      <w:color w:val="173E34"/>
                    </w:rPr>
                    <m:t>x</m:t>
                  </m:r>
                </m:e>
                <m:sub>
                  <m:r>
                    <w:rPr>
                      <w:sz w:val="16"/>
                      <w:color w:val="173E34"/>
                    </w:rPr>
                    <m:rPr>
                      <m:sty m:val="p"/>
                    </m:rPr>
                    <m:t>ℓ</m:t>
                  </m:r>
                  <m:r>
                    <w:rPr>
                      <w:sz w:val="16"/>
                      <w:color w:val="173E34"/>
                    </w:rPr>
                    <m:rPr>
                      <m:sty m:val="p"/>
                    </m:rPr>
                    <m:t>,</m:t>
                  </m:r>
                  <m:r>
                    <w:rPr>
                      <w:sz w:val="16"/>
                      <w:color w:val="173E34"/>
                    </w:rPr>
                    <m:t>s</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f</m:t>
                  </m:r>
                </m:e>
                <m:sub>
                  <m:r>
                    <w:rPr>
                      <w:sz w:val="16"/>
                      <w:color w:val="173E34"/>
                    </w:rPr>
                    <m:rPr>
                      <m:sty m:val="p"/>
                    </m:rPr>
                    <m:t>ℓ</m:t>
                  </m:r>
                  <m:r>
                    <w:rPr>
                      <w:sz w:val="16"/>
                      <w:color w:val="173E34"/>
                    </w:rPr>
                    <m:rPr>
                      <m:sty m:val="p"/>
                    </m:rPr>
                    <m:t>,</m:t>
                  </m:r>
                  <m:r>
                    <w:rPr>
                      <w:sz w:val="16"/>
                      <w:color w:val="173E34"/>
                    </w:rPr>
                    <m:t>s</m:t>
                  </m:r>
                  <m:r>
                    <w:rPr>
                      <w:sz w:val="16"/>
                      <w:color w:val="173E34"/>
                    </w:rPr>
                    <m:rPr>
                      <m:sty m:val="p"/>
                    </m:rPr>
                    <m:t>,</m:t>
                  </m:r>
                  <m:r>
                    <w:rPr>
                      <w:sz w:val="16"/>
                      <w:color w:val="173E34"/>
                    </w:rPr>
                    <m:t>t</m:t>
                  </m:r>
                </m:sub>
              </m:sSub>
            </m:oMath>
          </w:p>
        </w:tc>
        <w:tc>
          <w:tcPr>
            <w:tcW w:type="dxa" w:w="292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Result, status and evidence</w:t>
            </w:r>
          </w:p>
          <w:p>
            <w:pPr>
              <w:spacing w:before="40" w:after="40"/>
            </w:pPr>
            <m:oMath>
              <m:sSub>
                <m:e>
                  <m:r>
                    <w:rPr>
                      <w:sz w:val="16"/>
                      <w:color w:val="173E34"/>
                    </w:rPr>
                    <m:t>q</m:t>
                  </m:r>
                </m:e>
                <m:sub>
                  <m:r>
                    <w:rPr>
                      <w:sz w:val="16"/>
                      <w:color w:val="173E34"/>
                    </w:rPr>
                    <m:rPr>
                      <m:sty m:val="p"/>
                    </m:rPr>
                    <m:t>ℓ</m:t>
                  </m:r>
                  <m:r>
                    <w:rPr>
                      <w:sz w:val="16"/>
                      <w:color w:val="173E34"/>
                    </w:rPr>
                    <m:rPr>
                      <m:sty m:val="p"/>
                    </m:rPr>
                    <m:t>,</m:t>
                  </m:r>
                  <m:r>
                    <w:rPr>
                      <w:sz w:val="16"/>
                      <w:color w:val="173E34"/>
                    </w:rPr>
                    <m:t>s</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N</m:t>
                  </m:r>
                </m:e>
                <m:sub>
                  <m:r>
                    <w:rPr>
                      <w:sz w:val="16"/>
                      <w:color w:val="173E34"/>
                    </w:rPr>
                    <m:t>s</m:t>
                  </m:r>
                  <m:r>
                    <w:rPr>
                      <w:sz w:val="16"/>
                      <w:color w:val="173E34"/>
                    </w:rPr>
                    <m:rPr>
                      <m:sty m:val="p"/>
                    </m:rPr>
                    <m:t>,</m:t>
                  </m:r>
                  <m:r>
                    <w:rPr>
                      <w:sz w:val="16"/>
                      <w:color w:val="173E34"/>
                    </w:rPr>
                    <m:t>t</m:t>
                  </m:r>
                </m:sub>
              </m:sSub>
            </m:oMath>
          </w:p>
        </w:tc>
      </w:tr>
      <w:tr>
        <w:trPr>
          <w:trHeight w:val="446"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90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90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90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90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90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Uncertainty and sensitivity budget</w:t>
      </w:r>
    </w:p>
    <w:p>
      <w:pPr>
        <w:keepNext/>
        <w:spacing w:before="40" w:after="60"/>
      </w:pPr>
      <w:r>
        <w:rPr>
          <w:rFonts w:ascii="Lato" w:hAnsi="Lato"/>
          <w:color w:val="315B50"/>
          <w:sz w:val="18"/>
        </w:rPr>
        <w:t>FEASIBILITY-T14 / Calculation notation</w:t>
      </w:r>
    </w:p>
    <w:p>
      <w:pPr>
        <w:keepNext/>
        <w:spacing w:before="40" w:after="60"/>
      </w:pPr>
      <m:oMath>
        <m:sSubSup>
          <m:e>
            <m:r>
              <w:rPr>
                <w:sz w:val="18"/>
              </w:rPr>
              <m:t>u</m:t>
            </m:r>
          </m:e>
          <m:sub>
            <m:r>
              <w:rPr>
                <w:sz w:val="18"/>
              </w:rPr>
              <m:t>Q</m:t>
            </m:r>
          </m:sub>
          <m:sup>
            <m:r>
              <w:rPr>
                <w:sz w:val="18"/>
              </w:rPr>
              <m:t>2</m:t>
            </m:r>
          </m:sup>
        </m:sSubSup>
        <m:r>
          <w:rPr>
            <w:sz w:val="18"/>
          </w:rPr>
          <m:rPr>
            <m:sty m:val="p"/>
          </m:rPr>
          <m:t>=</m:t>
        </m:r>
        <m:sSubSup>
          <m:e>
            <m:r>
              <w:rPr>
                <w:sz w:val="18"/>
              </w:rPr>
              <m:t>u</m:t>
            </m:r>
          </m:e>
          <m:sub>
            <m:r>
              <w:rPr>
                <w:sz w:val="18"/>
              </w:rPr>
              <m:t>B</m:t>
            </m:r>
          </m:sub>
          <m:sup>
            <m:r>
              <w:rPr>
                <w:sz w:val="18"/>
              </w:rPr>
              <m:t>2</m:t>
            </m:r>
          </m:sup>
        </m:sSubSup>
        <m:r>
          <w:rPr>
            <w:sz w:val="18"/>
          </w:rPr>
          <m:rPr>
            <m:sty m:val="p"/>
          </m:rPr>
          <m:t>+</m:t>
        </m:r>
        <m:sSubSup>
          <m:e>
            <m:r>
              <w:rPr>
                <w:sz w:val="18"/>
              </w:rPr>
              <m:t>u</m:t>
            </m:r>
          </m:e>
          <m:sub>
            <m:r>
              <w:rPr>
                <w:sz w:val="18"/>
              </w:rPr>
              <m:t>P</m:t>
            </m:r>
          </m:sub>
          <m:sup>
            <m:r>
              <w:rPr>
                <w:sz w:val="18"/>
              </w:rPr>
              <m:t>2</m:t>
            </m:r>
          </m:sup>
        </m:sSubSup>
        <m:r>
          <w:rPr>
            <w:sz w:val="18"/>
          </w:rPr>
          <m:rPr>
            <m:sty m:val="p"/>
          </m:rPr>
          <m:t>+</m:t>
        </m:r>
        <m:sSubSup>
          <m:e>
            <m:r>
              <w:rPr>
                <w:sz w:val="18"/>
              </w:rPr>
              <m:t>u</m:t>
            </m:r>
          </m:e>
          <m:sub>
            <m:r>
              <w:rPr>
                <w:sz w:val="18"/>
              </w:rPr>
              <m:t>L</m:t>
            </m:r>
          </m:sub>
          <m:sup>
            <m:r>
              <w:rPr>
                <w:sz w:val="18"/>
              </w:rPr>
              <m:t>2</m:t>
            </m:r>
          </m:sup>
        </m:sSubSup>
        <m:r>
          <w:rPr>
            <w:sz w:val="18"/>
          </w:rPr>
          <m:rPr>
            <m:sty m:val="p"/>
          </m:rPr>
          <m:t>−</m:t>
        </m:r>
        <m:r>
          <w:rPr>
            <w:sz w:val="18"/>
          </w:rPr>
          <m:t>2</m:t>
        </m:r>
        <m:r>
          <w:rPr>
            <w:sz w:val="18"/>
          </w:rPr>
          <m:rPr>
            <m:sty m:val="p"/>
          </m:rPr>
          <m:t>Cov</m:t>
        </m:r>
        <m:d>
          <m:dPr>
            <m:begChr m:val="("/>
            <m:endChr m:val=")"/>
            <m:sepChr m:val=""/>
            <m:grow/>
          </m:dPr>
          <m:e>
            <m:r>
              <w:rPr>
                <w:sz w:val="18"/>
              </w:rPr>
              <m:t>B</m:t>
            </m:r>
            <m:r>
              <w:rPr>
                <w:sz w:val="18"/>
              </w:rPr>
              <m:rPr>
                <m:sty m:val="p"/>
              </m:rPr>
              <m:t>,</m:t>
            </m:r>
            <m:r>
              <w:rPr>
                <w:sz w:val="18"/>
              </w:rPr>
              <m:t>P</m:t>
            </m:r>
          </m:e>
        </m:d>
        <m:r>
          <w:rPr>
            <w:sz w:val="18"/>
          </w:rPr>
          <m:rPr>
            <m:sty m:val="p"/>
          </m:rPr>
          <m:t>−</m:t>
        </m:r>
        <m:r>
          <w:rPr>
            <w:sz w:val="18"/>
          </w:rPr>
          <m:t>2</m:t>
        </m:r>
        <m:r>
          <w:rPr>
            <w:sz w:val="18"/>
          </w:rPr>
          <m:rPr>
            <m:sty m:val="p"/>
          </m:rPr>
          <m:t>Cov</m:t>
        </m:r>
        <m:d>
          <m:dPr>
            <m:begChr m:val="("/>
            <m:endChr m:val=")"/>
            <m:sepChr m:val=""/>
            <m:grow/>
          </m:dPr>
          <m:e>
            <m:r>
              <w:rPr>
                <w:sz w:val="18"/>
              </w:rPr>
              <m:t>B</m:t>
            </m:r>
            <m:r>
              <w:rPr>
                <w:sz w:val="18"/>
              </w:rPr>
              <m:rPr>
                <m:sty m:val="p"/>
              </m:rPr>
              <m:t>,</m:t>
            </m:r>
            <m:r>
              <w:rPr>
                <w:sz w:val="18"/>
              </w:rPr>
              <m:t>L</m:t>
            </m:r>
          </m:e>
        </m:d>
        <m:r>
          <w:rPr>
            <w:sz w:val="18"/>
          </w:rPr>
          <m:rPr>
            <m:sty m:val="p"/>
          </m:rPr>
          <m:t>+</m:t>
        </m:r>
        <m:r>
          <w:rPr>
            <w:sz w:val="18"/>
          </w:rPr>
          <m:t>2</m:t>
        </m:r>
        <m:r>
          <w:rPr>
            <w:sz w:val="18"/>
          </w:rPr>
          <m:rPr>
            <m:sty m:val="p"/>
          </m:rPr>
          <m:t>Cov</m:t>
        </m:r>
        <m:d>
          <m:dPr>
            <m:begChr m:val="("/>
            <m:endChr m:val=")"/>
            <m:sepChr m:val=""/>
            <m:grow/>
          </m:dPr>
          <m:e>
            <m:r>
              <w:rPr>
                <w:sz w:val="18"/>
              </w:rPr>
              <m:t>P</m:t>
            </m:r>
            <m:r>
              <w:rPr>
                <w:sz w:val="18"/>
              </w:rPr>
              <m:rPr>
                <m:sty m:val="p"/>
              </m:rPr>
              <m:t>,</m:t>
            </m:r>
            <m:r>
              <w:rPr>
                <w:sz w:val="18"/>
              </w:rPr>
              <m:t>L</m:t>
            </m:r>
          </m:e>
        </m:d>
      </m:oMath>
    </w:p>
    <w:p>
      <w:pPr>
        <w:keepNext/>
        <w:spacing w:before="40" w:after="60"/>
      </w:pPr>
      <w:r>
        <w:rPr>
          <w:rFonts w:ascii="Lato" w:hAnsi="Lato"/>
          <w:color w:val="315B50"/>
          <w:sz w:val="16"/>
        </w:rPr>
        <w:t>B, P and L in this variance identity denote baseline, project and leakage estimators, not reserve B_t. Standard uncertainties are in t CO2e; variances and covariances are squared units. Retain shared-source dependence and a valid covariance matrix.</w:t>
      </w:r>
    </w:p>
    <w:p>
      <w:pPr>
        <w:keepNext/>
        <w:spacing w:before="40" w:after="60"/>
      </w:pPr>
      <w:r>
        <w:rPr>
          <w:rFonts w:ascii="Lato" w:hAnsi="Lato"/>
          <w:color w:val="315B50"/>
          <w:sz w:val="14"/>
        </w:rPr>
        <w:t>Basis: F-U01; M05.1; M05.2 | Workbook: Qualified uncertainty calculation; ExAnte!J:L; ExPost!J:L</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705"/>
        <w:gridCol w:w="3022"/>
      </w:tblGrid>
      <w:tr>
        <w:trPr>
          <w:trHeight w:val="446" w:hRule="atLeast"/>
          <w:tblHeader/>
        </w:trPr>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Component / possible bias</w:t>
            </w:r>
          </w:p>
          <w:p>
            <w:pPr>
              <w:spacing w:before="40" w:after="40"/>
            </w:pPr>
            <m:oMath>
              <m:r>
                <w:rPr>
                  <w:sz w:val="16"/>
                  <w:color w:val="173E34"/>
                </w:rPr>
                <m:t>B</m:t>
              </m:r>
              <m:r>
                <w:rPr>
                  <w:sz w:val="16"/>
                  <w:color w:val="173E34"/>
                </w:rPr>
                <m:rPr>
                  <m:sty m:val="p"/>
                </m:rPr>
                <m:t>,</m:t>
              </m:r>
              <m:r>
                <w:rPr>
                  <w:sz w:val="16"/>
                  <w:color w:val="173E34"/>
                </w:rPr>
                <m:t> </m:t>
              </m:r>
              <m:r>
                <w:rPr>
                  <w:sz w:val="16"/>
                  <w:color w:val="173E34"/>
                </w:rPr>
                <m:t>P</m:t>
              </m:r>
              <m:r>
                <w:rPr>
                  <w:sz w:val="16"/>
                  <w:color w:val="173E34"/>
                </w:rPr>
                <m:rPr>
                  <m:sty m:val="p"/>
                </m:rPr>
                <m:t>,</m:t>
              </m:r>
              <m:r>
                <w:rPr>
                  <w:sz w:val="16"/>
                  <w:color w:val="173E34"/>
                </w:rPr>
                <m:t> </m:t>
              </m:r>
              <m:r>
                <w:rPr>
                  <w:sz w:val="16"/>
                  <w:color w:val="173E34"/>
                </w:rPr>
                <m:t>L</m:t>
              </m:r>
            </m:oMath>
          </w:p>
        </w:tc>
        <w:tc>
          <w:tcPr>
            <w:tcW w:type="dxa" w:w="370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Quantification, covariance or bound</w:t>
            </w:r>
          </w:p>
          <w:p>
            <w:pPr>
              <w:spacing w:before="40" w:after="40"/>
            </w:pPr>
            <m:oMath>
              <m:sSub>
                <m:e>
                  <m:r>
                    <w:rPr>
                      <w:sz w:val="16"/>
                      <w:color w:val="173E34"/>
                    </w:rPr>
                    <m:t>u</m:t>
                  </m:r>
                </m:e>
                <m:sub>
                  <m:r>
                    <w:rPr>
                      <w:sz w:val="16"/>
                      <w:color w:val="173E34"/>
                    </w:rPr>
                    <m:t>B</m:t>
                  </m:r>
                </m:sub>
              </m:sSub>
              <m:r>
                <w:rPr>
                  <w:sz w:val="16"/>
                  <w:color w:val="173E34"/>
                </w:rPr>
                <m:rPr>
                  <m:sty m:val="p"/>
                </m:rPr>
                <m:t>,</m:t>
              </m:r>
              <m:r>
                <w:rPr>
                  <w:sz w:val="16"/>
                  <w:color w:val="173E34"/>
                </w:rPr>
                <m:t> </m:t>
              </m:r>
              <m:sSub>
                <m:e>
                  <m:r>
                    <w:rPr>
                      <w:sz w:val="16"/>
                      <w:color w:val="173E34"/>
                    </w:rPr>
                    <m:t>u</m:t>
                  </m:r>
                </m:e>
                <m:sub>
                  <m:r>
                    <w:rPr>
                      <w:sz w:val="16"/>
                      <w:color w:val="173E34"/>
                    </w:rPr>
                    <m:t>P</m:t>
                  </m:r>
                </m:sub>
              </m:sSub>
              <m:r>
                <w:rPr>
                  <w:sz w:val="16"/>
                  <w:color w:val="173E34"/>
                </w:rPr>
                <m:rPr>
                  <m:sty m:val="p"/>
                </m:rPr>
                <m:t>,</m:t>
              </m:r>
              <m:r>
                <w:rPr>
                  <w:sz w:val="16"/>
                  <w:color w:val="173E34"/>
                </w:rPr>
                <m:t> </m:t>
              </m:r>
              <m:sSub>
                <m:e>
                  <m:r>
                    <w:rPr>
                      <w:sz w:val="16"/>
                      <w:color w:val="173E34"/>
                    </w:rPr>
                    <m:t>u</m:t>
                  </m:r>
                </m:e>
                <m:sub>
                  <m:r>
                    <w:rPr>
                      <w:sz w:val="16"/>
                      <w:color w:val="173E34"/>
                    </w:rPr>
                    <m:t>L</m:t>
                  </m:r>
                </m:sub>
              </m:sSub>
              <m:r>
                <w:rPr>
                  <w:sz w:val="16"/>
                  <w:color w:val="173E34"/>
                </w:rPr>
                <m:rPr>
                  <m:sty m:val="p"/>
                </m:rPr>
                <m:t>,</m:t>
              </m:r>
              <m:r>
                <w:rPr>
                  <w:sz w:val="16"/>
                  <w:color w:val="173E34"/>
                </w:rPr>
                <m:t> </m:t>
              </m:r>
              <m:r>
                <w:rPr>
                  <w:sz w:val="16"/>
                  <w:color w:val="173E34"/>
                </w:rPr>
                <m:rPr>
                  <m:sty m:val="p"/>
                </m:rPr>
                <m:t>Cov</m:t>
              </m:r>
            </m:oMath>
          </w:p>
        </w:tc>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Effect and acceptance evidence</w:t>
            </w:r>
          </w:p>
          <w:p>
            <w:pPr>
              <w:spacing w:before="40" w:after="40"/>
            </w:pPr>
            <m:oMath>
              <m:sSubSup>
                <m:e>
                  <m:r>
                    <w:rPr>
                      <w:sz w:val="16"/>
                      <w:color w:val="173E34"/>
                    </w:rPr>
                    <m:t>u</m:t>
                  </m:r>
                </m:e>
                <m:sub>
                  <m:r>
                    <w:rPr>
                      <w:sz w:val="16"/>
                      <w:color w:val="173E34"/>
                    </w:rPr>
                    <m:t>Q</m:t>
                  </m:r>
                </m:sub>
                <m:sup>
                  <m:r>
                    <w:rPr>
                      <w:sz w:val="16"/>
                      <w:color w:val="173E34"/>
                    </w:rPr>
                    <m:t>2</m:t>
                  </m:r>
                </m:sup>
              </m:sSubSup>
              <m:r>
                <w:rPr>
                  <w:sz w:val="16"/>
                  <w:color w:val="173E34"/>
                </w:rPr>
                <m:rPr>
                  <m:sty m:val="p"/>
                </m:rPr>
                <m:t>,</m:t>
              </m:r>
              <m:r>
                <w:rPr>
                  <w:sz w:val="16"/>
                  <w:color w:val="173E34"/>
                </w:rPr>
                <m:t> </m:t>
              </m:r>
              <m:sSubSup>
                <m:e>
                  <m:r>
                    <w:rPr>
                      <w:sz w:val="16"/>
                      <w:color w:val="173E34"/>
                    </w:rPr>
                    <m:t>Q</m:t>
                  </m:r>
                </m:e>
                <m:sub>
                  <m:r>
                    <w:rPr>
                      <w:sz w:val="16"/>
                      <w:color w:val="173E34"/>
                    </w:rPr>
                    <m:t>t</m:t>
                  </m:r>
                </m:sub>
                <m:sup>
                  <m:r>
                    <w:rPr>
                      <w:sz w:val="16"/>
                      <w:color w:val="173E34"/>
                    </w:rPr>
                    <m:rPr>
                      <m:sty m:val="p"/>
                    </m:rPr>
                    <m:t>l</m:t>
                  </m:r>
                  <m:r>
                    <w:rPr>
                      <w:sz w:val="16"/>
                      <w:color w:val="173E34"/>
                    </w:rPr>
                    <m:rPr>
                      <m:sty m:val="p"/>
                    </m:rPr>
                    <m:t>o</m:t>
                  </m:r>
                  <m:r>
                    <w:rPr>
                      <w:sz w:val="16"/>
                      <w:color w:val="173E34"/>
                    </w:rPr>
                    <m:rPr>
                      <m:sty m:val="p"/>
                    </m:rPr>
                    <m:t>w</m:t>
                  </m:r>
                </m:sup>
              </m:sSubSup>
            </m:oMath>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70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70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70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Reconciliation and parameter decisions</w:t>
      </w:r>
    </w:p>
    <w:p>
      <w:pPr>
        <w:keepNext/>
        <w:spacing w:after="100" w:line="259" w:lineRule="auto"/>
      </w:pPr>
      <w:r>
        <w:rPr>
          <w:rFonts w:ascii="Arial" w:hAnsi="Arial"/>
          <w:b w:val="0"/>
          <w:i w:val="0"/>
          <w:color w:val="62716E"/>
          <w:sz w:val="18"/>
        </w:rPr>
        <w:t>Attach the complete reproducible calculation and FRM-05 AP-01–AP-12 profile. Separate observations, calibration, assumptions and projections. State the materiality basis and conservative direction for the full net account. Retain negative results and failed tests.</w:t>
      </w:r>
    </w:p>
    <w:tbl>
      <w:tblPr>
        <w:tblW w:type="auto" w:w="0"/>
        <w:tblLook w:firstColumn="1" w:firstRow="1" w:lastColumn="0" w:lastRow="0" w:noHBand="0" w:noVBand="1" w:val="04A0"/>
      </w:tblPr>
      <w:tblGrid>
        <w:gridCol w:w="9746"/>
      </w:tblGrid>
      <w:tr>
        <w:trPr>
          <w:trHeight w:val="850"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08" w:name="Section_8"/>
      <w:pPr>
        <w:pStyle w:val="Heading1"/>
        <w:keepNext/>
      </w:pPr>
      <w:r>
        <w:t>08  Leakage, risk, liabilities and reserve design</w:t>
      </w:r>
      <w:bookmarkEnd w:id="108"/>
    </w:p>
    <w:p>
      <w:pPr>
        <w:keepNext/>
        <w:spacing w:after="180" w:line="259" w:lineRule="auto"/>
      </w:pPr>
      <w:r>
        <w:rPr>
          <w:rFonts w:ascii="Arial" w:hAnsi="Arial"/>
          <w:b w:val="0"/>
          <w:i w:val="0"/>
          <w:color w:val="62716E"/>
          <w:sz w:val="15"/>
        </w:rPr>
        <w:t>[1] Basis: S-10; S-11; T-17; T-18; T-19; T-20; F-03; FRM-09; FRM-02/C</w:t>
      </w:r>
    </w:p>
    <w:p>
      <w:pPr>
        <w:pStyle w:val="Heading2"/>
        <w:keepNext/>
      </w:pPr>
      <w:r>
        <w:t>Leakage and residual-risk dossier</w:t>
      </w:r>
    </w:p>
    <w:p>
      <w:pPr>
        <w:keepNext/>
        <w:spacing w:before="40" w:after="60"/>
      </w:pPr>
      <w:r>
        <w:rPr>
          <w:rFonts w:ascii="Lato" w:hAnsi="Lato"/>
          <w:color w:val="315B50"/>
          <w:sz w:val="18"/>
        </w:rPr>
        <w:t>FEASIBILITY-T15 / Calculation notation</w:t>
      </w:r>
    </w:p>
    <w:p>
      <w:pPr>
        <w:keepNext/>
        <w:spacing w:before="40" w:after="60"/>
      </w:pPr>
      <m:oMath>
        <m:sSub>
          <m:e>
            <m:acc>
              <m:accPr>
                <m:chr m:val="̂"/>
              </m:accPr>
              <m:e>
                <m:r>
                  <w:rPr>
                    <w:sz w:val="18"/>
                  </w:rPr>
                  <m:t>L</m:t>
                </m:r>
              </m:e>
            </m:acc>
          </m:e>
          <m:sub>
            <m:r>
              <w:rPr>
                <w:sz w:val="18"/>
              </w:rPr>
              <m:t>t</m:t>
            </m:r>
          </m:sub>
        </m:sSub>
        <m:r>
          <w:rPr>
            <w:sz w:val="18"/>
          </w:rPr>
          <m:rPr>
            <m:sty m:val="p"/>
          </m:rPr>
          <m:t>=</m:t>
        </m:r>
        <m:sSub>
          <m:e>
            <m:r>
              <w:rPr>
                <w:sz w:val="18"/>
              </w:rPr>
              <m:t>N</m:t>
            </m:r>
          </m:e>
          <m:sub>
            <m:r>
              <w:rPr>
                <w:sz w:val="18"/>
              </w:rPr>
              <m:rPr>
                <m:sty m:val="p"/>
              </m:rPr>
              <m:t>P</m:t>
            </m:r>
            <m:r>
              <w:rPr>
                <w:sz w:val="18"/>
              </w:rPr>
              <m:rPr>
                <m:sty m:val="p"/>
              </m:rPr>
              <m:t>L</m:t>
            </m:r>
            <m:r>
              <w:rPr>
                <w:sz w:val="18"/>
              </w:rPr>
              <m:rPr>
                <m:sty m:val="p"/>
              </m:rPr>
              <m:t>K</m:t>
            </m:r>
            <m:r>
              <w:rPr>
                <w:sz w:val="18"/>
              </w:rPr>
              <m:rPr>
                <m:sty m:val="p"/>
              </m:rPr>
              <m:t>A</m:t>
            </m:r>
            <m:r>
              <w:rPr>
                <w:sz w:val="18"/>
              </w:rPr>
              <m:rPr>
                <m:sty m:val="p"/>
              </m:rPr>
              <m:t>,</m:t>
            </m:r>
            <m:r>
              <w:rPr>
                <w:sz w:val="18"/>
              </w:rPr>
              <m:rPr>
                <m:sty m:val="p"/>
              </m:rPr>
              <m:t>w</m:t>
            </m:r>
            <m:r>
              <w:rPr>
                <w:sz w:val="18"/>
              </w:rPr>
              <m:rPr>
                <m:sty m:val="p"/>
              </m:rPr>
              <m:t>i</m:t>
            </m:r>
            <m:r>
              <w:rPr>
                <w:sz w:val="18"/>
              </w:rPr>
              <m:rPr>
                <m:sty m:val="p"/>
              </m:rPr>
              <m:t>t</m:t>
            </m:r>
            <m:r>
              <w:rPr>
                <w:sz w:val="18"/>
              </w:rPr>
              <m:rPr>
                <m:sty m:val="p"/>
              </m:rPr>
              <m:t>h</m:t>
            </m:r>
            <m:r>
              <w:rPr>
                <w:sz w:val="18"/>
              </w:rPr>
              <m:rPr>
                <m:sty m:val="p"/>
              </m:rPr>
              <m:t>,</m:t>
            </m:r>
            <m:r>
              <w:rPr>
                <w:sz w:val="18"/>
              </w:rPr>
              <m:t>t</m:t>
            </m:r>
          </m:sub>
        </m:sSub>
        <m:r>
          <w:rPr>
            <w:sz w:val="18"/>
          </w:rPr>
          <m:rPr>
            <m:sty m:val="p"/>
          </m:rPr>
          <m:t>−</m:t>
        </m:r>
        <m:sSub>
          <m:e>
            <m:r>
              <w:rPr>
                <w:sz w:val="18"/>
              </w:rPr>
              <m:t>N</m:t>
            </m:r>
          </m:e>
          <m:sub>
            <m:r>
              <w:rPr>
                <w:sz w:val="18"/>
              </w:rPr>
              <m:rPr>
                <m:sty m:val="p"/>
              </m:rPr>
              <m:t>P</m:t>
            </m:r>
            <m:r>
              <w:rPr>
                <w:sz w:val="18"/>
              </w:rPr>
              <m:rPr>
                <m:sty m:val="p"/>
              </m:rPr>
              <m:t>L</m:t>
            </m:r>
            <m:r>
              <w:rPr>
                <w:sz w:val="18"/>
              </w:rPr>
              <m:rPr>
                <m:sty m:val="p"/>
              </m:rPr>
              <m:t>K</m:t>
            </m:r>
            <m:r>
              <w:rPr>
                <w:sz w:val="18"/>
              </w:rPr>
              <m:rPr>
                <m:sty m:val="p"/>
              </m:rPr>
              <m:t>A</m:t>
            </m:r>
            <m:r>
              <w:rPr>
                <w:sz w:val="18"/>
              </w:rPr>
              <m:rPr>
                <m:sty m:val="p"/>
              </m:rPr>
              <m:t>,</m:t>
            </m:r>
            <m:r>
              <w:rPr>
                <w:sz w:val="18"/>
              </w:rPr>
              <m:rPr>
                <m:sty m:val="p"/>
              </m:rPr>
              <m:t>w</m:t>
            </m:r>
            <m:r>
              <w:rPr>
                <w:sz w:val="18"/>
              </w:rPr>
              <m:rPr>
                <m:sty m:val="p"/>
              </m:rPr>
              <m:t>i</m:t>
            </m:r>
            <m:r>
              <w:rPr>
                <w:sz w:val="18"/>
              </w:rPr>
              <m:rPr>
                <m:sty m:val="p"/>
              </m:rPr>
              <m:t>t</m:t>
            </m:r>
            <m:r>
              <w:rPr>
                <w:sz w:val="18"/>
              </w:rPr>
              <m:rPr>
                <m:sty m:val="p"/>
              </m:rPr>
              <m:t>h</m:t>
            </m:r>
            <m:r>
              <w:rPr>
                <w:sz w:val="18"/>
              </w:rPr>
              <m:rPr>
                <m:sty m:val="p"/>
              </m:rPr>
              <m:t>o</m:t>
            </m:r>
            <m:r>
              <w:rPr>
                <w:sz w:val="18"/>
              </w:rPr>
              <m:rPr>
                <m:sty m:val="p"/>
              </m:rPr>
              <m:t>u</m:t>
            </m:r>
            <m:r>
              <w:rPr>
                <w:sz w:val="18"/>
              </w:rPr>
              <m:rPr>
                <m:sty m:val="p"/>
              </m:rPr>
              <m:t>t</m:t>
            </m:r>
            <m:r>
              <w:rPr>
                <w:sz w:val="18"/>
              </w:rPr>
              <m:rPr>
                <m:sty m:val="p"/>
              </m:rPr>
              <m:t>,</m:t>
            </m:r>
            <m:r>
              <w:rPr>
                <w:sz w:val="18"/>
              </w:rPr>
              <m:t>t</m:t>
            </m:r>
          </m:sub>
        </m:sSub>
      </m:oMath>
    </w:p>
    <w:p>
      <w:pPr>
        <w:keepNext/>
        <w:spacing w:before="40" w:after="60"/>
      </w:pPr>
      <w:r>
        <w:rPr>
          <w:rFonts w:ascii="Lato" w:hAnsi="Lato"/>
          <w:color w:val="315B50"/>
          <w:sz w:val="16"/>
        </w:rPr>
        <w:t>The two accounts have matched geography, activities, gases and intervals. Any source ratio remains an explicit numerator/denominator, not an assumed percentage. A signed diagnostic does not automatically authorize an extra benefit; the applicable attribution profile governs.</w:t>
      </w:r>
    </w:p>
    <w:p>
      <w:pPr>
        <w:keepNext/>
        <w:spacing w:before="40" w:after="60"/>
      </w:pPr>
      <w:r>
        <w:rPr>
          <w:rFonts w:ascii="Lato" w:hAnsi="Lato"/>
          <w:color w:val="315B50"/>
          <w:sz w:val="14"/>
        </w:rPr>
        <w:t>Basis: F-L01; T-08 | Workbook: Components!D=LK; ExAnte!H; ExPost!H</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412"/>
        <w:gridCol w:w="3315"/>
      </w:tblGrid>
      <w:tr>
        <w:trPr>
          <w:trHeight w:val="446" w:hRule="atLeast"/>
          <w:tblHeader/>
        </w:trPr>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Source / exposure / horizon</w:t>
            </w:r>
          </w:p>
          <w:p>
            <w:pPr>
              <w:spacing w:before="40" w:after="40"/>
            </w:pPr>
            <m:oMath>
              <m:r>
                <w:rPr>
                  <w:sz w:val="16"/>
                  <w:color w:val="173E34"/>
                </w:rPr>
                <m:t>t</m:t>
              </m:r>
              <m:r>
                <w:rPr>
                  <w:sz w:val="16"/>
                  <w:color w:val="173E34"/>
                </w:rPr>
                <m:rPr>
                  <m:sty m:val="p"/>
                </m:rPr>
                <m:t>,</m:t>
              </m:r>
              <m:r>
                <w:rPr>
                  <w:sz w:val="16"/>
                  <w:color w:val="173E34"/>
                </w:rPr>
                <m:t> </m:t>
              </m:r>
              <m:r>
                <w:rPr>
                  <w:sz w:val="16"/>
                  <w:color w:val="173E34"/>
                </w:rPr>
                <m:rPr>
                  <m:sty m:val="p"/>
                </m:rPr>
                <m:t>P</m:t>
              </m:r>
              <m:r>
                <w:rPr>
                  <w:sz w:val="16"/>
                  <w:color w:val="173E34"/>
                </w:rPr>
                <m:rPr>
                  <m:sty m:val="p"/>
                </m:rPr>
                <m:t>L</m:t>
              </m:r>
              <m:r>
                <w:rPr>
                  <w:sz w:val="16"/>
                  <w:color w:val="173E34"/>
                </w:rPr>
                <m:rPr>
                  <m:sty m:val="p"/>
                </m:rPr>
                <m:t>K</m:t>
              </m:r>
              <m:r>
                <w:rPr>
                  <w:sz w:val="16"/>
                  <w:color w:val="173E34"/>
                </w:rPr>
                <m:rPr>
                  <m:sty m:val="p"/>
                </m:rPr>
                <m:t>A</m:t>
              </m:r>
            </m:oMath>
          </w:p>
        </w:tc>
        <w:tc>
          <w:tcPr>
            <w:tcW w:type="dxa" w:w="341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Evidence, model or stress treatment</w:t>
            </w:r>
          </w:p>
          <w:p>
            <w:pPr>
              <w:spacing w:before="40" w:after="40"/>
            </w:pPr>
            <m:oMath>
              <m:sSub>
                <m:e>
                  <m:r>
                    <w:rPr>
                      <w:sz w:val="16"/>
                      <w:color w:val="173E34"/>
                    </w:rPr>
                    <m:t>N</m:t>
                  </m:r>
                </m:e>
                <m:sub>
                  <m:r>
                    <w:rPr>
                      <w:sz w:val="16"/>
                      <w:color w:val="173E34"/>
                    </w:rPr>
                    <m:rPr>
                      <m:sty m:val="p"/>
                    </m:rPr>
                    <m:t>P</m:t>
                  </m:r>
                  <m:r>
                    <w:rPr>
                      <w:sz w:val="16"/>
                      <w:color w:val="173E34"/>
                    </w:rPr>
                    <m:rPr>
                      <m:sty m:val="p"/>
                    </m:rPr>
                    <m:t>L</m:t>
                  </m:r>
                  <m:r>
                    <w:rPr>
                      <w:sz w:val="16"/>
                      <w:color w:val="173E34"/>
                    </w:rPr>
                    <m:rPr>
                      <m:sty m:val="p"/>
                    </m:rPr>
                    <m:t>K</m:t>
                  </m:r>
                  <m:r>
                    <w:rPr>
                      <w:sz w:val="16"/>
                      <w:color w:val="173E34"/>
                    </w:rPr>
                    <m:rPr>
                      <m:sty m:val="p"/>
                    </m:rPr>
                    <m:t>A</m:t>
                  </m:r>
                  <m:r>
                    <w:rPr>
                      <w:sz w:val="16"/>
                      <w:color w:val="173E34"/>
                    </w:rPr>
                    <m:rPr>
                      <m:sty m:val="p"/>
                    </m:rPr>
                    <m:t>,</m:t>
                  </m:r>
                  <m:r>
                    <w:rPr>
                      <w:sz w:val="16"/>
                      <w:color w:val="173E34"/>
                    </w:rPr>
                    <m:rPr>
                      <m:sty m:val="p"/>
                    </m:rPr>
                    <m:t>w</m:t>
                  </m:r>
                  <m:r>
                    <w:rPr>
                      <w:sz w:val="16"/>
                      <w:color w:val="173E34"/>
                    </w:rPr>
                    <m:rPr>
                      <m:sty m:val="p"/>
                    </m:rPr>
                    <m:t>i</m:t>
                  </m:r>
                  <m:r>
                    <w:rPr>
                      <w:sz w:val="16"/>
                      <w:color w:val="173E34"/>
                    </w:rPr>
                    <m:rPr>
                      <m:sty m:val="p"/>
                    </m:rPr>
                    <m:t>t</m:t>
                  </m:r>
                  <m:r>
                    <w:rPr>
                      <w:sz w:val="16"/>
                      <w:color w:val="173E34"/>
                    </w:rPr>
                    <m:rPr>
                      <m:sty m:val="p"/>
                    </m:rPr>
                    <m:t>h</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N</m:t>
                  </m:r>
                </m:e>
                <m:sub>
                  <m:r>
                    <w:rPr>
                      <w:sz w:val="16"/>
                      <w:color w:val="173E34"/>
                    </w:rPr>
                    <m:rPr>
                      <m:sty m:val="p"/>
                    </m:rPr>
                    <m:t>P</m:t>
                  </m:r>
                  <m:r>
                    <w:rPr>
                      <w:sz w:val="16"/>
                      <w:color w:val="173E34"/>
                    </w:rPr>
                    <m:rPr>
                      <m:sty m:val="p"/>
                    </m:rPr>
                    <m:t>L</m:t>
                  </m:r>
                  <m:r>
                    <w:rPr>
                      <w:sz w:val="16"/>
                      <w:color w:val="173E34"/>
                    </w:rPr>
                    <m:rPr>
                      <m:sty m:val="p"/>
                    </m:rPr>
                    <m:t>K</m:t>
                  </m:r>
                  <m:r>
                    <w:rPr>
                      <w:sz w:val="16"/>
                      <w:color w:val="173E34"/>
                    </w:rPr>
                    <m:rPr>
                      <m:sty m:val="p"/>
                    </m:rPr>
                    <m:t>A</m:t>
                  </m:r>
                  <m:r>
                    <w:rPr>
                      <w:sz w:val="16"/>
                      <w:color w:val="173E34"/>
                    </w:rPr>
                    <m:rPr>
                      <m:sty m:val="p"/>
                    </m:rPr>
                    <m:t>,</m:t>
                  </m:r>
                  <m:r>
                    <w:rPr>
                      <w:sz w:val="16"/>
                      <w:color w:val="173E34"/>
                    </w:rPr>
                    <m:rPr>
                      <m:sty m:val="p"/>
                    </m:rPr>
                    <m:t>w</m:t>
                  </m:r>
                  <m:r>
                    <w:rPr>
                      <w:sz w:val="16"/>
                      <w:color w:val="173E34"/>
                    </w:rPr>
                    <m:rPr>
                      <m:sty m:val="p"/>
                    </m:rPr>
                    <m:t>i</m:t>
                  </m:r>
                  <m:r>
                    <w:rPr>
                      <w:sz w:val="16"/>
                      <w:color w:val="173E34"/>
                    </w:rPr>
                    <m:rPr>
                      <m:sty m:val="p"/>
                    </m:rPr>
                    <m:t>t</m:t>
                  </m:r>
                  <m:r>
                    <w:rPr>
                      <w:sz w:val="16"/>
                      <w:color w:val="173E34"/>
                    </w:rPr>
                    <m:rPr>
                      <m:sty m:val="p"/>
                    </m:rPr>
                    <m:t>h</m:t>
                  </m:r>
                  <m:r>
                    <w:rPr>
                      <w:sz w:val="16"/>
                      <w:color w:val="173E34"/>
                    </w:rPr>
                    <m:rPr>
                      <m:sty m:val="p"/>
                    </m:rPr>
                    <m:t>o</m:t>
                  </m:r>
                  <m:r>
                    <w:rPr>
                      <w:sz w:val="16"/>
                      <w:color w:val="173E34"/>
                    </w:rPr>
                    <m:rPr>
                      <m:sty m:val="p"/>
                    </m:rPr>
                    <m:t>u</m:t>
                  </m:r>
                  <m:r>
                    <w:rPr>
                      <w:sz w:val="16"/>
                      <w:color w:val="173E34"/>
                    </w:rPr>
                    <m:rPr>
                      <m:sty m:val="p"/>
                    </m:rPr>
                    <m:t>t</m:t>
                  </m:r>
                  <m:r>
                    <w:rPr>
                      <w:sz w:val="16"/>
                      <w:color w:val="173E34"/>
                    </w:rPr>
                    <m:rPr>
                      <m:sty m:val="p"/>
                    </m:rPr>
                    <m:t>,</m:t>
                  </m:r>
                  <m:r>
                    <w:rPr>
                      <w:sz w:val="16"/>
                      <w:color w:val="173E34"/>
                    </w:rPr>
                    <m:t>t</m:t>
                  </m:r>
                </m:sub>
              </m:sSub>
            </m:oMath>
          </w:p>
        </w:tc>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Control, responsibility and residual loss</w:t>
            </w:r>
          </w:p>
          <w:p>
            <w:pPr>
              <w:spacing w:before="40" w:after="40"/>
            </w:pPr>
            <m:oMath>
              <m:sSub>
                <m:e>
                  <m:acc>
                    <m:accPr>
                      <m:chr m:val="̂"/>
                    </m:accPr>
                    <m:e>
                      <m:r>
                        <w:rPr>
                          <w:sz w:val="16"/>
                          <w:color w:val="173E34"/>
                        </w:rPr>
                        <m:t>L</m:t>
                      </m:r>
                    </m:e>
                  </m:acc>
                </m:e>
                <m:sub>
                  <m:r>
                    <w:rPr>
                      <w:sz w:val="16"/>
                      <w:color w:val="173E34"/>
                    </w:rPr>
                    <m:t>t</m:t>
                  </m:r>
                </m:sub>
              </m:sSub>
            </m:oMath>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Liability and reserve profile</w:t>
      </w:r>
    </w:p>
    <w:p>
      <w:pPr>
        <w:keepNext/>
        <w:spacing w:before="40" w:after="60"/>
      </w:pPr>
      <w:r>
        <w:rPr>
          <w:rFonts w:ascii="Lato" w:hAnsi="Lato"/>
          <w:color w:val="315B50"/>
          <w:sz w:val="18"/>
        </w:rPr>
        <w:t>FEASIBILITY-T16 / Calculation notation</w:t>
      </w:r>
    </w:p>
    <w:p>
      <w:pPr>
        <w:keepNext/>
        <w:spacing w:before="40" w:after="60"/>
      </w:pPr>
      <m:oMath>
        <m:sSubSup>
          <m:e>
            <m:r>
              <w:rPr>
                <w:sz w:val="18"/>
              </w:rPr>
              <m:t>Q</m:t>
            </m:r>
          </m:e>
          <m:sub>
            <m:r>
              <w:rPr>
                <w:sz w:val="18"/>
              </w:rPr>
              <m:t>t</m:t>
            </m:r>
          </m:sub>
          <m:sup>
            <m:r>
              <w:rPr>
                <w:sz w:val="18"/>
              </w:rPr>
              <m:rPr>
                <m:sty m:val="p"/>
              </m:rPr>
              <m:t>e</m:t>
            </m:r>
            <m:r>
              <w:rPr>
                <w:sz w:val="18"/>
              </w:rPr>
              <m:rPr>
                <m:sty m:val="p"/>
              </m:rPr>
              <m:t>l</m:t>
            </m:r>
            <m:r>
              <w:rPr>
                <w:sz w:val="18"/>
              </w:rPr>
              <m:rPr>
                <m:sty m:val="p"/>
              </m:rPr>
              <m:t>i</m:t>
            </m:r>
            <m:r>
              <w:rPr>
                <w:sz w:val="18"/>
              </w:rPr>
              <m:rPr>
                <m:sty m:val="p"/>
              </m:rPr>
              <m:t>g</m:t>
            </m:r>
            <m:r>
              <w:rPr>
                <w:sz w:val="18"/>
              </w:rPr>
              <m:rPr>
                <m:sty m:val="p"/>
              </m:rPr>
              <m:t>i</m:t>
            </m:r>
            <m:r>
              <w:rPr>
                <w:sz w:val="18"/>
              </w:rPr>
              <m:rPr>
                <m:sty m:val="p"/>
              </m:rPr>
              <m:t>b</m:t>
            </m:r>
            <m:r>
              <w:rPr>
                <w:sz w:val="18"/>
              </w:rPr>
              <m:rPr>
                <m:sty m:val="p"/>
              </m:rPr>
              <m:t>l</m:t>
            </m:r>
            <m:r>
              <w:rPr>
                <w:sz w:val="18"/>
              </w:rPr>
              <m:rPr>
                <m:sty m:val="p"/>
              </m:rPr>
              <m:t>e</m:t>
            </m:r>
          </m:sup>
        </m:sSubSup>
        <m:r>
          <w:rPr>
            <w:sz w:val="18"/>
          </w:rPr>
          <m:rPr>
            <m:sty m:val="p"/>
          </m:rPr>
          <m:t>=</m:t>
        </m:r>
        <m:r>
          <w:rPr>
            <w:sz w:val="18"/>
          </w:rPr>
          <m:rPr>
            <m:sty m:val="p"/>
          </m:rPr>
          <m:t>max</m:t>
        </m:r>
        <m:d>
          <m:dPr>
            <m:begChr m:val="("/>
            <m:endChr m:val=")"/>
            <m:sepChr m:val=""/>
            <m:grow/>
          </m:dPr>
          <m:e>
            <m:r>
              <w:rPr>
                <w:sz w:val="18"/>
              </w:rPr>
              <m:t>0</m:t>
            </m:r>
            <m:r>
              <w:rPr>
                <w:sz w:val="18"/>
              </w:rPr>
              <m:rPr>
                <m:sty m:val="p"/>
              </m:rPr>
              <m:t>,</m:t>
            </m:r>
            <m:sSubSup>
              <m:e>
                <m:r>
                  <w:rPr>
                    <w:sz w:val="18"/>
                  </w:rPr>
                  <m:t>Q</m:t>
                </m:r>
              </m:e>
              <m:sub>
                <m:r>
                  <w:rPr>
                    <w:sz w:val="18"/>
                  </w:rPr>
                  <m:t>t</m:t>
                </m:r>
              </m:sub>
              <m:sup>
                <m:r>
                  <w:rPr>
                    <w:sz w:val="18"/>
                  </w:rPr>
                  <m:rPr>
                    <m:sty m:val="p"/>
                  </m:rPr>
                  <m:t>l</m:t>
                </m:r>
                <m:r>
                  <w:rPr>
                    <w:sz w:val="18"/>
                  </w:rPr>
                  <m:rPr>
                    <m:sty m:val="p"/>
                  </m:rPr>
                  <m:t>o</m:t>
                </m:r>
                <m:r>
                  <w:rPr>
                    <w:sz w:val="18"/>
                  </w:rPr>
                  <m:rPr>
                    <m:sty m:val="p"/>
                  </m:rPr>
                  <m:t>w</m:t>
                </m:r>
              </m:sup>
            </m:sSubSup>
          </m:e>
        </m:d>
        <m:r>
          <w:rPr>
            <w:sz w:val="18"/>
          </w:rPr>
          <m:rPr>
            <m:sty m:val="p"/>
          </m:rPr>
          <m:t>,</m:t>
        </m:r>
        <m:r>
          <w:rPr>
            <w:sz w:val="18"/>
          </w:rPr>
          <m:t> </m:t>
        </m:r>
        <m:sSubSup>
          <m:e>
            <m:r>
              <w:rPr>
                <w:sz w:val="18"/>
              </w:rPr>
              <m:t>D</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r>
          <w:rPr>
            <w:sz w:val="18"/>
          </w:rPr>
          <m:rPr>
            <m:sty m:val="p"/>
          </m:rPr>
          <m:t>min</m:t>
        </m:r>
        <m:d>
          <m:dPr>
            <m:begChr m:val="("/>
            <m:endChr m:val=")"/>
            <m:sepChr m:val=""/>
            <m:grow/>
          </m:dPr>
          <m:e>
            <m:sSub>
              <m:e>
                <m:r>
                  <w:rPr>
                    <w:sz w:val="18"/>
                  </w:rPr>
                  <m:t>D</m:t>
                </m:r>
              </m:e>
              <m:sub>
                <m:r>
                  <w:rPr>
                    <w:sz w:val="18"/>
                  </w:rPr>
                  <m:t>t</m:t>
                </m:r>
              </m:sub>
            </m:sSub>
            <m:r>
              <w:rPr>
                <w:sz w:val="18"/>
              </w:rPr>
              <m:rPr>
                <m:sty m:val="p"/>
              </m:rPr>
              <m:t>,</m:t>
            </m:r>
            <m:sSubSup>
              <m:e>
                <m:r>
                  <w:rPr>
                    <w:sz w:val="18"/>
                  </w:rPr>
                  <m:t>Q</m:t>
                </m:r>
              </m:e>
              <m:sub>
                <m:r>
                  <w:rPr>
                    <w:sz w:val="18"/>
                  </w:rPr>
                  <m:t>t</m:t>
                </m:r>
              </m:sub>
              <m:sup>
                <m:r>
                  <w:rPr>
                    <w:sz w:val="18"/>
                  </w:rPr>
                  <m:rPr>
                    <m:sty m:val="p"/>
                  </m:rPr>
                  <m:t>e</m:t>
                </m:r>
                <m:r>
                  <w:rPr>
                    <w:sz w:val="18"/>
                  </w:rPr>
                  <m:rPr>
                    <m:sty m:val="p"/>
                  </m:rPr>
                  <m:t>l</m:t>
                </m:r>
                <m:r>
                  <w:rPr>
                    <w:sz w:val="18"/>
                  </w:rPr>
                  <m:rPr>
                    <m:sty m:val="p"/>
                  </m:rPr>
                  <m:t>i</m:t>
                </m:r>
                <m:r>
                  <w:rPr>
                    <w:sz w:val="18"/>
                  </w:rPr>
                  <m:rPr>
                    <m:sty m:val="p"/>
                  </m:rPr>
                  <m:t>g</m:t>
                </m:r>
                <m:r>
                  <w:rPr>
                    <w:sz w:val="18"/>
                  </w:rPr>
                  <m:rPr>
                    <m:sty m:val="p"/>
                  </m:rPr>
                  <m:t>i</m:t>
                </m:r>
                <m:r>
                  <w:rPr>
                    <w:sz w:val="18"/>
                  </w:rPr>
                  <m:rPr>
                    <m:sty m:val="p"/>
                  </m:rPr>
                  <m:t>b</m:t>
                </m:r>
                <m:r>
                  <w:rPr>
                    <w:sz w:val="18"/>
                  </w:rPr>
                  <m:rPr>
                    <m:sty m:val="p"/>
                  </m:rPr>
                  <m:t>l</m:t>
                </m:r>
                <m:r>
                  <w:rPr>
                    <w:sz w:val="18"/>
                  </w:rPr>
                  <m:rPr>
                    <m:sty m:val="p"/>
                  </m:rPr>
                  <m:t>e</m:t>
                </m:r>
              </m:sup>
            </m:sSubSup>
          </m:e>
        </m:d>
      </m:oMath>
    </w:p>
    <w:p>
      <w:pPr>
        <w:keepNext/>
        <w:spacing w:before="40" w:after="60"/>
      </w:pPr>
      <m:oMath>
        <m:sSubSup>
          <m:e>
            <m:r>
              <w:rPr>
                <w:sz w:val="18"/>
              </w:rPr>
              <m:t>Q</m:t>
            </m:r>
          </m:e>
          <m:sub>
            <m:r>
              <w:rPr>
                <w:sz w:val="18"/>
              </w:rPr>
              <m:t>t</m:t>
            </m:r>
          </m:sub>
          <m:sup>
            <m:r>
              <w:rPr>
                <w:sz w:val="18"/>
              </w:rPr>
              <m:rPr>
                <m:sty m:val="p"/>
              </m:rPr>
              <m:t>b</m:t>
            </m:r>
            <m:r>
              <w:rPr>
                <w:sz w:val="18"/>
              </w:rPr>
              <m:rPr>
                <m:sty m:val="p"/>
              </m:rPr>
              <m:t>a</m:t>
            </m:r>
            <m:r>
              <w:rPr>
                <w:sz w:val="18"/>
              </w:rPr>
              <m:rPr>
                <m:sty m:val="p"/>
              </m:rPr>
              <m:t>s</m:t>
            </m:r>
            <m:r>
              <w:rPr>
                <w:sz w:val="18"/>
              </w:rPr>
              <m:rPr>
                <m:sty m:val="p"/>
              </m:rPr>
              <m:t>e</m:t>
            </m:r>
            <m:r>
              <w:rPr>
                <w:sz w:val="18"/>
              </w:rPr>
              <m:rPr>
                <m:sty m:val="p"/>
              </m:rPr>
              <m:t>,</m:t>
            </m:r>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sSubSup>
          <m:e>
            <m:r>
              <w:rPr>
                <w:sz w:val="18"/>
              </w:rPr>
              <m:t>Q</m:t>
            </m:r>
          </m:e>
          <m:sub>
            <m:r>
              <w:rPr>
                <w:sz w:val="18"/>
              </w:rPr>
              <m:t>t</m:t>
            </m:r>
          </m:sub>
          <m:sup>
            <m:r>
              <w:rPr>
                <w:sz w:val="18"/>
              </w:rPr>
              <m:rPr>
                <m:sty m:val="p"/>
              </m:rPr>
              <m:t>e</m:t>
            </m:r>
            <m:r>
              <w:rPr>
                <w:sz w:val="18"/>
              </w:rPr>
              <m:rPr>
                <m:sty m:val="p"/>
              </m:rPr>
              <m:t>l</m:t>
            </m:r>
            <m:r>
              <w:rPr>
                <w:sz w:val="18"/>
              </w:rPr>
              <m:rPr>
                <m:sty m:val="p"/>
              </m:rPr>
              <m:t>i</m:t>
            </m:r>
            <m:r>
              <w:rPr>
                <w:sz w:val="18"/>
              </w:rPr>
              <m:rPr>
                <m:sty m:val="p"/>
              </m:rPr>
              <m:t>g</m:t>
            </m:r>
            <m:r>
              <w:rPr>
                <w:sz w:val="18"/>
              </w:rPr>
              <m:rPr>
                <m:sty m:val="p"/>
              </m:rPr>
              <m:t>i</m:t>
            </m:r>
            <m:r>
              <w:rPr>
                <w:sz w:val="18"/>
              </w:rPr>
              <m:rPr>
                <m:sty m:val="p"/>
              </m:rPr>
              <m:t>b</m:t>
            </m:r>
            <m:r>
              <w:rPr>
                <w:sz w:val="18"/>
              </w:rPr>
              <m:rPr>
                <m:sty m:val="p"/>
              </m:rPr>
              <m:t>l</m:t>
            </m:r>
            <m:r>
              <w:rPr>
                <w:sz w:val="18"/>
              </w:rPr>
              <m:rPr>
                <m:sty m:val="p"/>
              </m:rPr>
              <m:t>e</m:t>
            </m:r>
          </m:sup>
        </m:sSubSup>
        <m:r>
          <w:rPr>
            <w:sz w:val="18"/>
          </w:rPr>
          <m:rPr>
            <m:sty m:val="p"/>
          </m:rPr>
          <m:t>−</m:t>
        </m:r>
        <m:sSubSup>
          <m:e>
            <m:r>
              <w:rPr>
                <w:sz w:val="18"/>
              </w:rPr>
              <m:t>D</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r>
          <w:rPr>
            <w:sz w:val="18"/>
          </w:rPr>
          <m:t> </m:t>
        </m:r>
        <m:sSubSup>
          <m:e>
            <m:r>
              <w:rPr>
                <w:sz w:val="18"/>
              </w:rPr>
              <m:t>J</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sSubSup>
          <m:e>
            <m:r>
              <w:rPr>
                <w:sz w:val="18"/>
              </w:rPr>
              <m:t>Q</m:t>
            </m:r>
          </m:e>
          <m:sub>
            <m:r>
              <w:rPr>
                <w:sz w:val="18"/>
              </w:rPr>
              <m:t>t</m:t>
            </m:r>
          </m:sub>
          <m:sup>
            <m:r>
              <w:rPr>
                <w:sz w:val="18"/>
              </w:rPr>
              <m:rPr>
                <m:sty m:val="p"/>
              </m:rPr>
              <m:t>b</m:t>
            </m:r>
            <m:r>
              <w:rPr>
                <w:sz w:val="18"/>
              </w:rPr>
              <m:rPr>
                <m:sty m:val="p"/>
              </m:rPr>
              <m:t>a</m:t>
            </m:r>
            <m:r>
              <w:rPr>
                <w:sz w:val="18"/>
              </w:rPr>
              <m:rPr>
                <m:sty m:val="p"/>
              </m:rPr>
              <m:t>s</m:t>
            </m:r>
            <m:r>
              <w:rPr>
                <w:sz w:val="18"/>
              </w:rPr>
              <m:rPr>
                <m:sty m:val="p"/>
              </m:rPr>
              <m:t>e</m:t>
            </m:r>
            <m:r>
              <w:rPr>
                <w:sz w:val="18"/>
              </w:rPr>
              <m:rPr>
                <m:sty m:val="p"/>
              </m:rPr>
              <m:t>,</m:t>
            </m:r>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sSub>
          <m:e>
            <m:r>
              <w:rPr>
                <w:sz w:val="18"/>
              </w:rPr>
              <m:t>B</m:t>
            </m:r>
          </m:e>
          <m:sub>
            <m:r>
              <w:rPr>
                <w:sz w:val="18"/>
              </w:rPr>
              <m:t>t</m:t>
            </m:r>
          </m:sub>
        </m:sSub>
      </m:oMath>
    </w:p>
    <w:p>
      <w:pPr>
        <w:keepNext/>
        <w:spacing w:before="40" w:after="60"/>
      </w:pPr>
      <w:r>
        <w:rPr>
          <w:rFonts w:ascii="Lato" w:hAnsi="Lato"/>
          <w:color w:val="315B50"/>
          <w:sz w:val="16"/>
        </w:rPr>
        <w:t>cand distinguishes a worksheet proposal from an executed posting. D_set is actual evidenced settlement; D_rem = D - D_set. Do not reduce posted liability by D_cand. A larger required reserve than the candidate base is a shortfall, not funded protection. No rounding is implied.</w:t>
      </w:r>
    </w:p>
    <w:p>
      <w:pPr>
        <w:keepNext/>
        <w:spacing w:before="40" w:after="60"/>
      </w:pPr>
      <w:r>
        <w:rPr>
          <w:rFonts w:ascii="Lato" w:hAnsi="Lato"/>
          <w:color w:val="315B50"/>
          <w:sz w:val="14"/>
        </w:rPr>
        <w:t>Basis: M05.4; M05.5; F-R03 | Workbook: Settlement!B:L; ExAnte!M:O (forecast only)</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412"/>
        <w:gridCol w:w="3217"/>
        <w:gridCol w:w="3120"/>
      </w:tblGrid>
      <w:tr>
        <w:trPr>
          <w:trHeight w:val="446" w:hRule="atLeast"/>
          <w:tblHeader/>
        </w:trPr>
        <w:tc>
          <w:tcPr>
            <w:tcW w:type="dxa" w:w="341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Item</w:t>
            </w:r>
          </w:p>
          <w:p>
            <w:pPr>
              <w:spacing w:before="40" w:after="40"/>
            </w:pPr>
            <m:oMath>
              <m:sSub>
                <m:e>
                  <m:r>
                    <w:rPr>
                      <w:sz w:val="16"/>
                      <w:color w:val="173E34"/>
                    </w:rPr>
                    <m:t>D</m:t>
                  </m:r>
                </m:e>
                <m:sub>
                  <m:r>
                    <w:rPr>
                      <w:sz w:val="16"/>
                      <w:color w:val="173E34"/>
                    </w:rPr>
                    <m:t>t</m:t>
                  </m:r>
                </m:sub>
              </m:sSub>
              <m:r>
                <w:rPr>
                  <w:sz w:val="16"/>
                  <w:color w:val="173E34"/>
                </w:rPr>
                <m:rPr>
                  <m:sty m:val="p"/>
                </m:rPr>
                <m:t>,</m:t>
              </m:r>
              <m:r>
                <w:rPr>
                  <w:sz w:val="16"/>
                  <w:color w:val="173E34"/>
                </w:rPr>
                <m:t> </m:t>
              </m:r>
              <m:sSubSup>
                <m:e>
                  <m:r>
                    <w:rPr>
                      <w:sz w:val="16"/>
                      <w:color w:val="173E34"/>
                    </w:rPr>
                    <m:t>Q</m:t>
                  </m:r>
                </m:e>
                <m:sub>
                  <m:r>
                    <w:rPr>
                      <w:sz w:val="16"/>
                      <w:color w:val="173E34"/>
                    </w:rPr>
                    <m:t>t</m:t>
                  </m:r>
                </m:sub>
                <m:sup>
                  <m:r>
                    <w:rPr>
                      <w:sz w:val="16"/>
                      <w:color w:val="173E34"/>
                    </w:rPr>
                    <m:rPr>
                      <m:sty m:val="p"/>
                    </m:rPr>
                    <m:t>l</m:t>
                  </m:r>
                  <m:r>
                    <w:rPr>
                      <w:sz w:val="16"/>
                      <w:color w:val="173E34"/>
                    </w:rPr>
                    <m:rPr>
                      <m:sty m:val="p"/>
                    </m:rPr>
                    <m:t>o</m:t>
                  </m:r>
                  <m:r>
                    <w:rPr>
                      <w:sz w:val="16"/>
                      <w:color w:val="173E34"/>
                    </w:rPr>
                    <m:rPr>
                      <m:sty m:val="p"/>
                    </m:rPr>
                    <m:t>w</m:t>
                  </m:r>
                </m:sup>
              </m:sSubSup>
            </m:oMath>
          </w:p>
        </w:tc>
        <w:tc>
          <w:tcPr>
            <w:tcW w:type="dxa" w:w="321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Rule and evidence</w:t>
            </w:r>
          </w:p>
          <w:p>
            <w:pPr>
              <w:spacing w:before="40" w:after="40"/>
            </w:pPr>
            <m:oMath>
              <m:sSubSup>
                <m:e>
                  <m:r>
                    <w:rPr>
                      <w:sz w:val="16"/>
                      <w:color w:val="173E34"/>
                    </w:rPr>
                    <m:t>D</m:t>
                  </m:r>
                </m:e>
                <m:sub>
                  <m:r>
                    <w:rPr>
                      <w:sz w:val="16"/>
                      <w:color w:val="173E34"/>
                    </w:rPr>
                    <m:t>t</m:t>
                  </m:r>
                </m:sub>
                <m:sup>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sup>
              </m:sSubSup>
              <m:r>
                <w:rPr>
                  <w:sz w:val="16"/>
                  <w:color w:val="173E34"/>
                </w:rPr>
                <m:rPr>
                  <m:sty m:val="p"/>
                </m:rPr>
                <m:t>,</m:t>
              </m:r>
              <m:r>
                <w:rPr>
                  <w:sz w:val="16"/>
                  <w:color w:val="173E34"/>
                </w:rPr>
                <m:t> </m:t>
              </m:r>
              <m:sSubSup>
                <m:e>
                  <m:r>
                    <w:rPr>
                      <w:sz w:val="16"/>
                      <w:color w:val="173E34"/>
                    </w:rPr>
                    <m:t>D</m:t>
                  </m:r>
                </m:e>
                <m:sub>
                  <m:r>
                    <w:rPr>
                      <w:sz w:val="16"/>
                      <w:color w:val="173E34"/>
                    </w:rPr>
                    <m:t>t</m:t>
                  </m:r>
                </m:sub>
                <m:sup>
                  <m:r>
                    <w:rPr>
                      <w:sz w:val="16"/>
                      <w:color w:val="173E34"/>
                    </w:rPr>
                    <m:rPr>
                      <m:sty m:val="p"/>
                    </m:rPr>
                    <m:t>s</m:t>
                  </m:r>
                  <m:r>
                    <w:rPr>
                      <w:sz w:val="16"/>
                      <w:color w:val="173E34"/>
                    </w:rPr>
                    <m:rPr>
                      <m:sty m:val="p"/>
                    </m:rPr>
                    <m:t>e</m:t>
                  </m:r>
                  <m:r>
                    <w:rPr>
                      <w:sz w:val="16"/>
                      <w:color w:val="173E34"/>
                    </w:rPr>
                    <m:rPr>
                      <m:sty m:val="p"/>
                    </m:rPr>
                    <m:t>t</m:t>
                  </m:r>
                </m:sup>
              </m:sSubSup>
            </m:oMath>
          </w:p>
        </w:tc>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Authorization / unresolved decision</w:t>
            </w:r>
          </w:p>
          <w:p>
            <w:pPr>
              <w:spacing w:before="40" w:after="40"/>
            </w:pPr>
            <m:oMath>
              <m:sSubSup>
                <m:e>
                  <m:r>
                    <w:rPr>
                      <w:sz w:val="16"/>
                      <w:color w:val="173E34"/>
                    </w:rPr>
                    <m:t>Q</m:t>
                  </m:r>
                </m:e>
                <m:sub>
                  <m:r>
                    <w:rPr>
                      <w:sz w:val="16"/>
                      <w:color w:val="173E34"/>
                    </w:rPr>
                    <m:t>t</m:t>
                  </m:r>
                </m:sub>
                <m:sup>
                  <m:r>
                    <w:rPr>
                      <w:sz w:val="16"/>
                      <w:color w:val="173E34"/>
                    </w:rPr>
                    <m:rPr>
                      <m:sty m:val="p"/>
                    </m:rPr>
                    <m:t>b</m:t>
                  </m:r>
                  <m:r>
                    <w:rPr>
                      <w:sz w:val="16"/>
                      <w:color w:val="173E34"/>
                    </w:rPr>
                    <m:rPr>
                      <m:sty m:val="p"/>
                    </m:rPr>
                    <m:t>a</m:t>
                  </m:r>
                  <m:r>
                    <w:rPr>
                      <w:sz w:val="16"/>
                      <w:color w:val="173E34"/>
                    </w:rPr>
                    <m:rPr>
                      <m:sty m:val="p"/>
                    </m:rPr>
                    <m:t>s</m:t>
                  </m:r>
                  <m:r>
                    <w:rPr>
                      <w:sz w:val="16"/>
                      <w:color w:val="173E34"/>
                    </w:rPr>
                    <m:rPr>
                      <m:sty m:val="p"/>
                    </m:rPr>
                    <m:t>e</m:t>
                  </m:r>
                  <m:r>
                    <w:rPr>
                      <w:sz w:val="16"/>
                      <w:color w:val="173E34"/>
                    </w:rPr>
                    <m:rPr>
                      <m:sty m:val="p"/>
                    </m:rPr>
                    <m:t>,</m:t>
                  </m:r>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sup>
              </m:sSubSup>
              <m:r>
                <w:rPr>
                  <w:sz w:val="16"/>
                  <w:color w:val="173E34"/>
                </w:rPr>
                <m:rPr>
                  <m:sty m:val="p"/>
                </m:rPr>
                <m:t>,</m:t>
              </m:r>
              <m:r>
                <w:rPr>
                  <w:sz w:val="16"/>
                  <w:color w:val="173E34"/>
                </w:rPr>
                <m:t> </m:t>
              </m:r>
              <m:sSub>
                <m:e>
                  <m:r>
                    <w:rPr>
                      <w:sz w:val="16"/>
                      <w:color w:val="173E34"/>
                    </w:rPr>
                    <m:t>B</m:t>
                  </m:r>
                </m:e>
                <m:sub>
                  <m:r>
                    <w:rPr>
                      <w:sz w:val="16"/>
                      <w:color w:val="173E34"/>
                    </w:rPr>
                    <m:t>t</m:t>
                  </m:r>
                </m:sub>
              </m:sSub>
              <m:r>
                <w:rPr>
                  <w:sz w:val="16"/>
                  <w:color w:val="173E34"/>
                </w:rPr>
                <m:rPr>
                  <m:sty m:val="p"/>
                </m:rPr>
                <m:t>,</m:t>
              </m:r>
              <m:r>
                <w:rPr>
                  <w:sz w:val="16"/>
                  <w:color w:val="173E34"/>
                </w:rPr>
                <m:t> </m:t>
              </m:r>
              <m:sSubSup>
                <m:e>
                  <m:r>
                    <w:rPr>
                      <w:sz w:val="16"/>
                      <w:color w:val="173E34"/>
                    </w:rPr>
                    <m:t>J</m:t>
                  </m:r>
                </m:e>
                <m:sub>
                  <m:r>
                    <w:rPr>
                      <w:sz w:val="16"/>
                      <w:color w:val="173E34"/>
                    </w:rPr>
                    <m:t>t</m:t>
                  </m:r>
                </m:sub>
                <m:sup>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sup>
              </m:sSubSup>
            </m:oMath>
          </w:p>
        </w:tc>
      </w:tr>
      <w:tr>
        <w:trPr>
          <w:trHeight w:val="446" w:hRule="atLeast"/>
        </w:trPr>
        <w:tc>
          <w:tcPr>
            <w:tcW w:type="dxa" w:w="341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Prior compatible liabilities</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412"/>
            <w:vAlign w:val="center"/>
            <w:tcMar>
              <w:top w:w="70" w:type="dxa"/>
              <w:start w:w="85" w:type="dxa"/>
              <w:bottom w:w="70" w:type="dxa"/>
              <w:end w:w="85" w:type="dxa"/>
            </w:tcMar>
          </w:tcPr>
          <w:p>
            <w:pPr>
              <w:spacing w:after="0" w:line="250" w:lineRule="auto"/>
            </w:pPr>
            <w:r>
              <w:rPr>
                <w:rFonts w:ascii="Arial" w:hAnsi="Arial"/>
                <w:b w:val="0"/>
                <w:i w:val="0"/>
                <w:color w:val="243A36"/>
                <w:sz w:val="16"/>
              </w:rPr>
              <w:t>Post-liability reserve base / F-R03</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41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Negative-result treatment / F-R05a/b</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412"/>
            <w:vAlign w:val="center"/>
            <w:tcMar>
              <w:top w:w="70" w:type="dxa"/>
              <w:start w:w="85" w:type="dxa"/>
              <w:bottom w:w="70" w:type="dxa"/>
              <w:end w:w="85" w:type="dxa"/>
            </w:tcMar>
          </w:tcPr>
          <w:p>
            <w:pPr>
              <w:spacing w:after="0" w:line="250" w:lineRule="auto"/>
            </w:pPr>
            <w:r>
              <w:rPr>
                <w:rFonts w:ascii="Arial" w:hAnsi="Arial"/>
                <w:b w:val="0"/>
                <w:i w:val="0"/>
                <w:color w:val="243A36"/>
                <w:sz w:val="16"/>
              </w:rPr>
              <w:t>Protection, remedy and replenishment</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keepNext w:val="0"/>
        <w:spacing w:after="160" w:line="259" w:lineRule="auto"/>
        <w:shd w:fill="F1F5F2"/>
      </w:pPr>
      <w:r>
        <w:rPr>
          <w:rFonts w:ascii="Arial" w:hAnsi="Arial"/>
          <w:b w:val="0"/>
          <w:i w:val="0"/>
          <w:color w:val="215F52"/>
          <w:sz w:val="18"/>
        </w:rPr>
        <w:t>Distinguish uncertainty conservativeness from a physical reversal, and required protection from newly funded reserve. Candidate settlement is not executed settlement. Record the applicable AP-09 decision; no reserve percentage is set here.</w:t>
      </w:r>
    </w:p>
    <w:p>
      <w:r>
        <w:br w:type="page"/>
      </w:r>
    </w:p>
    <w:p>
      <w:bookmarkStart w:id="109" w:name="Section_9"/>
      <w:pPr>
        <w:pStyle w:val="Heading1"/>
        <w:keepNext/>
      </w:pPr>
      <w:r>
        <w:t>09  Safeguards, consent, benefits and overlapping claims</w:t>
      </w:r>
      <w:bookmarkEnd w:id="109"/>
    </w:p>
    <w:p>
      <w:pPr>
        <w:keepNext/>
        <w:spacing w:after="180" w:line="259" w:lineRule="auto"/>
      </w:pPr>
      <w:r>
        <w:rPr>
          <w:rFonts w:ascii="Arial" w:hAnsi="Arial"/>
          <w:b w:val="0"/>
          <w:i w:val="0"/>
          <w:color w:val="62716E"/>
          <w:sz w:val="15"/>
        </w:rPr>
        <w:t>[1] Basis: S-12; S-13; S-17; AO-03; AO-04; AO-09; AO-10; AO-12; FRM-04/AO</w:t>
      </w:r>
    </w:p>
    <w:p>
      <w:pPr>
        <w:pStyle w:val="Heading2"/>
        <w:keepNext/>
      </w:pPr>
      <w:r>
        <w:t>Participation, consent and safeguard evidence</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925"/>
        <w:gridCol w:w="3900"/>
        <w:gridCol w:w="2925"/>
      </w:tblGrid>
      <w:tr>
        <w:trPr>
          <w:trHeight w:val="446" w:hRule="atLeast"/>
          <w:tblHeader/>
        </w:trPr>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Affected party / issue</w:t>
            </w:r>
          </w:p>
        </w:tc>
        <w:tc>
          <w:tcPr>
            <w:tcW w:type="dxa" w:w="390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Evidence, method and independent check</w:t>
            </w:r>
          </w:p>
        </w:tc>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Agreement, grievance and action</w:t>
            </w:r>
          </w:p>
        </w:tc>
      </w:tr>
      <w:tr>
        <w:trPr>
          <w:trHeight w:val="446"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90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90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90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90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Overlap disposition</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412"/>
        <w:gridCol w:w="3120"/>
        <w:gridCol w:w="3217"/>
      </w:tblGrid>
      <w:tr>
        <w:trPr>
          <w:trHeight w:val="446" w:hRule="atLeast"/>
          <w:tblHeader/>
        </w:trPr>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Area, period and outcome intersection</w:t>
            </w:r>
          </w:p>
        </w:tc>
        <w:tc>
          <w:tcPr>
            <w:tcW w:type="dxa" w:w="312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Authority and earlier interventions</w:t>
            </w:r>
          </w:p>
        </w:tc>
        <w:tc>
          <w:tcPr>
            <w:tcW w:type="dxa" w:w="321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Resolution / bounded hold / evidence</w:t>
            </w:r>
          </w:p>
        </w:tc>
      </w:tr>
      <w:tr>
        <w:trPr>
          <w:trHeight w:val="446" w:hRule="atLeast"/>
        </w:trPr>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Benefits, adverse impacts and monitoring commitments</w:t>
      </w:r>
    </w:p>
    <w:p>
      <w:pPr>
        <w:keepNext/>
        <w:spacing w:after="100" w:line="259" w:lineRule="auto"/>
      </w:pPr>
      <w:r>
        <w:rPr>
          <w:rFonts w:ascii="Arial" w:hAnsi="Arial"/>
          <w:b w:val="0"/>
          <w:i w:val="0"/>
          <w:color w:val="62716E"/>
          <w:sz w:val="18"/>
        </w:rPr>
        <w:t>Document agreed benefit-sharing, adverse-impact prevention, accessible complaint arrangements and independent assessment access. Distinguish observed outcomes from intended benefits; do not equate different attributes.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10" w:name="Section_10"/>
      <w:pPr>
        <w:pStyle w:val="Heading1"/>
        <w:keepNext/>
      </w:pPr>
      <w:r>
        <w:t>10  Implementation, monitoring and operational feasibility</w:t>
      </w:r>
      <w:bookmarkEnd w:id="110"/>
    </w:p>
    <w:p>
      <w:pPr>
        <w:keepNext/>
        <w:spacing w:after="180" w:line="259" w:lineRule="auto"/>
      </w:pPr>
      <w:r>
        <w:rPr>
          <w:rFonts w:ascii="Arial" w:hAnsi="Arial"/>
          <w:b w:val="0"/>
          <w:i w:val="0"/>
          <w:color w:val="62716E"/>
          <w:sz w:val="15"/>
        </w:rPr>
        <w:t>[1] Basis: S-25; P-02; P-03; P-04; CYC-04; CYC-06</w:t>
      </w:r>
    </w:p>
    <w:p>
      <w:pPr>
        <w:pStyle w:val="Heading2"/>
        <w:keepNext/>
      </w:pPr>
      <w:r>
        <w:t>Implementation and resources</w:t>
      </w:r>
    </w:p>
    <w:p>
      <w:pPr>
        <w:keepNext/>
        <w:spacing w:before="40" w:after="60"/>
      </w:pPr>
      <w:r>
        <w:rPr>
          <w:rFonts w:ascii="Lato" w:hAnsi="Lato"/>
          <w:color w:val="315B50"/>
          <w:sz w:val="18"/>
        </w:rPr>
        <w:t>FEASIBILITY-T19 / Calculation notation</w:t>
      </w:r>
    </w:p>
    <w:p>
      <w:pPr>
        <w:keepNext/>
        <w:spacing w:before="40" w:after="60"/>
      </w:pPr>
      <m:oMath>
        <m:sSub>
          <m:e>
            <m:r>
              <w:rPr>
                <w:sz w:val="18"/>
              </w:rPr>
              <m:t>c</m:t>
            </m:r>
          </m:e>
          <m:sub>
            <m:r>
              <w:rPr>
                <w:sz w:val="18"/>
              </w:rPr>
              <m:t>j</m:t>
            </m:r>
            <m:r>
              <w:rPr>
                <w:sz w:val="18"/>
              </w:rPr>
              <m:rPr>
                <m:sty m:val="p"/>
              </m:rPr>
              <m:t>,</m:t>
            </m:r>
            <m:r>
              <w:rPr>
                <w:sz w:val="18"/>
              </w:rPr>
              <m:t>t</m:t>
            </m:r>
          </m:sub>
        </m:sSub>
        <m:r>
          <w:rPr>
            <w:sz w:val="18"/>
          </w:rPr>
          <m:t> </m:t>
        </m:r>
        <m:d>
          <m:dPr>
            <m:begChr m:val="["/>
            <m:endChr m:val="]"/>
            <m:sepChr m:val=""/>
            <m:grow/>
          </m:dPr>
          <m:e>
            <m:sSub>
              <m:e>
                <m:r>
                  <w:rPr>
                    <w:sz w:val="18"/>
                  </w:rPr>
                  <m:t>u</m:t>
                </m:r>
              </m:e>
              <m:sub>
                <m:r>
                  <w:rPr>
                    <w:sz w:val="18"/>
                  </w:rPr>
                  <m:t>c</m:t>
                </m:r>
              </m:sub>
            </m:sSub>
          </m:e>
        </m:d>
      </m:oMath>
    </w:p>
    <w:p>
      <w:pPr>
        <w:keepNext/>
        <w:spacing w:before="40" w:after="60"/>
      </w:pPr>
      <w:r>
        <w:rPr>
          <w:rFonts w:ascii="Lato" w:hAnsi="Lato"/>
          <w:color w:val="315B50"/>
          <w:sz w:val="16"/>
        </w:rPr>
        <w:t>c is the recorded cost or resource amount in the explicitly identified currency and price date. Enter the actual budgeting equation and its data source if calculated. This label supplies no price, discount rate, financial formula, or emission factor.</w:t>
      </w:r>
    </w:p>
    <w:p>
      <w:pPr>
        <w:keepNext/>
        <w:spacing w:before="40" w:after="60"/>
      </w:pPr>
      <w:r>
        <w:rPr>
          <w:rFonts w:ascii="Lato" w:hAnsi="Lato"/>
          <w:color w:val="315B50"/>
          <w:sz w:val="14"/>
        </w:rPr>
        <w:t>Basis: CYC-03; CYC-04; CYC-05; data label | Workbook: Project budget attachment; Evidence!G</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510"/>
        <w:gridCol w:w="3120"/>
      </w:tblGrid>
      <w:tr>
        <w:trPr>
          <w:trHeight w:val="446" w:hRule="atLeast"/>
          <w:tblHeader/>
        </w:trPr>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Activity / milestone</w:t>
            </w:r>
          </w:p>
          <w:p>
            <w:pPr>
              <w:spacing w:before="40" w:after="40"/>
            </w:pPr>
            <m:oMath>
              <m:r>
                <w:rPr>
                  <w:sz w:val="16"/>
                  <w:color w:val="173E34"/>
                </w:rPr>
                <m:t>j</m:t>
              </m:r>
              <m:r>
                <w:rPr>
                  <w:sz w:val="16"/>
                  <w:color w:val="173E34"/>
                </w:rPr>
                <m:rPr>
                  <m:sty m:val="p"/>
                </m:rPr>
                <m:t>,</m:t>
              </m:r>
              <m:r>
                <w:rPr>
                  <w:sz w:val="16"/>
                  <w:color w:val="173E34"/>
                </w:rPr>
                <m:t> </m:t>
              </m:r>
              <m:r>
                <w:rPr>
                  <w:sz w:val="16"/>
                  <w:color w:val="173E34"/>
                </w:rPr>
                <m:t>t</m:t>
              </m:r>
            </m:oMath>
          </w:p>
        </w:tc>
        <w:tc>
          <w:tcPr>
            <w:tcW w:type="dxa" w:w="351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Implementer / resource commitment</w:t>
            </w:r>
          </w:p>
          <w:p>
            <w:pPr>
              <w:spacing w:before="40" w:after="40"/>
            </w:pPr>
            <m:oMath>
              <m:sSub>
                <m:e>
                  <m:r>
                    <w:rPr>
                      <w:sz w:val="16"/>
                      <w:color w:val="173E34"/>
                    </w:rPr>
                    <m:t>c</m:t>
                  </m:r>
                </m:e>
                <m:sub>
                  <m:r>
                    <w:rPr>
                      <w:sz w:val="16"/>
                      <w:color w:val="173E34"/>
                    </w:rPr>
                    <m:t>j</m:t>
                  </m:r>
                  <m:r>
                    <w:rPr>
                      <w:sz w:val="16"/>
                      <w:color w:val="173E34"/>
                    </w:rPr>
                    <m:rPr>
                      <m:sty m:val="p"/>
                    </m:rPr>
                    <m:t>,</m:t>
                  </m:r>
                  <m:r>
                    <w:rPr>
                      <w:sz w:val="16"/>
                      <w:color w:val="173E34"/>
                    </w:rPr>
                    <m:t>t</m:t>
                  </m:r>
                </m:sub>
              </m:sSub>
            </m:oMath>
          </w:p>
        </w:tc>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Schedule / constraint / evidence</w:t>
            </w:r>
          </w:p>
          <w:p>
            <w:pPr>
              <w:spacing w:before="40" w:after="40"/>
            </w:pPr>
            <m:oMath>
              <m:r>
                <w:rPr>
                  <w:sz w:val="16"/>
                  <w:color w:val="173E34"/>
                </w:rPr>
                <m:rPr>
                  <m:nor/>
                  <m:sty m:val="p"/>
                </m:rPr>
                <m:t>source</m:t>
              </m:r>
              <m:d>
                <m:dPr>
                  <m:begChr m:val="("/>
                  <m:endChr m:val=")"/>
                  <m:sepChr m:val=""/>
                  <m:grow/>
                </m:dPr>
                <m:e>
                  <m:sSub>
                    <m:e>
                      <m:r>
                        <w:rPr>
                          <w:sz w:val="16"/>
                          <w:color w:val="173E34"/>
                        </w:rPr>
                        <m:t>c</m:t>
                      </m:r>
                    </m:e>
                    <m:sub>
                      <m:r>
                        <w:rPr>
                          <w:sz w:val="16"/>
                          <w:color w:val="173E34"/>
                        </w:rPr>
                        <m:t>j</m:t>
                      </m:r>
                      <m:r>
                        <w:rPr>
                          <w:sz w:val="16"/>
                          <w:color w:val="173E34"/>
                        </w:rPr>
                        <m:rPr>
                          <m:sty m:val="p"/>
                        </m:rPr>
                        <m:t>,</m:t>
                      </m:r>
                      <m:r>
                        <w:rPr>
                          <w:sz w:val="16"/>
                          <w:color w:val="173E34"/>
                        </w:rPr>
                        <m:t>t</m:t>
                      </m:r>
                    </m:sub>
                  </m:sSub>
                </m:e>
              </m:d>
            </m:oMath>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Monitoring variable register</w:t>
      </w:r>
    </w:p>
    <w:p>
      <w:pPr>
        <w:keepNext/>
        <w:spacing w:before="40" w:after="60"/>
      </w:pPr>
      <w:r>
        <w:rPr>
          <w:rFonts w:ascii="Lato" w:hAnsi="Lato"/>
          <w:color w:val="315B50"/>
          <w:sz w:val="18"/>
        </w:rPr>
        <w:t>FEASIBILITY-T20 / Calculation notation</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is the identified observation, input, or output; u_l is its declared unit. Record the exact equation and source file, worksheet, cell/range, period, and status. This notation does not prescribe an estimator.</w:t>
      </w:r>
    </w:p>
    <w:p>
      <w:pPr>
        <w:keepNext/>
        <w:spacing w:before="40" w:after="60"/>
      </w:pPr>
      <w:r>
        <w:rPr>
          <w:rFonts w:ascii="Lato" w:hAnsi="Lato"/>
          <w:color w:val="315B50"/>
          <w:sz w:val="14"/>
        </w:rPr>
        <w:t>Basis: F-01; T-01 | Workbook: Evidence!A:J; Components!F:L</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925"/>
        <w:gridCol w:w="3802"/>
        <w:gridCol w:w="3022"/>
      </w:tblGrid>
      <w:tr>
        <w:trPr>
          <w:trHeight w:val="446" w:hRule="atLeast"/>
          <w:tblHeader/>
        </w:trPr>
        <w:tc>
          <w:tcPr>
            <w:tcW w:type="dxa" w:w="292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Variable / equation / support</w:t>
            </w:r>
          </w:p>
          <w:p>
            <w:pPr>
              <w:spacing w:before="40" w:after="40"/>
            </w:pPr>
            <m:oMath>
              <m:sSub>
                <m:e>
                  <m:r>
                    <w:rPr>
                      <w:sz w:val="16"/>
                      <w:color w:val="173E34"/>
                    </w:rPr>
                    <m:t>x</m:t>
                  </m:r>
                </m:e>
                <m:sub>
                  <m:r>
                    <w:rPr>
                      <w:sz w:val="16"/>
                      <w:color w:val="173E34"/>
                    </w:rPr>
                    <m:rPr>
                      <m:sty m:val="p"/>
                    </m:rPr>
                    <m:t>ℓ</m:t>
                  </m:r>
                </m:sub>
              </m:sSub>
            </m:oMath>
          </w:p>
        </w:tc>
        <w:tc>
          <w:tcPr>
            <w:tcW w:type="dxa" w:w="380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Method, frequency and responsible party</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Calibration, quality control and gaps</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446"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80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80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80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80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Demonstrated feasibility and contingency</w:t>
      </w:r>
    </w:p>
    <w:p>
      <w:pPr>
        <w:keepNext/>
        <w:spacing w:after="100" w:line="259" w:lineRule="auto"/>
      </w:pPr>
      <w:r>
        <w:rPr>
          <w:rFonts w:ascii="Arial" w:hAnsi="Arial"/>
          <w:b w:val="0"/>
          <w:i w:val="0"/>
          <w:color w:val="62716E"/>
          <w:sz w:val="18"/>
        </w:rPr>
        <w:t>Assess technical, environmental, social, legal, operational and resource feasibility separately. Record safety, access, seasonal limits, backup arrangements, event response and the financial assumptions supporting implementation.</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11" w:name="Section_11"/>
      <w:pPr>
        <w:pStyle w:val="Heading1"/>
        <w:keepNext/>
      </w:pPr>
      <w:r>
        <w:t>11  Project Description handover and remaining conditions</w:t>
      </w:r>
      <w:bookmarkEnd w:id="111"/>
    </w:p>
    <w:p>
      <w:pPr>
        <w:keepNext/>
        <w:spacing w:after="180" w:line="259" w:lineRule="auto"/>
      </w:pPr>
      <w:r>
        <w:rPr>
          <w:rFonts w:ascii="Arial" w:hAnsi="Arial"/>
          <w:b w:val="0"/>
          <w:i w:val="0"/>
          <w:color w:val="62716E"/>
          <w:sz w:val="15"/>
        </w:rPr>
        <w:t>[1] Basis: CYC-04; CYC-05; S-16; S-18; MIG-01; MIG-07; U-01</w:t>
      </w:r>
    </w:p>
    <w:p>
      <w:pPr>
        <w:pStyle w:val="Heading2"/>
        <w:keepNext/>
      </w:pPr>
      <w:r>
        <w:t>Feasibility conclusions by dimension</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827"/>
        <w:gridCol w:w="3900"/>
        <w:gridCol w:w="3022"/>
      </w:tblGrid>
      <w:tr>
        <w:trPr>
          <w:trHeight w:val="446" w:hRule="atLeast"/>
          <w:tblHeader/>
        </w:trPr>
        <w:tc>
          <w:tcPr>
            <w:tcW w:type="dxa" w:w="282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Dimension</w:t>
            </w:r>
          </w:p>
        </w:tc>
        <w:tc>
          <w:tcPr>
            <w:tcW w:type="dxa" w:w="390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Conclusion and supporting evidence</w:t>
            </w:r>
          </w:p>
        </w:tc>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Constraint / responsible party / action</w:t>
            </w:r>
          </w:p>
        </w:tc>
      </w:tr>
      <w:tr>
        <w:trPr>
          <w:trHeight w:val="446" w:hRule="atLeast"/>
        </w:trPr>
        <w:tc>
          <w:tcPr>
            <w:tcW w:type="dxa" w:w="282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Technical / environmental</w:t>
            </w:r>
          </w:p>
        </w:tc>
        <w:tc>
          <w:tcPr>
            <w:tcW w:type="dxa" w:w="390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827"/>
            <w:vAlign w:val="center"/>
            <w:tcMar>
              <w:top w:w="70" w:type="dxa"/>
              <w:start w:w="85" w:type="dxa"/>
              <w:bottom w:w="70" w:type="dxa"/>
              <w:end w:w="85" w:type="dxa"/>
            </w:tcMar>
          </w:tcPr>
          <w:p>
            <w:pPr>
              <w:spacing w:after="0" w:line="250" w:lineRule="auto"/>
            </w:pPr>
            <w:r>
              <w:rPr>
                <w:rFonts w:ascii="Arial" w:hAnsi="Arial"/>
                <w:b w:val="0"/>
                <w:i w:val="0"/>
                <w:color w:val="243A36"/>
                <w:sz w:val="16"/>
              </w:rPr>
              <w:t>Social / safeguards</w:t>
            </w:r>
          </w:p>
        </w:tc>
        <w:tc>
          <w:tcPr>
            <w:tcW w:type="dxa" w:w="390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282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Legal / rights</w:t>
            </w:r>
          </w:p>
        </w:tc>
        <w:tc>
          <w:tcPr>
            <w:tcW w:type="dxa" w:w="390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827"/>
            <w:vAlign w:val="center"/>
            <w:tcMar>
              <w:top w:w="70" w:type="dxa"/>
              <w:start w:w="85" w:type="dxa"/>
              <w:bottom w:w="70" w:type="dxa"/>
              <w:end w:w="85" w:type="dxa"/>
            </w:tcMar>
          </w:tcPr>
          <w:p>
            <w:pPr>
              <w:spacing w:after="0" w:line="250" w:lineRule="auto"/>
            </w:pPr>
            <w:r>
              <w:rPr>
                <w:rFonts w:ascii="Arial" w:hAnsi="Arial"/>
                <w:b w:val="0"/>
                <w:i w:val="0"/>
                <w:color w:val="243A36"/>
                <w:sz w:val="16"/>
              </w:rPr>
              <w:t>Operational / resources</w:t>
            </w:r>
          </w:p>
        </w:tc>
        <w:tc>
          <w:tcPr>
            <w:tcW w:type="dxa" w:w="390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PD transfer package</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022"/>
        <w:gridCol w:w="3705"/>
      </w:tblGrid>
      <w:tr>
        <w:trPr>
          <w:trHeight w:val="446" w:hRule="atLeast"/>
          <w:tblHeader/>
        </w:trPr>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Record / output</w:t>
            </w:r>
          </w:p>
        </w:tc>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Version and custodian</w:t>
            </w:r>
          </w:p>
        </w:tc>
        <w:tc>
          <w:tcPr>
            <w:tcW w:type="dxa" w:w="370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Outstanding condition / gate affected</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70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70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70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70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Requested supported scope</w:t>
      </w:r>
    </w:p>
    <w:p>
      <w:pPr>
        <w:keepNext/>
        <w:spacing w:after="100" w:line="259" w:lineRule="auto"/>
      </w:pPr>
      <w:r>
        <w:rPr>
          <w:rFonts w:ascii="Arial" w:hAnsi="Arial"/>
          <w:b w:val="0"/>
          <w:i w:val="0"/>
          <w:color w:val="62716E"/>
          <w:sz w:val="18"/>
        </w:rPr>
        <w:t>Identify the activities, strata and attributes supported for PD preparation. Record historical-data or migration decisions separately and preserve liabilities. Do not represent feasibility as independent outcome verification.</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12" w:name="Section_12"/>
      <w:pPr>
        <w:pStyle w:val="Heading1"/>
        <w:keepNext/>
      </w:pPr>
      <w:r>
        <w:t>12  Evidence, annexes and references</w:t>
      </w:r>
      <w:bookmarkEnd w:id="112"/>
    </w:p>
    <w:p>
      <w:pPr>
        <w:keepNext/>
        <w:spacing w:after="180" w:line="259" w:lineRule="auto"/>
      </w:pPr>
      <w:r>
        <w:rPr>
          <w:rFonts w:ascii="Arial" w:hAnsi="Arial"/>
          <w:b w:val="0"/>
          <w:i w:val="0"/>
          <w:color w:val="62716E"/>
          <w:sz w:val="15"/>
        </w:rPr>
        <w:t>[1] Basis: F-01; S-17; P-04; A-05</w:t>
      </w:r>
    </w:p>
    <w:p>
      <w:pPr>
        <w:keepNext w:val="0"/>
        <w:spacing w:after="160" w:line="259" w:lineRule="auto"/>
        <w:shd w:fill="F1F5F2"/>
      </w:pPr>
      <w:r>
        <w:rPr>
          <w:rFonts w:ascii="Arial" w:hAnsi="Arial"/>
          <w:b w:val="0"/>
          <w:i w:val="0"/>
          <w:color w:val="215F52"/>
          <w:sz w:val="18"/>
        </w:rPr>
        <w:t>Give every annex an identifier, version, date, custodian and exact location. Cite the source of every material input. Keep restricted supporting evidence separately accessible to authorized reviewers; do not hide the methodological basis of a claim.</w:t>
      </w:r>
    </w:p>
    <w:p>
      <w:pPr>
        <w:pStyle w:val="Heading2"/>
        <w:keepNext/>
      </w:pPr>
      <w:r>
        <w:t>Annex register</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340"/>
        <w:gridCol w:w="4484"/>
        <w:gridCol w:w="2925"/>
      </w:tblGrid>
      <w:tr>
        <w:trPr>
          <w:trHeight w:val="446" w:hRule="atLeast"/>
          <w:tblHeader/>
        </w:trPr>
        <w:tc>
          <w:tcPr>
            <w:tcW w:type="dxa" w:w="234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Annex / evidence ID</w:t>
            </w:r>
          </w:p>
        </w:tc>
        <w:tc>
          <w:tcPr>
            <w:tcW w:type="dxa" w:w="448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Contents and linked section</w:t>
            </w:r>
          </w:p>
        </w:tc>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Custodian / access / version</w:t>
            </w:r>
          </w:p>
        </w:tc>
      </w:tr>
      <w:tr>
        <w:trPr>
          <w:trHeight w:val="446" w:hRule="atLeast"/>
        </w:trPr>
        <w:tc>
          <w:tcPr>
            <w:tcW w:type="dxa" w:w="234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34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4484"/>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234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34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4484"/>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234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Project-specific references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1755"/>
        <w:gridCol w:w="4874"/>
        <w:gridCol w:w="3120"/>
      </w:tblGrid>
      <w:tr>
        <w:trPr>
          <w:trHeight w:val="446" w:hRule="atLeast"/>
          <w:tblHeader/>
        </w:trPr>
        <w:tc>
          <w:tcPr>
            <w:tcW w:type="dxa" w:w="175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Reference ID</w:t>
            </w:r>
          </w:p>
        </w:tc>
        <w:tc>
          <w:tcPr>
            <w:tcW w:type="dxa" w:w="487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Full citation / exact version</w:t>
            </w:r>
          </w:p>
        </w:tc>
        <w:tc>
          <w:tcPr>
            <w:tcW w:type="dxa" w:w="312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Use in this dossier</w:t>
            </w:r>
          </w:p>
        </w:tc>
      </w:tr>
      <w:tr>
        <w:trPr>
          <w:trHeight w:val="446" w:hRule="atLeast"/>
        </w:trPr>
        <w:tc>
          <w:tcPr>
            <w:tcW w:type="dxa" w:w="175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87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175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4874"/>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175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87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Reproducibility and transfer</w:t>
      </w:r>
    </w:p>
    <w:p>
      <w:pPr>
        <w:keepNext/>
        <w:spacing w:after="100" w:line="259" w:lineRule="auto"/>
      </w:pPr>
      <w:r>
        <w:rPr>
          <w:rFonts w:ascii="Arial" w:hAnsi="Arial"/>
          <w:b w:val="0"/>
          <w:i w:val="0"/>
          <w:color w:val="62716E"/>
          <w:sz w:val="18"/>
        </w:rPr>
        <w:t>Identify the approved evidence package, calculation files, access arrangements and responsible custodian. Resolve all broken references before submission.</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13" w:name="Section_13"/>
      <w:pPr>
        <w:pStyle w:val="Heading1"/>
        <w:keepNext/>
      </w:pPr>
      <w:r>
        <w:t>13  Submission, review and stage decision</w:t>
      </w:r>
      <w:bookmarkEnd w:id="113"/>
    </w:p>
    <w:p>
      <w:pPr>
        <w:keepNext/>
        <w:spacing w:after="180" w:line="259" w:lineRule="auto"/>
      </w:pPr>
      <w:r>
        <w:rPr>
          <w:rFonts w:ascii="Arial" w:hAnsi="Arial"/>
          <w:b w:val="0"/>
          <w:i w:val="0"/>
          <w:color w:val="62716E"/>
          <w:sz w:val="15"/>
        </w:rPr>
        <w:t>[1] Basis: CYC-01; CYC-04; S-16; S-22; S-23; FRM-03; FRM-06; A-12; A-13</w:t>
      </w:r>
    </w:p>
    <w:p>
      <w:pPr>
        <w:keepNext w:val="0"/>
        <w:spacing w:after="160" w:line="259" w:lineRule="auto"/>
        <w:shd w:fill="F1F5F2"/>
      </w:pPr>
      <w:r>
        <w:rPr>
          <w:rFonts w:ascii="Arial" w:hAnsi="Arial"/>
          <w:b w:val="0"/>
          <w:i w:val="0"/>
          <w:color w:val="215F52"/>
          <w:sz w:val="18"/>
        </w:rPr>
        <w:t>Feasibility establishes the supported design scope for preparing the Project Description. It does not constitute independent design validation, registration or issuance.</w:t>
      </w:r>
    </w:p>
    <w:p>
      <w:pPr>
        <w:pStyle w:val="Heading2"/>
        <w:keepNext/>
      </w:pPr>
      <w:r>
        <w:t>Stage-exit review</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4777"/>
        <w:gridCol w:w="2535"/>
        <w:gridCol w:w="2437"/>
      </w:tblGrid>
      <w:tr>
        <w:trPr>
          <w:trHeight w:val="446" w:hRule="atLeast"/>
          <w:tblHeader/>
        </w:trPr>
        <w:tc>
          <w:tcPr>
            <w:tcW w:type="dxa" w:w="477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Criterion</w:t>
            </w:r>
          </w:p>
        </w:tc>
        <w:tc>
          <w:tcPr>
            <w:tcW w:type="dxa" w:w="253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Evidence / section</w:t>
            </w:r>
          </w:p>
        </w:tc>
        <w:tc>
          <w:tcPr>
            <w:tcW w:type="dxa" w:w="243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Review finding</w:t>
            </w:r>
          </w:p>
        </w:tc>
      </w:tr>
      <w:tr>
        <w:trPr>
          <w:trHeight w:val="446" w:hRule="atLeast"/>
        </w:trPr>
        <w:tc>
          <w:tcPr>
            <w:tcW w:type="dxa" w:w="477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Rights, mandates and access substantiated</w:t>
            </w:r>
          </w:p>
        </w:tc>
        <w:tc>
          <w:tcPr>
            <w:tcW w:type="dxa" w:w="253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[Not assessed]</w:t>
            </w:r>
          </w:p>
        </w:tc>
      </w:tr>
      <w:tr>
        <w:trPr>
          <w:trHeight w:val="446" w:hRule="atLeast"/>
        </w:trPr>
        <w:tc>
          <w:tcPr>
            <w:tcW w:type="dxa" w:w="4777"/>
            <w:vAlign w:val="center"/>
            <w:tcMar>
              <w:top w:w="70" w:type="dxa"/>
              <w:start w:w="85" w:type="dxa"/>
              <w:bottom w:w="70" w:type="dxa"/>
              <w:end w:w="85" w:type="dxa"/>
            </w:tcMar>
          </w:tcPr>
          <w:p>
            <w:pPr>
              <w:spacing w:after="0" w:line="250" w:lineRule="auto"/>
            </w:pPr>
            <w:r>
              <w:rPr>
                <w:rFonts w:ascii="Arial" w:hAnsi="Arial"/>
                <w:b w:val="0"/>
                <w:i w:val="0"/>
                <w:color w:val="243A36"/>
                <w:sz w:val="16"/>
              </w:rPr>
              <w:t>Methods, calibration and independent checks documented</w:t>
            </w:r>
          </w:p>
        </w:tc>
        <w:tc>
          <w:tcPr>
            <w:tcW w:type="dxa" w:w="253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437"/>
            <w:vAlign w:val="center"/>
            <w:tcMar>
              <w:top w:w="70" w:type="dxa"/>
              <w:start w:w="85" w:type="dxa"/>
              <w:bottom w:w="70" w:type="dxa"/>
              <w:end w:w="85" w:type="dxa"/>
            </w:tcMar>
          </w:tcPr>
          <w:p>
            <w:pPr>
              <w:spacing w:after="0" w:line="250" w:lineRule="auto"/>
            </w:pPr>
            <w:r>
              <w:rPr>
                <w:rFonts w:ascii="Arial" w:hAnsi="Arial"/>
                <w:b w:val="0"/>
                <w:i/>
                <w:color w:val="62716E"/>
                <w:sz w:val="16"/>
              </w:rPr>
              <w:t>[Not assessed]</w:t>
            </w:r>
          </w:p>
        </w:tc>
      </w:tr>
      <w:tr>
        <w:trPr>
          <w:trHeight w:val="446" w:hRule="atLeast"/>
        </w:trPr>
        <w:tc>
          <w:tcPr>
            <w:tcW w:type="dxa" w:w="477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Calculation, sensitivity, uncertainty and risk reconciled</w:t>
            </w:r>
          </w:p>
        </w:tc>
        <w:tc>
          <w:tcPr>
            <w:tcW w:type="dxa" w:w="253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[Not assessed]</w:t>
            </w:r>
          </w:p>
        </w:tc>
      </w:tr>
      <w:tr>
        <w:trPr>
          <w:trHeight w:val="446" w:hRule="atLeast"/>
        </w:trPr>
        <w:tc>
          <w:tcPr>
            <w:tcW w:type="dxa" w:w="4777"/>
            <w:vAlign w:val="center"/>
            <w:tcMar>
              <w:top w:w="70" w:type="dxa"/>
              <w:start w:w="85" w:type="dxa"/>
              <w:bottom w:w="70" w:type="dxa"/>
              <w:end w:w="85" w:type="dxa"/>
            </w:tcMar>
          </w:tcPr>
          <w:p>
            <w:pPr>
              <w:spacing w:after="0" w:line="250" w:lineRule="auto"/>
            </w:pPr>
            <w:r>
              <w:rPr>
                <w:rFonts w:ascii="Arial" w:hAnsi="Arial"/>
                <w:b w:val="0"/>
                <w:i w:val="0"/>
                <w:color w:val="243A36"/>
                <w:sz w:val="16"/>
              </w:rPr>
              <w:t>Safeguards and implementation resources established</w:t>
            </w:r>
          </w:p>
        </w:tc>
        <w:tc>
          <w:tcPr>
            <w:tcW w:type="dxa" w:w="253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437"/>
            <w:vAlign w:val="center"/>
            <w:tcMar>
              <w:top w:w="70" w:type="dxa"/>
              <w:start w:w="85" w:type="dxa"/>
              <w:bottom w:w="70" w:type="dxa"/>
              <w:end w:w="85" w:type="dxa"/>
            </w:tcMar>
          </w:tcPr>
          <w:p>
            <w:pPr>
              <w:spacing w:after="0" w:line="250" w:lineRule="auto"/>
            </w:pPr>
            <w:r>
              <w:rPr>
                <w:rFonts w:ascii="Arial" w:hAnsi="Arial"/>
                <w:b w:val="0"/>
                <w:i/>
                <w:color w:val="62716E"/>
                <w:sz w:val="16"/>
              </w:rPr>
              <w:t>[Not assessed]</w:t>
            </w:r>
          </w:p>
        </w:tc>
      </w:tr>
      <w:tr>
        <w:trPr>
          <w:trHeight w:val="446" w:hRule="atLeast"/>
        </w:trPr>
        <w:tc>
          <w:tcPr>
            <w:tcW w:type="dxa" w:w="477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Monitoring protocol and PD handover complete</w:t>
            </w:r>
          </w:p>
        </w:tc>
        <w:tc>
          <w:tcPr>
            <w:tcW w:type="dxa" w:w="253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[Not assessed]</w:t>
            </w:r>
          </w:p>
        </w:tc>
      </w:tr>
    </w:tbl>
    <w:p>
      <w:pPr>
        <w:keepNext w:val="0"/>
        <w:spacing w:after="60" w:line="259" w:lineRule="auto"/>
      </w:pPr>
      <w:r>
        <w:rPr>
          <w:rFonts w:ascii="Arial" w:hAnsi="Arial"/>
          <w:b w:val="0"/>
          <w:i w:val="0"/>
          <w:color w:val="243A36"/>
          <w:sz w:val="2"/>
        </w:rPr>
      </w:r>
    </w:p>
    <w:p>
      <w:pPr>
        <w:pStyle w:val="Heading2"/>
        <w:keepNext/>
      </w:pPr>
      <w:r>
        <w:t>Separate records and signatures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315"/>
        <w:gridCol w:w="3412"/>
      </w:tblGrid>
      <w:tr>
        <w:trPr>
          <w:trHeight w:val="446" w:hRule="atLeast"/>
          <w:tblHeader/>
        </w:trPr>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Action / accountable role</w:t>
            </w:r>
          </w:p>
        </w:tc>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Name, date and signature</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Decision / scope / record</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Submission / proponent</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val="0"/>
                <w:color w:val="243A36"/>
                <w:sz w:val="16"/>
              </w:rPr>
              <w:t>Technical preparation</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Unconflicted review</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val="0"/>
                <w:color w:val="243A36"/>
                <w:sz w:val="16"/>
              </w:rPr>
              <w:t>Authorized stage decision</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[Advance / correct / defer / decline]</w:t>
            </w:r>
          </w:p>
        </w:tc>
      </w:tr>
    </w:tbl>
    <w:p>
      <w:pPr>
        <w:keepNext w:val="0"/>
        <w:spacing w:after="60" w:line="259" w:lineRule="auto"/>
      </w:pPr>
      <w:r>
        <w:rPr>
          <w:rFonts w:ascii="Arial" w:hAnsi="Arial"/>
          <w:b w:val="0"/>
          <w:i w:val="0"/>
          <w:color w:val="243A36"/>
          <w:sz w:val="2"/>
        </w:rPr>
      </w:r>
    </w:p>
    <w:p>
      <w:pPr>
        <w:pStyle w:val="Heading2"/>
        <w:keepNext/>
      </w:pPr>
      <w:r>
        <w:t>Conditions, unresolved findings and next-stage handover</w:t>
      </w:r>
    </w:p>
    <w:p>
      <w:pPr>
        <w:keepNext/>
        <w:spacing w:after="100" w:line="259" w:lineRule="auto"/>
      </w:pPr>
      <w:r>
        <w:rPr>
          <w:rFonts w:ascii="Arial" w:hAnsi="Arial"/>
          <w:b w:val="0"/>
          <w:i w:val="0"/>
          <w:color w:val="62716E"/>
          <w:sz w:val="18"/>
        </w:rPr>
        <w:t>State the permitted scope, blocked activities or claims, corrective-action owner, evidence required, deadline under the approved profile and receiving party. A blank signature is not approval.</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bookmarkStart w:id="3999" w:name="account_annex"/>
      <w:pPr>
        <w:pStyle w:val="Heading1"/>
        <w:keepNext/>
        <w:pageBreakBefore/>
      </w:pPr>
      <w:r>
        <w:t>A  Ex-ante, ex-post and migration account attachments</w:t>
      </w:r>
      <w:bookmarkEnd w:id="3999"/>
    </w:p>
    <w:p>
      <w:pPr>
        <w:spacing w:after="120"/>
      </w:pPr>
      <w:r>
        <w:rPr>
          <w:rFonts w:ascii="Lato" w:hAnsi="Lato"/>
          <w:b w:val="0"/>
          <w:color w:val="62716E"/>
          <w:sz w:val="16"/>
        </w:rPr>
        <w:t>[1] Basis: CYC-01; CYC-05; F-01; F-03; P-13; MIG-05; FRM-02; FRM-04; FRM-05</w:t>
      </w:r>
    </w:p>
    <w:p>
      <w:pPr>
        <w:pStyle w:val="Heading2"/>
        <w:keepNext/>
      </w:pPr>
      <w:r>
        <w:t>Stage-specific use</w:t>
      </w:r>
    </w:p>
    <w:p>
      <w:pPr>
        <w:spacing w:after="80"/>
      </w:pPr>
      <w:r>
        <w:rPr>
          <w:rFonts w:ascii="Lato" w:hAnsi="Lato"/>
          <w:b w:val="0"/>
          <w:color w:val="62716E"/>
          <w:sz w:val="18"/>
        </w:rPr>
        <w:t>Finalize the supported ex-ante account and its evidence route. For an existing or migrated project, attach the applicable ex-post and migration reconciliations with their distinct status.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account_annex-0-EN"/>
                <w:tag w:val="account_annex-0-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Account attachment register</w:t>
      </w:r>
    </w:p>
    <w:p>
      <w:pPr>
        <w:keepNext/>
        <w:spacing w:before="40" w:after="60"/>
      </w:pPr>
      <w:r>
        <w:rPr>
          <w:rFonts w:ascii="Lato" w:hAnsi="Lato"/>
          <w:color w:val="315B50"/>
          <w:sz w:val="18"/>
        </w:rPr>
        <w:t>FEASIBILITY-T27 / Calculation notation</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is the identified observation, input, or output; u_l is its declared unit. Record the exact equation and source file, worksheet, cell/range, period, and status. This notation does not prescribe an estimator.</w:t>
      </w:r>
    </w:p>
    <w:p>
      <w:pPr>
        <w:keepNext/>
        <w:spacing w:before="40" w:after="60"/>
      </w:pPr>
      <w:r>
        <w:rPr>
          <w:rFonts w:ascii="Lato" w:hAnsi="Lato"/>
          <w:color w:val="315B50"/>
          <w:sz w:val="14"/>
        </w:rPr>
        <w:t>Basis: F-01; T-01 | Workbook: Evidence!A:J;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Product / applicable scope</w:t>
            </w:r>
          </w:p>
          <w:p>
            <w:pPr>
              <w:spacing w:before="40" w:after="40"/>
            </w:pPr>
            <m:oMath>
              <m:sSub>
                <m:e>
                  <m:r>
                    <w:rPr>
                      <w:sz w:val="16"/>
                      <w:color w:val="173E34"/>
                    </w:rPr>
                    <m:t>x</m:t>
                  </m:r>
                </m:e>
                <m:sub>
                  <m:r>
                    <w:rPr>
                      <w:sz w:val="16"/>
                      <w:color w:val="173E34"/>
                    </w:rPr>
                    <m:rPr>
                      <m:sty m:val="p"/>
                    </m:rPr>
                    <m:t>ℓ</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Version, workbook and evidence location</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Status / reviewer / unresolved restriction</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510"/>
        </w:trPr>
        <w:tc>
          <w:tcPr>
            <w:tcW w:type="dxa" w:w="3250"/>
            <w:tcMar>
              <w:top w:w="90" w:type="dxa"/>
              <w:bottom w:w="90" w:type="dxa"/>
              <w:left w:w="100" w:type="dxa"/>
              <w:right w:w="100" w:type="dxa"/>
            </w:tcMar>
            <w:shd w:fill="F1F5F2"/>
          </w:tcPr>
          <w:p>
            <w:pPr>
              <w:spacing w:after="20"/>
            </w:pPr>
            <w:sdt>
              <w:sdtPr>
                <w:alias w:val="account_annex-1-EN-1-1"/>
                <w:tag w:val="account_annex-1-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account_annex-1-EN-1-2"/>
                <w:tag w:val="account_annex-1-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account_annex-1-EN-1-3"/>
                <w:tag w:val="account_annex-1-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account_annex-1-EN-2-1"/>
                <w:tag w:val="account_annex-1-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account_annex-1-EN-2-2"/>
                <w:tag w:val="account_annex-1-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account_annex-1-EN-2-3"/>
                <w:tag w:val="account_annex-1-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account_annex-1-EN-3-1"/>
                <w:tag w:val="account_annex-1-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account_annex-1-EN-3-2"/>
                <w:tag w:val="account_annex-1-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account_annex-1-EN-3-3"/>
                <w:tag w:val="account_annex-1-EN-3-3"/>
                <w:text/>
              </w:sdtPr>
              <w:sdtContent>
                <w:r>
                  <w:rPr>
                    <w:rFonts w:ascii="Lato" w:hAnsi="Lato"/>
                    <w:sz w:val="18"/>
                    <w:color w:val="62716E"/>
                  </w:rPr>
                  <w:t>[Complete]</w:t>
                </w:r>
              </w:sdtContent>
            </w:sdt>
          </w:p>
        </w:tc>
      </w:tr>
    </w:tbl>
    <w:p>
      <w:pPr>
        <w:spacing w:after="0"/>
      </w:pPr>
    </w:p>
    <w:p>
      <w:pPr>
        <w:pStyle w:val="Heading2"/>
        <w:keepNext/>
      </w:pPr>
      <w:r>
        <w:t>Common account contract</w:t>
      </w:r>
    </w:p>
    <w:p>
      <w:pPr>
        <w:spacing w:after="80"/>
      </w:pPr>
      <w:r>
        <w:rPr>
          <w:rFonts w:ascii="Lato" w:hAnsi="Lato"/>
          <w:b w:val="0"/>
          <w:color w:val="62716E"/>
          <w:sz w:val="18"/>
        </w:rPr>
        <w:t>Use the bilingual Ex-Ante Estimate, Ex-Post Outcome Report and Migration Reconciliation formats with the calculation workbook as applicable. Identify periods, bands, units, missing data and exact source cells. Keep forecasts, monitored inputs, the counterfactual, verified results and authorized NVEUs distinct. No template rate or blank field establishes policy, zero emissions or issuance.</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account_annex-2-EN"/>
                <w:tag w:val="account_annex-2-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Required reconciliation</w:t>
      </w:r>
    </w:p>
    <w:p>
      <w:pPr>
        <w:keepNext/>
        <w:spacing w:before="40" w:after="60"/>
      </w:pPr>
      <w:r>
        <w:rPr>
          <w:rFonts w:ascii="Lato" w:hAnsi="Lato"/>
          <w:color w:val="315B50"/>
          <w:sz w:val="18"/>
        </w:rPr>
        <w:t>FEASIBILITY-T28 / Calculation notation</w:t>
      </w:r>
    </w:p>
    <w:p>
      <w:pPr>
        <w:keepNext/>
        <w:spacing w:before="40" w:after="60"/>
      </w:pPr>
      <m:oMath>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 </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r>
          <w:rPr>
            <w:sz w:val="18"/>
          </w:rPr>
          <m:rPr>
            <m:sty m:val="p"/>
          </m:rPr>
          <m:t>=</m:t>
        </m:r>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oMath>
    </w:p>
    <w:p>
      <w:pPr>
        <w:keepNext/>
        <w:spacing w:before="40" w:after="60"/>
      </w:pPr>
      <m:oMath>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oMath>
    </w:p>
    <w:p>
      <w:pPr>
        <w:keepNext/>
        <w:spacing w:before="40" w:after="60"/>
      </w:pPr>
      <w:r>
        <w:rPr>
          <w:rFonts w:ascii="Lato" w:hAnsi="Lato"/>
          <w:color w:val="315B50"/>
          <w:sz w:val="16"/>
        </w:rPr>
        <w:t>src retains the original result; harm is the original method on the agreed comparable basis; NEB is the receiving-method result on that basis. This telescoping identity explains differences, not eligibility. Do not force the methodological difference to zero.</w:t>
      </w:r>
    </w:p>
    <w:p>
      <w:pPr>
        <w:keepNext/>
        <w:spacing w:before="40" w:after="60"/>
      </w:pPr>
      <w:r>
        <w:rPr>
          <w:rFonts w:ascii="Lato" w:hAnsi="Lato"/>
          <w:color w:val="315B50"/>
          <w:sz w:val="14"/>
        </w:rPr>
        <w:t>Basis: MIG-05; P-13; reconciliation identity | Workbook: Migration!E:K</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pPr>
              <w:keepNext/>
            </w:pPr>
            <w:r>
              <w:rPr>
                <w:rFonts w:ascii="Lato" w:hAnsi="Lato"/>
                <w:b/>
                <w:color w:val="173E34"/>
                <w:sz w:val="17"/>
              </w:rPr>
              <w:t>Dimension / original record</w:t>
            </w:r>
          </w:p>
          <w:p>
            <w:pPr>
              <w:keepNext/>
              <w:spacing w:before="40" w:after="40"/>
            </w:pPr>
            <m:oMath>
              <m:r>
                <w:rPr>
                  <w:sz w:val="16"/>
                  <w:color w:val="173E34"/>
                </w:rPr>
                <m:t>t</m:t>
              </m:r>
              <m:r>
                <w:rPr>
                  <w:sz w:val="16"/>
                  <w:color w:val="173E34"/>
                </w:rPr>
                <m:rPr>
                  <m:sty m:val="p"/>
                </m:rPr>
                <m:t>,</m:t>
              </m:r>
              <m:r>
                <w:rPr>
                  <w:sz w:val="16"/>
                  <w:color w:val="173E34"/>
                </w:rPr>
                <m:t> </m:t>
              </m:r>
              <m:r>
                <w:rPr>
                  <w:sz w:val="16"/>
                  <w:color w:val="173E34"/>
                </w:rPr>
                <m:t>u</m:t>
              </m:r>
            </m:oMath>
          </w:p>
        </w:tc>
        <w:tc>
          <w:tcPr>
            <w:tcW w:type="dxa" w:w="3250"/>
            <w:tcMar>
              <w:top w:w="90" w:type="dxa"/>
              <w:bottom w:w="90" w:type="dxa"/>
              <w:left w:w="100" w:type="dxa"/>
              <w:right w:w="100" w:type="dxa"/>
            </w:tcMar>
            <w:vAlign w:val="center"/>
            <w:shd w:fill="E6F0EB"/>
          </w:tcPr>
          <w:p>
            <w:pPr>
              <w:keepNext/>
            </w:pPr>
            <w:r>
              <w:rPr>
                <w:rFonts w:ascii="Lato" w:hAnsi="Lato"/>
                <w:b/>
                <w:color w:val="173E34"/>
                <w:sz w:val="17"/>
              </w:rPr>
              <w:t>Receiving or monitored treatment</w:t>
            </w:r>
          </w:p>
          <w:p>
            <w:pPr>
              <w:keepNext/>
              <w:spacing w:before="40" w:after="40"/>
            </w:pPr>
            <m:oMath>
              <m:sSup>
                <m:e>
                  <m:r>
                    <w:rPr>
                      <w:sz w:val="16"/>
                      <w:color w:val="173E34"/>
                    </w:rPr>
                    <m:t>q</m:t>
                  </m:r>
                </m:e>
                <m:sup>
                  <m:r>
                    <w:rPr>
                      <w:sz w:val="16"/>
                      <w:color w:val="173E34"/>
                    </w:rPr>
                    <m:rPr>
                      <m:sty m:val="p"/>
                    </m:rPr>
                    <m:t>s</m:t>
                  </m:r>
                  <m:r>
                    <w:rPr>
                      <w:sz w:val="16"/>
                      <w:color w:val="173E34"/>
                    </w:rPr>
                    <m:rPr>
                      <m:sty m:val="p"/>
                    </m:rPr>
                    <m:t>r</m:t>
                  </m:r>
                  <m:r>
                    <w:rPr>
                      <w:sz w:val="16"/>
                      <w:color w:val="173E34"/>
                    </w:rPr>
                    <m:rPr>
                      <m:sty m:val="p"/>
                    </m:rPr>
                    <m:t>c</m:t>
                  </m:r>
                </m:sup>
              </m:sSup>
              <m:r>
                <w:rPr>
                  <w:sz w:val="16"/>
                  <w:color w:val="173E34"/>
                </w:rPr>
                <m:rPr>
                  <m:sty m:val="p"/>
                </m:rPr>
                <m:t>,</m:t>
              </m:r>
              <m:r>
                <w:rPr>
                  <w:sz w:val="16"/>
                  <w:color w:val="173E34"/>
                </w:rPr>
                <m:t> </m:t>
              </m:r>
              <m:sSup>
                <m:e>
                  <m:r>
                    <w:rPr>
                      <w:sz w:val="16"/>
                      <w:color w:val="173E34"/>
                    </w:rPr>
                    <m:t>q</m:t>
                  </m:r>
                </m:e>
                <m:sup>
                  <m:r>
                    <w:rPr>
                      <w:sz w:val="16"/>
                      <w:color w:val="173E34"/>
                    </w:rPr>
                    <m:rPr>
                      <m:sty m:val="p"/>
                    </m:rPr>
                    <m:t>h</m:t>
                  </m:r>
                  <m:r>
                    <w:rPr>
                      <w:sz w:val="16"/>
                      <w:color w:val="173E34"/>
                    </w:rPr>
                    <m:rPr>
                      <m:sty m:val="p"/>
                    </m:rPr>
                    <m:t>a</m:t>
                  </m:r>
                  <m:r>
                    <w:rPr>
                      <w:sz w:val="16"/>
                      <w:color w:val="173E34"/>
                    </w:rPr>
                    <m:rPr>
                      <m:sty m:val="p"/>
                    </m:rPr>
                    <m:t>r</m:t>
                  </m:r>
                  <m:r>
                    <w:rPr>
                      <w:sz w:val="16"/>
                      <w:color w:val="173E34"/>
                    </w:rPr>
                    <m:rPr>
                      <m:sty m:val="p"/>
                    </m:rPr>
                    <m:t>m</m:t>
                  </m:r>
                </m:sup>
              </m:sSup>
              <m:r>
                <w:rPr>
                  <w:sz w:val="16"/>
                  <w:color w:val="173E34"/>
                </w:rPr>
                <m:rPr>
                  <m:sty m:val="p"/>
                </m:rPr>
                <m:t>,</m:t>
              </m:r>
              <m:r>
                <w:rPr>
                  <w:sz w:val="16"/>
                  <w:color w:val="173E34"/>
                </w:rPr>
                <m:t> </m:t>
              </m:r>
              <m:sSup>
                <m:e>
                  <m:r>
                    <w:rPr>
                      <w:sz w:val="16"/>
                      <w:color w:val="173E34"/>
                    </w:rPr>
                    <m:t>q</m:t>
                  </m:r>
                </m:e>
                <m:sup>
                  <m:r>
                    <w:rPr>
                      <w:sz w:val="16"/>
                      <w:color w:val="173E34"/>
                    </w:rPr>
                    <m:rPr>
                      <m:sty m:val="p"/>
                    </m:rPr>
                    <m:t>N</m:t>
                  </m:r>
                  <m:r>
                    <w:rPr>
                      <w:sz w:val="16"/>
                      <w:color w:val="173E34"/>
                    </w:rPr>
                    <m:rPr>
                      <m:sty m:val="p"/>
                    </m:rPr>
                    <m:t>E</m:t>
                  </m:r>
                  <m:r>
                    <w:rPr>
                      <w:sz w:val="16"/>
                      <w:color w:val="173E34"/>
                    </w:rPr>
                    <m:rPr>
                      <m:sty m:val="p"/>
                    </m:rPr>
                    <m:t>B</m:t>
                  </m:r>
                </m:sup>
              </m:sSup>
            </m:oMath>
          </w:p>
        </w:tc>
        <w:tc>
          <w:tcPr>
            <w:tcW w:type="dxa" w:w="3250"/>
            <w:tcMar>
              <w:top w:w="90" w:type="dxa"/>
              <w:bottom w:w="90" w:type="dxa"/>
              <w:left w:w="100" w:type="dxa"/>
              <w:right w:w="100" w:type="dxa"/>
            </w:tcMar>
            <w:vAlign w:val="center"/>
            <w:shd w:fill="E6F0EB"/>
          </w:tcPr>
          <w:p>
            <w:pPr>
              <w:keepNext/>
            </w:pPr>
            <w:r>
              <w:rPr>
                <w:rFonts w:ascii="Lato" w:hAnsi="Lato"/>
                <w:b/>
                <w:color w:val="173E34"/>
                <w:sz w:val="17"/>
              </w:rPr>
              <w:t>Evidence and decision reference</w:t>
            </w:r>
          </w:p>
          <w:p>
            <w:pPr>
              <w:keepNext/>
              <w:spacing w:before="40" w:after="40"/>
            </w:pPr>
            <m:oMath>
              <m:r>
                <w:rPr>
                  <w:sz w:val="16"/>
                  <w:color w:val="173E34"/>
                </w:rPr>
                <m:t>Δ</m:t>
              </m:r>
              <m:sSub>
                <m:e>
                  <m:r>
                    <w:rPr>
                      <w:sz w:val="16"/>
                      <w:color w:val="173E34"/>
                    </w:rPr>
                    <m:t>q</m:t>
                  </m:r>
                </m:e>
                <m:sub>
                  <m:r>
                    <w:rPr>
                      <w:sz w:val="16"/>
                      <w:color w:val="173E34"/>
                    </w:rPr>
                    <m:rPr>
                      <m:sty m:val="p"/>
                    </m:rPr>
                    <m:t>b</m:t>
                  </m:r>
                  <m:r>
                    <w:rPr>
                      <w:sz w:val="16"/>
                      <w:color w:val="173E34"/>
                    </w:rPr>
                    <m:rPr>
                      <m:sty m:val="p"/>
                    </m:rPr>
                    <m:t>a</m:t>
                  </m:r>
                  <m:r>
                    <w:rPr>
                      <w:sz w:val="16"/>
                      <w:color w:val="173E34"/>
                    </w:rPr>
                    <m:rPr>
                      <m:sty m:val="p"/>
                    </m:rPr>
                    <m:t>s</m:t>
                  </m:r>
                  <m:r>
                    <w:rPr>
                      <w:sz w:val="16"/>
                      <w:color w:val="173E34"/>
                    </w:rPr>
                    <m:rPr>
                      <m:sty m:val="p"/>
                    </m:rPr>
                    <m:t>i</m:t>
                  </m:r>
                  <m:r>
                    <w:rPr>
                      <w:sz w:val="16"/>
                      <w:color w:val="173E34"/>
                    </w:rPr>
                    <m:rPr>
                      <m:sty m:val="p"/>
                    </m:rPr>
                    <m:t>s</m:t>
                  </m:r>
                </m:sub>
              </m:sSub>
              <m:r>
                <w:rPr>
                  <w:sz w:val="16"/>
                  <w:color w:val="173E34"/>
                </w:rPr>
                <m:rPr>
                  <m:sty m:val="p"/>
                </m:rPr>
                <m:t>,</m:t>
              </m:r>
              <m:r>
                <w:rPr>
                  <w:sz w:val="16"/>
                  <w:color w:val="173E34"/>
                </w:rPr>
                <m:t> </m:t>
              </m:r>
              <m:r>
                <w:rPr>
                  <w:sz w:val="16"/>
                  <w:color w:val="173E34"/>
                </w:rPr>
                <m:t>Δ</m:t>
              </m:r>
              <m:sSub>
                <m:e>
                  <m:r>
                    <w:rPr>
                      <w:sz w:val="16"/>
                      <w:color w:val="173E34"/>
                    </w:rPr>
                    <m:t>q</m:t>
                  </m:r>
                </m:e>
                <m:sub>
                  <m:r>
                    <w:rPr>
                      <w:sz w:val="16"/>
                      <w:color w:val="173E34"/>
                    </w:rPr>
                    <m:rPr>
                      <m:sty m:val="p"/>
                    </m:rPr>
                    <m:t>m</m:t>
                  </m:r>
                  <m:r>
                    <w:rPr>
                      <w:sz w:val="16"/>
                      <w:color w:val="173E34"/>
                    </w:rPr>
                    <m:rPr>
                      <m:sty m:val="p"/>
                    </m:rPr>
                    <m:t>e</m:t>
                  </m:r>
                  <m:r>
                    <w:rPr>
                      <w:sz w:val="16"/>
                      <w:color w:val="173E34"/>
                    </w:rPr>
                    <m:rPr>
                      <m:sty m:val="p"/>
                    </m:rPr>
                    <m:t>t</m:t>
                  </m:r>
                  <m:r>
                    <w:rPr>
                      <w:sz w:val="16"/>
                      <w:color w:val="173E34"/>
                    </w:rPr>
                    <m:rPr>
                      <m:sty m:val="p"/>
                    </m:rPr>
                    <m:t>h</m:t>
                  </m:r>
                  <m:r>
                    <w:rPr>
                      <w:sz w:val="16"/>
                      <w:color w:val="173E34"/>
                    </w:rPr>
                    <m:rPr>
                      <m:sty m:val="p"/>
                    </m:rPr>
                    <m:t>o</m:t>
                  </m:r>
                  <m:r>
                    <w:rPr>
                      <w:sz w:val="16"/>
                      <w:color w:val="173E34"/>
                    </w:rPr>
                    <m:rPr>
                      <m:sty m:val="p"/>
                    </m:rPr>
                    <m:t>d</m:t>
                  </m:r>
                </m:sub>
              </m:sSub>
            </m:oMath>
          </w:p>
        </w:tc>
      </w:tr>
      <w:tr>
        <w:trPr>
          <w:trHeight w:val="510"/>
        </w:trPr>
        <w:tc>
          <w:tcPr>
            <w:tcW w:type="dxa" w:w="3250"/>
            <w:tcMar>
              <w:top w:w="90" w:type="dxa"/>
              <w:bottom w:w="90" w:type="dxa"/>
              <w:left w:w="100" w:type="dxa"/>
              <w:right w:w="100" w:type="dxa"/>
            </w:tcMar>
            <w:shd w:fill="F1F5F2"/>
          </w:tcPr>
          <w:p>
            <w:pPr>
              <w:keepNext/>
              <w:spacing w:after="20"/>
            </w:pPr>
            <w:sdt>
              <w:sdtPr>
                <w:alias w:val="account_annex-3-EN-1-1"/>
                <w:tag w:val="account_annex-3-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keepNext/>
              <w:spacing w:after="20"/>
            </w:pPr>
            <w:sdt>
              <w:sdtPr>
                <w:alias w:val="account_annex-3-EN-1-2"/>
                <w:tag w:val="account_annex-3-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keepNext/>
              <w:spacing w:after="20"/>
            </w:pPr>
            <w:sdt>
              <w:sdtPr>
                <w:alias w:val="account_annex-3-EN-1-3"/>
                <w:tag w:val="account_annex-3-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keepNext w:val="0"/>
              <w:spacing w:after="20"/>
            </w:pPr>
            <w:sdt>
              <w:sdtPr>
                <w:alias w:val="account_annex-3-EN-2-1"/>
                <w:tag w:val="account_annex-3-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keepNext w:val="0"/>
              <w:spacing w:after="20"/>
            </w:pPr>
            <w:sdt>
              <w:sdtPr>
                <w:alias w:val="account_annex-3-EN-2-2"/>
                <w:tag w:val="account_annex-3-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keepNext w:val="0"/>
              <w:spacing w:after="20"/>
            </w:pPr>
            <w:sdt>
              <w:sdtPr>
                <w:alias w:val="account_annex-3-EN-2-3"/>
                <w:tag w:val="account_annex-3-EN-2-3"/>
                <w:text/>
              </w:sdtPr>
              <w:sdtContent>
                <w:r>
                  <w:rPr>
                    <w:rFonts w:ascii="Lato" w:hAnsi="Lato"/>
                    <w:sz w:val="18"/>
                    <w:color w:val="62716E"/>
                  </w:rPr>
                  <w:t>[Complete]</w:t>
                </w:r>
              </w:sdtContent>
            </w:sdt>
          </w:p>
        </w:tc>
      </w:tr>
    </w:tbl>
    <w:p>
      <w:bookmarkStart w:id="99001" w:name="calc_register"/>
      <w:pPr>
        <w:pStyle w:val="Heading1"/>
        <w:keepNext/>
        <w:pageBreakBefore/>
      </w:pPr>
      <w:r>
        <w:t>CALC — Calculation traceability and notation</w:t>
      </w:r>
      <w:bookmarkEnd w:id="99001"/>
    </w:p>
    <w:p>
      <w:pPr>
        <w:spacing w:after="100"/>
      </w:pPr>
      <w:r>
        <w:t>Record each calculated quantity as a uniquely identified row. Retain the exact source expression and a separate expression for any NEBIOT adaptation. A translated label does not change a formula. Units, included pools, sign convention, observation period, input status, and mathematical domain are part of the calculation record. An administrative table does not need an invented equation. Source-defined variables that remain ambiguous require clarification rather than an assumed meaning.</w:t>
      </w:r>
    </w:p>
    <w:p>
      <w:pPr>
        <w:pStyle w:val="Heading2"/>
        <w:keepNext/>
        <w:spacing w:after="100"/>
      </w:pPr>
      <w:r>
        <w:t>Indices and status</w:t>
      </w:r>
    </w:p>
    <w:p>
      <w:pPr>
        <w:spacing w:after="100"/>
      </w:pPr>
      <w:r>
        <w:t>EA = dated forecast; EP = reporting-period account; t = interval; i,j = declared strata or classes; o = disjoint organ or pool; g = gas; tau = disturbance cohort; l = calculation/component row.</w:t>
      </w:r>
    </w:p>
    <w:p>
      <w:pPr>
        <w:pStyle w:val="Heading2"/>
        <w:keepNext/>
        <w:spacing w:after="100"/>
      </w:pPr>
      <w:r>
        <w:t>One calculation record — repeat for each result</w:t>
      </w:r>
    </w:p>
    <w:tbl>
      <w:tblPr>
        <w:tblW w:type="auto" w:w="0"/>
        <w:tblLayout w:type="fixed"/>
        <w:tblLook w:firstColumn="1" w:firstRow="1" w:lastColumn="0" w:lastRow="0" w:noHBand="0" w:noVBand="1" w:val="04A0"/>
      </w:tblPr>
      <w:tblGrid>
        <w:gridCol w:w="3240"/>
        <w:gridCol w:w="6120"/>
      </w:tblGrid>
      <w:tr>
        <w:trPr/>
        <w:tc>
          <w:tcPr>
            <w:tcW w:type="dxa" w:w="4873"/>
            <w:shd w:fill="215F52"/>
          </w:tcPr>
          <w:p>
            <w:pPr>
              <w:spacing w:after="80"/>
            </w:pPr>
            <w:r>
              <w:rPr>
                <w:rFonts w:ascii="Lato" w:hAnsi="Lato"/>
                <w:b/>
                <w:color w:val="FFFFFF"/>
                <w:sz w:val="18"/>
              </w:rPr>
              <w:t>Field</w:t>
            </w:r>
          </w:p>
        </w:tc>
        <w:tc>
          <w:tcPr>
            <w:tcW w:type="dxa" w:w="4873"/>
            <w:shd w:fill="215F52"/>
          </w:tcPr>
          <w:p>
            <w:pPr>
              <w:spacing w:after="80"/>
            </w:pPr>
            <w:r>
              <w:rPr>
                <w:rFonts w:ascii="Lato" w:hAnsi="Lato"/>
                <w:b/>
                <w:color w:val="FFFFFF"/>
                <w:sz w:val="18"/>
              </w:rPr>
              <w:t>Record</w:t>
            </w:r>
          </w:p>
        </w:tc>
      </w:tr>
      <w:tr>
        <w:trPr/>
        <w:tc>
          <w:tcPr>
            <w:tcW w:type="dxa" w:w="3240"/>
          </w:tcPr>
          <w:p>
            <w:pPr>
              <w:spacing w:after="80"/>
            </w:pPr>
            <w:r>
              <w:rPr>
                <w:rFonts w:ascii="Lato" w:hAnsi="Lato"/>
                <w:sz w:val="18"/>
              </w:rPr>
              <w:t>Calculation row / symbol</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Definition and intended use</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Exact source file / version / fingerprint</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Worksheet / cell or raw record ID</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Original expression and original unit</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Inputs: symbols, values, units and periods</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Receiving equation / standard identifier</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Transformation, conversion and rationale</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Unrounded intermediate and final values</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Report table / row / output location</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Recalculation difference / tolerance basis</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Independent reviewer / finding / disposition</w:t>
            </w:r>
          </w:p>
        </w:tc>
        <w:tc>
          <w:tcPr>
            <w:tcW w:type="dxa" w:w="6120"/>
          </w:tcPr>
          <w:p>
            <w:pPr>
              <w:spacing w:after="80"/>
            </w:pPr>
            <w:r>
              <w:rPr>
                <w:rFonts w:ascii="Lato" w:hAnsi="Lato"/>
                <w:sz w:val="18"/>
              </w:rPr>
              <w:t>[Complete]</w:t>
            </w:r>
          </w:p>
        </w:tc>
      </w:tr>
    </w:tbl>
    <w:p>
      <w:pPr>
        <w:pStyle w:val="Heading2"/>
        <w:keepNext/>
        <w:spacing w:after="100"/>
      </w:pPr>
      <w:r>
        <w:t>Arithmetic comparison, not materiality</w:t>
      </w:r>
    </w:p>
    <w:p>
      <w:pPr>
        <w:spacing w:after="100"/>
      </w:pPr>
      <m:oMath>
        <m:sSub>
          <m:e>
            <m:r>
              <w:rPr>
                <w:sz w:val="20"/>
              </w:rPr>
              <m:t>δ</m:t>
            </m:r>
          </m:e>
          <m:sub>
            <m:r>
              <w:rPr>
                <w:sz w:val="20"/>
              </w:rPr>
              <m:rPr>
                <m:sty m:val="p"/>
              </m:rPr>
              <m:t>ℓ</m:t>
            </m:r>
          </m:sub>
        </m:sSub>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c</m:t>
            </m:r>
            <m:r>
              <w:rPr>
                <w:sz w:val="20"/>
              </w:rPr>
              <m:rPr>
                <m:sty m:val="p"/>
              </m:rPr>
              <m:t>a</m:t>
            </m:r>
            <m:r>
              <w:rPr>
                <w:sz w:val="20"/>
              </w:rPr>
              <m:rPr>
                <m:sty m:val="p"/>
              </m:rPr>
              <m:t>l</m:t>
            </m:r>
            <m:r>
              <w:rPr>
                <w:sz w:val="20"/>
              </w:rPr>
              <m:rPr>
                <m:sty m:val="p"/>
              </m:rPr>
              <m:t>c</m:t>
            </m:r>
          </m:sup>
        </m:sSubSup>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oMath>
    </w:p>
    <w:p>
      <w:pPr>
        <w:spacing w:after="100"/>
      </w:pPr>
      <m:oMath>
        <m:d>
          <m:dPr>
            <m:begChr m:val="|"/>
            <m:endChr m:val="|"/>
            <m:sepChr m:val=""/>
            <m:grow/>
          </m:dPr>
          <m:e>
            <m:sSub>
              <m:e>
                <m:r>
                  <w:rPr>
                    <w:sz w:val="20"/>
                  </w:rPr>
                  <m:t>δ</m:t>
                </m:r>
              </m:e>
              <m:sub>
                <m:r>
                  <w:rPr>
                    <w:sz w:val="20"/>
                  </w:rPr>
                  <m:rPr>
                    <m:sty m:val="p"/>
                  </m:rPr>
                  <m:t>ℓ</m:t>
                </m:r>
              </m:sub>
            </m:sSub>
          </m:e>
        </m:d>
        <m:r>
          <w:rPr>
            <w:sz w:val="20"/>
          </w:rPr>
          <m:rPr>
            <m:sty m:val="p"/>
          </m:rPr>
          <m:t>≤</m:t>
        </m:r>
        <m:sSub>
          <m:e>
            <m:r>
              <w:rPr>
                <w:sz w:val="20"/>
              </w:rPr>
              <m:t>ε</m:t>
            </m:r>
          </m:e>
          <m:sub>
            <m:r>
              <w:rPr>
                <w:sz w:val="20"/>
              </w:rPr>
              <m:t>a</m:t>
            </m:r>
          </m:sub>
        </m:sSub>
        <m:r>
          <w:rPr>
            <w:sz w:val="20"/>
          </w:rPr>
          <m:rPr>
            <m:sty m:val="p"/>
          </m:rPr>
          <m:t>+</m:t>
        </m:r>
        <m:sSub>
          <m:e>
            <m:r>
              <w:rPr>
                <w:sz w:val="20"/>
              </w:rPr>
              <m:t>ε</m:t>
            </m:r>
          </m:e>
          <m:sub>
            <m:r>
              <w:rPr>
                <w:sz w:val="20"/>
              </w:rPr>
              <m:t>r</m:t>
            </m:r>
          </m:sub>
        </m:sSub>
        <m:d>
          <m:dPr>
            <m:begChr m:val="|"/>
            <m:endChr m:val="|"/>
            <m:sepChr m:val=""/>
            <m:grow/>
          </m:dPr>
          <m:e>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e>
        </m:d>
      </m:oMath>
    </w:p>
    <w:p>
      <w:pPr>
        <w:spacing w:after="100"/>
      </w:pPr>
      <w:r>
        <w:t>The absolute tolerance has the result unit; the relative tolerance is dimensionless. These are software-comparison settings, not materiality thresholds. Compare unrounded values. Reproduce the source method first, and record any harmonization or methodological change separately.</w:t>
      </w:r>
    </w:p>
    <w:sectPr w:rsidR="00FC693F" w:rsidRPr="0006063C" w:rsidSect="00034616">
      <w:headerReference w:type="default" r:id="rId9"/>
      <w:footerReference w:type="default" r:id="rId10"/>
      <w:pgSz w:w="11906" w:h="16838"/>
      <w:pgMar w:top="936" w:right="1080" w:bottom="950" w:left="1080" w:header="403" w:footer="432"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749" w:val="right"/>
      </w:tabs>
      <w:spacing w:before="60"/>
      <w:pBdr>
        <w:top w:val="single" w:sz="4" w:color="C9D5CE" w:space="5"/>
      </w:pBdr>
    </w:pPr>
    <w:r>
      <w:rPr>
        <w:rFonts w:ascii="Arial" w:hAnsi="Arial"/>
        <w:b w:val="0"/>
        <w:i w:val="0"/>
        <w:color w:val="62716E"/>
        <w:sz w:val="14"/>
      </w:rPr>
      <w:t>TEMPLATE 1.2  /  FEASIBILITY  /  NEBIOT 0.8.2</w:t>
    </w:r>
    <w:r>
      <w:tab/>
    </w:r>
    <w:r>
      <w:rPr>
        <w:rFonts w:ascii="Arial" w:hAnsi="Arial"/>
        <w:b w:val="0"/>
        <w:i w:val="0"/>
        <w:color w:val="62716E"/>
        <w:sz w:val="14"/>
      </w:rPr>
      <w:t xml:space="preserve">Page </w:t>
    </w:r>
    <w:fldSimple w:instr="PAGE">
      <w:r>
        <w:t>1</w:t>
      </w:r>
    </w:fldSimple>
    <w:r>
      <w:t xml:space="preserve"> / </w:t>
    </w:r>
    <w:fldSimple w:instr="NUMPAGES">
      <w:r>
        <w:t>1</w:t>
      </w:r>
    </w:fldSimple>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749" w:val="right"/>
      </w:tabs>
      <w:spacing w:after="60"/>
      <w:pBdr>
        <w:bottom w:val="single" w:sz="4" w:color="C9D5CE" w:space="5"/>
      </w:pBdr>
    </w:pPr>
    <w:r>
      <w:rPr>
        <w:rFonts w:ascii="Arial" w:hAnsi="Arial"/>
        <w:b/>
        <w:i w:val="0"/>
        <w:color w:val="215F52"/>
        <w:sz w:val="16"/>
      </w:rPr>
      <w:t>NEBIOT   /   FEASIBILITY STUDY</w:t>
    </w:r>
    <w:r>
      <w:tab/>
    </w:r>
    <w:r>
      <w:rPr>
        <w:rFonts w:ascii="Arial" w:hAnsi="Arial"/>
        <w:b w:val="0"/>
        <w:i w:val="0"/>
        <w:color w:val="62716E"/>
        <w:sz w:val="16"/>
      </w:rPr>
      <w:t>EN   |   1.2</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after="100" w:line="259" w:lineRule="auto"/>
    </w:pPr>
    <w:rPr>
      <w:rFonts w:ascii="Arial" w:hAnsi="Arial"/>
      <w:sz w:val="19"/>
      <w:lang w:val="en-US"/>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140" w:after="140"/>
      <w:outlineLvl w:val="0"/>
    </w:pPr>
    <w:rPr>
      <w:rFonts w:asciiTheme="majorHAnsi" w:eastAsiaTheme="majorEastAsia" w:hAnsiTheme="majorHAnsi" w:cstheme="majorBidi" w:ascii="Georgia" w:hAnsi="Georgia"/>
      <w:b/>
      <w:bCs/>
      <w:color w:val="215F52"/>
      <w:sz w:val="38"/>
      <w:szCs w:val="28"/>
    </w:rPr>
  </w:style>
  <w:style w:type="paragraph" w:styleId="Heading2">
    <w:name w:val="heading 2"/>
    <w:basedOn w:val="Normal"/>
    <w:next w:val="Normal"/>
    <w:link w:val="Heading2Char"/>
    <w:uiPriority w:val="9"/>
    <w:unhideWhenUsed/>
    <w:qFormat/>
    <w:rsid w:val="00FC693F"/>
    <w:pPr>
      <w:keepNext/>
      <w:keepLines/>
      <w:spacing w:before="140" w:after="140"/>
      <w:outlineLvl w:val="1"/>
    </w:pPr>
    <w:rPr>
      <w:rFonts w:asciiTheme="majorHAnsi" w:eastAsiaTheme="majorEastAsia" w:hAnsiTheme="majorHAnsi" w:cstheme="majorBidi" w:ascii="Arial" w:hAnsi="Arial"/>
      <w:b/>
      <w:bCs/>
      <w:color w:val="215F52"/>
      <w:sz w:val="21"/>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keepNext/>
      <w:pBdr>
        <w:bottom w:val="single" w:sz="8" w:space="4" w:color="4F81BD" w:themeColor="accent1"/>
      </w:pBdr>
      <w:spacing w:after="140" w:line="240" w:lineRule="auto" w:before="140"/>
      <w:contextualSpacing/>
    </w:pPr>
    <w:rPr>
      <w:rFonts w:asciiTheme="majorHAnsi" w:eastAsiaTheme="majorEastAsia" w:hAnsiTheme="majorHAnsi" w:cstheme="majorBidi" w:ascii="Georgia" w:hAnsi="Georgia"/>
      <w:color w:val="215F52"/>
      <w:spacing w:val="5"/>
      <w:kern w:val="28"/>
      <w:sz w:val="60"/>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 Id="rId1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Feasibility Study — NEBIOT template 1.0</dc:title>
  <dc:subject>NEBIOT Standard 0.8.2 — Feasibility — EN</dc:subject>
  <dc:creator>Henry Arellano-Peña</dc:creator>
  <cp:keywords>NEBIOT, Feasibility, template</cp:keywords>
  <dc:description/>
  <cp:lastModifiedBy>NEBIOT</cp:lastModifiedBy>
  <cp:revision>1</cp:revision>
  <dcterms:created xsi:type="dcterms:W3CDTF">2026-09-25T00:00:00Z</dcterms:created>
  <dcterms:modified xsi:type="dcterms:W3CDTF">2026-09-25T00:00:00Z</dcterms:modified>
  <cp:category>Project documentation template</cp:category>
  <cp:version>1.2</cp:version>
</cp:coreProperties>
</file>