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PROJECT DOCUMENTATION</w:t>
      </w:r>
    </w:p>
    <w:p>
      <w:pPr>
        <w:jc w:val="center"/>
      </w:pPr>
      <w:r>
        <w:drawing>
          <wp:inline xmlns:a="http://schemas.openxmlformats.org/drawingml/2006/main" xmlns:pic="http://schemas.openxmlformats.org/drawingml/2006/picture">
            <wp:extent cx="5760720" cy="1918365"/>
            <wp:docPr id="1" name="Picture 1" descr="NEBIOT — English"/>
            <wp:cNvGraphicFramePr>
              <a:graphicFrameLocks noChangeAspect="1"/>
            </wp:cNvGraphicFramePr>
            <a:graphic>
              <a:graphicData uri="http://schemas.openxmlformats.org/drawingml/2006/picture">
                <pic:pic>
                  <pic:nvPicPr>
                    <pic:cNvPr id="0" name="NEBIOT-Engl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Program authority: Nuevo Estándar Biotropical — NEBIOT S.A.S.</w:t>
      </w:r>
    </w:p>
    <w:p>
      <w:pPr>
        <w:pStyle w:val="Title"/>
        <w:spacing w:after="160"/>
        <w:pBdr>
          <w:bottom w:val="single" w:sz="8" w:color="A6813D" w:space="5"/>
        </w:pBdr>
      </w:pPr>
      <w:r>
        <w:t>Project Idea Note</w:t>
      </w:r>
    </w:p>
    <w:p>
      <w:pPr>
        <w:keepNext w:val="0"/>
        <w:spacing w:after="180" w:line="259" w:lineRule="auto"/>
      </w:pPr>
      <w:r>
        <w:rPr>
          <w:rFonts w:ascii="Arial" w:hAnsi="Arial"/>
          <w:b w:val="0"/>
          <w:i/>
          <w:color w:val="215F52"/>
          <w:sz w:val="21"/>
        </w:rPr>
        <w:t>NIP • Concept screening</w:t>
      </w:r>
    </w:p>
    <w:p>
      <w:pPr>
        <w:keepNext w:val="0"/>
        <w:spacing w:after="260" w:line="259" w:lineRule="auto"/>
      </w:pPr>
      <w:r>
        <w:rPr>
          <w:rFonts w:ascii="Arial" w:hAnsi="Arial"/>
          <w:b w:val="0"/>
          <w:i w:val="0"/>
          <w:color w:val="62716E"/>
          <w:sz w:val="17"/>
        </w:rPr>
        <w:t>Governing standard: NEBIOT 0.8.2   |   Template edition 1.2</w:t>
      </w:r>
    </w:p>
    <w:p>
      <w:pPr>
        <w:keepNext w:val="0"/>
        <w:spacing w:after="200" w:line="259" w:lineRule="auto"/>
      </w:pPr>
      <w:r>
        <w:rPr>
          <w:rFonts w:ascii="Arial" w:hAnsi="Arial"/>
          <w:b w:val="0"/>
          <w:i/>
          <w:color w:val="215F52"/>
          <w:sz w:val="32"/>
        </w:rPr>
        <w:t>[PROJECT NAME]</w:t>
      </w:r>
    </w:p>
    <w:p>
      <w:pPr>
        <w:spacing w:after="80"/>
      </w:pPr>
      <w:r>
        <w:rPr>
          <w:rFonts w:ascii="Arial" w:hAnsi="Arial"/>
          <w:b/>
          <w:i w:val="0"/>
          <w:color w:val="243A36"/>
          <w:sz w:val="18"/>
        </w:rPr>
        <w:t xml:space="preserve">Project ID: </w:t>
      </w:r>
      <w:r>
        <w:rPr>
          <w:rFonts w:ascii="Arial" w:hAnsi="Arial"/>
          <w:b w:val="0"/>
          <w:i/>
          <w:color w:val="62716E"/>
          <w:sz w:val="18"/>
        </w:rPr>
        <w:t>[Enter]</w:t>
      </w:r>
    </w:p>
    <w:p>
      <w:pPr>
        <w:spacing w:after="80"/>
      </w:pPr>
      <w:r>
        <w:rPr>
          <w:rFonts w:ascii="Arial" w:hAnsi="Arial"/>
          <w:b/>
          <w:i w:val="0"/>
          <w:color w:val="243A36"/>
          <w:sz w:val="18"/>
        </w:rPr>
        <w:t xml:space="preserve">Country / jurisdiction: </w:t>
      </w:r>
      <w:r>
        <w:rPr>
          <w:rFonts w:ascii="Arial" w:hAnsi="Arial"/>
          <w:b w:val="0"/>
          <w:i/>
          <w:color w:val="62716E"/>
          <w:sz w:val="18"/>
        </w:rPr>
        <w:t>[Enter]</w:t>
      </w:r>
    </w:p>
    <w:p>
      <w:pPr>
        <w:spacing w:after="80"/>
      </w:pPr>
      <w:r>
        <w:rPr>
          <w:rFonts w:ascii="Arial" w:hAnsi="Arial"/>
          <w:b/>
          <w:i w:val="0"/>
          <w:color w:val="243A36"/>
          <w:sz w:val="18"/>
        </w:rPr>
        <w:t xml:space="preserve">Project document version: </w:t>
      </w:r>
      <w:r>
        <w:rPr>
          <w:rFonts w:ascii="Arial" w:hAnsi="Arial"/>
          <w:b w:val="0"/>
          <w:i/>
          <w:color w:val="62716E"/>
          <w:sz w:val="18"/>
        </w:rPr>
        <w:t>[Enter]</w:t>
      </w:r>
    </w:p>
    <w:p>
      <w:pPr>
        <w:spacing w:after="80"/>
      </w:pPr>
      <w:r>
        <w:rPr>
          <w:rFonts w:ascii="Arial" w:hAnsi="Arial"/>
          <w:b/>
          <w:i w:val="0"/>
          <w:color w:val="243A36"/>
          <w:sz w:val="18"/>
        </w:rPr>
        <w:t xml:space="preserve">Issue date (YYYY-MM-DD): </w:t>
      </w:r>
      <w:r>
        <w:rPr>
          <w:rFonts w:ascii="Arial" w:hAnsi="Arial"/>
          <w:b w:val="0"/>
          <w:i/>
          <w:color w:val="62716E"/>
          <w:sz w:val="18"/>
        </w:rPr>
        <w:t>[Enter]</w:t>
      </w:r>
    </w:p>
    <w:p>
      <w:pPr>
        <w:keepNext w:val="0"/>
        <w:spacing w:after="100" w:line="259" w:lineRule="auto"/>
      </w:pPr>
      <w:r>
        <w:rPr>
          <w:rFonts w:ascii="Arial" w:hAnsi="Arial"/>
          <w:b w:val="0"/>
          <w:i w:val="0"/>
          <w:color w:val="215F52"/>
          <w:sz w:val="21"/>
        </w:rPr>
        <w:t>Implementing organizations and stakeholders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IMPLEMENTING ENTITY</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PROJECT PROPONENT</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RIGHTS HOLDERS / STAKEHOLDERS</w:t>
            </w:r>
          </w:p>
          <w:p>
            <w:pPr>
              <w:jc w:val="center"/>
            </w:pPr>
            <w:r>
              <w:rPr>
                <w:rFonts w:ascii="Arial" w:hAnsi="Arial"/>
                <w:b w:val="0"/>
                <w:i w:val="0"/>
                <w:color w:val="62716E"/>
                <w:sz w:val="16"/>
              </w:rPr>
              <w:t>[Insert authorized logo]</w:t>
            </w:r>
          </w:p>
          <w:p>
            <w:pPr>
              <w:jc w:val="center"/>
            </w:pPr>
            <w:r>
              <w:rPr>
                <w:rFonts w:ascii="Arial" w:hAnsi="Arial"/>
                <w:b w:val="0"/>
                <w:i/>
                <w:color w:val="62716E"/>
                <w:sz w:val="16"/>
              </w:rPr>
              <w:t>[Organization / role]</w:t>
            </w:r>
          </w:p>
        </w:tc>
      </w:tr>
    </w:tbl>
    <w:p>
      <w:pPr>
        <w:keepNext w:val="0"/>
        <w:spacing w:after="160" w:line="259" w:lineRule="auto"/>
      </w:pPr>
      <w:r>
        <w:rPr>
          <w:rFonts w:ascii="Arial" w:hAnsi="Arial"/>
          <w:b w:val="0"/>
          <w:i w:val="0"/>
          <w:color w:val="62716E"/>
          <w:sz w:val="16"/>
        </w:rPr>
        <w:t>Use authorized logos and identify each organization’s actual role. Logo display does not establish consent, project ownership, endorsement, validation or admission. Remove unused partner spaces from the completed submission.</w:t>
      </w:r>
    </w:p>
    <w:p>
      <w:pPr>
        <w:keepNext w:val="0"/>
        <w:spacing w:after="100" w:line="259" w:lineRule="auto"/>
      </w:pPr>
      <w:r>
        <w:rPr>
          <w:rFonts w:ascii="Arial" w:hAnsi="Arial"/>
          <w:b w:val="0"/>
          <w:i w:val="0"/>
          <w:color w:val="62716E"/>
          <w:sz w:val="15"/>
        </w:rPr>
        <w:t>The English logo wording is a translation, not a separate legal entity.</w:t>
      </w:r>
    </w:p>
    <w:p>
      <w:r>
        <w:br w:type="page"/>
      </w:r>
    </w:p>
    <w:p>
      <w:pPr>
        <w:pStyle w:val="Heading1"/>
        <w:keepNext/>
      </w:pPr>
      <w:r>
        <w:t>License and use of this template</w:t>
      </w:r>
    </w:p>
    <w:p>
      <w:pPr>
        <w:keepNext w:val="0"/>
        <w:spacing w:after="220" w:line="259" w:lineRule="auto"/>
      </w:pPr>
      <w:r>
        <w:rPr>
          <w:rFonts w:ascii="Arial" w:hAnsi="Arial"/>
          <w:b w:val="0"/>
          <w:i w:val="0"/>
          <w:color w:val="243A36"/>
          <w:sz w:val="19"/>
        </w:rPr>
        <w:t>This document is issued by Nuevo Estándar Biotropical—NEBIOT S.A.S. Henry Arellano-Peña is the methodological author of NEB001 and NEB002. Rights in NEBIOT's protected materials remain with their respective rights holders. Commercial use, reproduction, adaptation, redistribution, and sublicensing of protected material are subject to the applicable license or specific written permission from the authorized rights holder; permissions for use within the NEBIOT program shall be recorded in FRM-07 under S-21. Access to this document does not itself grant a commercial license, transfer ownership, authorize sublicensing, confer program admission, or authorize certification or issuance of environmental units. Supporting publications and third-party data, software, and images retain their respective licenses and attribution requirements; existing lawful permissions and uses permitted by applicable law remain unaffected. Authorized independent reviewers shall receive the access necessary for inspection, recalculation, and reporting under S-22, subject to the applicable permissions and confidentiality safeguards.</w:t>
      </w:r>
    </w:p>
    <w:p>
      <w:pPr>
        <w:pStyle w:val="Heading2"/>
        <w:keepNext/>
      </w:pPr>
      <w:r>
        <w:t>Completion instructions</w:t>
      </w:r>
    </w:p>
    <w:p>
      <w:pPr>
        <w:keepNext w:val="0"/>
        <w:spacing w:after="180" w:line="259" w:lineRule="auto"/>
      </w:pPr>
      <w:r>
        <w:rPr>
          <w:rFonts w:ascii="Arial" w:hAnsi="Arial"/>
          <w:b w:val="0"/>
          <w:i w:val="0"/>
          <w:color w:val="243A36"/>
          <w:sz w:val="19"/>
        </w:rPr>
        <w:t>This template organizes the evidence required for its project stage under NEBIOT Standard version 0.8.2. It does not replace the standard, its applicable methods, the approved case profile or the controlled forms. Complete the bracketed fields and expand tables or narrative areas as needed. For an inapplicable item, record a reason and the reviewer’s disposition; do not silently delete it. Identify unknown information as missing, not zero. Keep observations, assumptions, projections, verified outcomes and authorized NVEUs distinct. Requirements are assessed at the stage to which they apply; later-stage fields do not imply earlier completion.</w:t>
      </w:r>
    </w:p>
    <w:p>
      <w:pPr>
        <w:pStyle w:val="Heading2"/>
        <w:keepNext/>
      </w:pPr>
      <w:r>
        <w:t>Reference and scope</w:t>
      </w:r>
    </w:p>
    <w:p>
      <w:pPr>
        <w:keepNext w:val="0"/>
        <w:spacing w:after="200" w:line="259" w:lineRule="auto"/>
      </w:pPr>
      <w:r>
        <w:rPr>
          <w:rFonts w:ascii="Arial" w:hAnsi="Arial"/>
          <w:b w:val="0"/>
          <w:i w:val="0"/>
          <w:color w:val="243A36"/>
          <w:sz w:val="17"/>
        </w:rPr>
        <w:t>[1] NEBIOT. NEBIOT Standard, controlled version 0.8.2. NEB-DOC-000, integrated edition. Principal dependencies: NEB-CYC-001; NEB-STD-001 and Annex A; NEB-MTH-001/002; NEB-UNT-001; NEB-PRO-001; NEB-MIG-001; NEB-AUD-001; and NEB-FRM-001. All clause, equation, AP and FRM references in this template refer to that version. They are external normative dependencies, not missing sections of this template.</w:t>
      </w:r>
    </w:p>
    <w:p>
      <w:pPr>
        <w:keepNext w:val="0"/>
        <w:spacing w:after="140" w:line="259" w:lineRule="auto"/>
      </w:pPr>
      <w:r>
        <w:rPr>
          <w:rFonts w:ascii="Arial" w:hAnsi="Arial"/>
          <w:b w:val="0"/>
          <w:i w:val="0"/>
          <w:color w:val="243A36"/>
          <w:sz w:val="18"/>
        </w:rPr>
        <w:t>NIP retains the source name Nota de Idea de proyecto; “Project Idea Note” is an explanatory English rendering. PD means Project Description.</w:t>
      </w:r>
    </w:p>
    <w:p>
      <w:pPr>
        <w:keepNext w:val="0"/>
        <w:spacing w:after="0" w:line="259" w:lineRule="auto"/>
      </w:pPr>
      <w:r>
        <w:rPr>
          <w:rFonts w:ascii="Arial" w:hAnsi="Arial"/>
          <w:b w:val="0"/>
          <w:i w:val="0"/>
          <w:color w:val="243A36"/>
          <w:sz w:val="18"/>
        </w:rPr>
        <w:t>NEBIOT provides the contracted technical assessment, design and monitoring services. The named proponent and implementing entity retain project execution responsibilities under S-25; exceptional NEBIOT interests follow S-26.</w:t>
      </w:r>
    </w:p>
    <w:p>
      <w:r>
        <w:br w:type="page"/>
      </w:r>
    </w:p>
    <w:p>
      <w:pPr>
        <w:pStyle w:val="Heading1"/>
        <w:keepNext/>
      </w:pPr>
      <w:r>
        <w:t>Document control and contents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Record</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Template</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NIP / 1.2 / EN</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Standard basis</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CYC-02</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Preparer / reviewer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Distribution / restrictions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Version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Date</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Change and authority</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Contents</w:t>
      </w:r>
    </w:p>
    <w:p>
      <w:pPr>
        <w:spacing w:after="60" w:line="252" w:lineRule="auto"/>
      </w:pPr>
      <w:hyperlink w:anchor="Section_1">
        <w:r>
          <w:rPr>
            <w:rFonts w:ascii="Arial" w:hAnsi="Arial"/>
            <w:sz w:val="19"/>
            <w:color w:val="215F52"/>
          </w:rPr>
          <w:t>01  Project identity and concept submission</w:t>
        </w:r>
      </w:hyperlink>
    </w:p>
    <w:p>
      <w:pPr>
        <w:spacing w:after="60" w:line="252" w:lineRule="auto"/>
      </w:pPr>
      <w:hyperlink w:anchor="Section_2">
        <w:r>
          <w:rPr>
            <w:rFonts w:ascii="Arial" w:hAnsi="Arial"/>
            <w:sz w:val="19"/>
            <w:color w:val="215F52"/>
          </w:rPr>
          <w:t>02  Preliminary territory and proposed activities</w:t>
        </w:r>
      </w:hyperlink>
    </w:p>
    <w:p>
      <w:pPr>
        <w:spacing w:after="60" w:line="252" w:lineRule="auto"/>
      </w:pPr>
      <w:hyperlink w:anchor="Section_3">
        <w:r>
          <w:rPr>
            <w:rFonts w:ascii="Arial" w:hAnsi="Arial"/>
            <w:sz w:val="19"/>
            <w:color w:val="215F52"/>
          </w:rPr>
          <w:t>03  Available evidence and methodological fit</w:t>
        </w:r>
      </w:hyperlink>
    </w:p>
    <w:p>
      <w:pPr>
        <w:spacing w:after="60" w:line="252" w:lineRule="auto"/>
      </w:pPr>
      <w:hyperlink w:anchor="Section_4">
        <w:r>
          <w:rPr>
            <w:rFonts w:ascii="Arial" w:hAnsi="Arial"/>
            <w:sz w:val="19"/>
            <w:color w:val="215F52"/>
          </w:rPr>
          <w:t>04  Rights, safeguards and intersecting initiatives</w:t>
        </w:r>
      </w:hyperlink>
    </w:p>
    <w:p>
      <w:pPr>
        <w:spacing w:after="60" w:line="252" w:lineRule="auto"/>
      </w:pPr>
      <w:hyperlink w:anchor="Section_5">
        <w:r>
          <w:rPr>
            <w:rFonts w:ascii="Arial" w:hAnsi="Arial"/>
            <w:sz w:val="19"/>
            <w:color w:val="215F52"/>
          </w:rPr>
          <w:t>05  Indicative outcomes and prefeasibility scope</w:t>
        </w:r>
      </w:hyperlink>
    </w:p>
    <w:p>
      <w:pPr>
        <w:spacing w:after="60" w:line="252" w:lineRule="auto"/>
      </w:pPr>
      <w:hyperlink w:anchor="Section_6">
        <w:r>
          <w:rPr>
            <w:rFonts w:ascii="Arial" w:hAnsi="Arial"/>
            <w:sz w:val="19"/>
            <w:color w:val="215F52"/>
          </w:rPr>
          <w:t>06  Evidence, annexes and references</w:t>
        </w:r>
      </w:hyperlink>
    </w:p>
    <w:p>
      <w:pPr>
        <w:spacing w:after="60" w:line="252" w:lineRule="auto"/>
      </w:pPr>
      <w:hyperlink w:anchor="Section_7">
        <w:r>
          <w:rPr>
            <w:rFonts w:ascii="Arial" w:hAnsi="Arial"/>
            <w:sz w:val="19"/>
            <w:color w:val="215F52"/>
          </w:rPr>
          <w:t>07  Submission, review and stage decision</w:t>
        </w:r>
      </w:hyperlink>
    </w:p>
    <w:p>
      <w:pPr>
        <w:spacing w:after="60"/>
      </w:pPr>
      <w:hyperlink w:anchor="account_annex">
        <w:r>
          <w:rPr>
            <w:color w:val="215F52"/>
          </w:rPr>
          <w:t>A. Ex-ante, ex-post and migration account attachments</w:t>
        </w:r>
      </w:hyperlink>
    </w:p>
    <w:p>
      <w:pPr>
        <w:spacing w:after="80"/>
      </w:pPr>
      <w:hyperlink w:anchor="calc_register" w:history="1">
        <w:r>
          <w:rPr>
            <w:color w:val="215F52"/>
          </w:rPr>
          <w:t>CALC  Calculation traceability and notation</w:t>
        </w:r>
      </w:hyperlink>
    </w:p>
    <w:p>
      <w:r>
        <w:br w:type="page"/>
      </w:r>
    </w:p>
    <w:p>
      <w:bookmarkStart w:id="101" w:name="Section_1"/>
      <w:pPr>
        <w:pStyle w:val="Heading1"/>
        <w:keepNext/>
      </w:pPr>
      <w:r>
        <w:t>01  Project identity and concept submission</w:t>
      </w:r>
      <w:bookmarkEnd w:id="101"/>
    </w:p>
    <w:p>
      <w:pPr>
        <w:keepNext/>
        <w:spacing w:after="180" w:line="259" w:lineRule="auto"/>
      </w:pPr>
      <w:r>
        <w:rPr>
          <w:rFonts w:ascii="Arial" w:hAnsi="Arial"/>
          <w:b w:val="0"/>
          <w:i w:val="0"/>
          <w:color w:val="62716E"/>
          <w:sz w:val="15"/>
        </w:rPr>
        <w:t>[1] Basis: CYC-01; CYC-02; S-03; S-04; S-25; S-26; FRM-07</w:t>
      </w:r>
    </w:p>
    <w:p>
      <w:pPr>
        <w:pStyle w:val="Heading2"/>
        <w:keepNext/>
      </w:pPr>
      <w:r>
        <w:t>Project concept and intended environmental change</w:t>
      </w:r>
    </w:p>
    <w:p>
      <w:pPr>
        <w:keepNext/>
        <w:spacing w:after="100" w:line="259" w:lineRule="auto"/>
      </w:pPr>
      <w:r>
        <w:rPr>
          <w:rFonts w:ascii="Arial" w:hAnsi="Arial"/>
          <w:b w:val="0"/>
          <w:i w:val="0"/>
          <w:color w:val="62716E"/>
          <w:sz w:val="18"/>
        </w:rPr>
        <w:t>Describe the ecosystem, present condition, intended intervention and reason for considering the project. State what is known and what remains to be investigated.</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pStyle w:val="Heading2"/>
        <w:keepNext/>
      </w:pPr>
      <w:r>
        <w:t>Responsibility and authorization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Role</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Entity / named lead</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Mandate, scope and evidence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Project proponent</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Rights holders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Implementing entity</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NEBIOT technical lead</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Submission authority and material interests</w:t>
      </w:r>
    </w:p>
    <w:p>
      <w:pPr>
        <w:keepNext/>
        <w:spacing w:after="100" w:line="259" w:lineRule="auto"/>
      </w:pPr>
      <w:r>
        <w:rPr>
          <w:rFonts w:ascii="Arial" w:hAnsi="Arial"/>
          <w:b w:val="0"/>
          <w:i w:val="0"/>
          <w:color w:val="62716E"/>
          <w:sz w:val="18"/>
        </w:rPr>
        <w:t>Reference authority to submit the concept; distinguish land, customary, project and environmental-attribute rights. Disclose any exceptional NEBIOT interest for S-26 review.</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Preliminary territory and proposed activities</w:t>
      </w:r>
      <w:bookmarkEnd w:id="102"/>
    </w:p>
    <w:p>
      <w:pPr>
        <w:keepNext/>
        <w:spacing w:after="180" w:line="259" w:lineRule="auto"/>
      </w:pPr>
      <w:r>
        <w:rPr>
          <w:rFonts w:ascii="Arial" w:hAnsi="Arial"/>
          <w:b w:val="0"/>
          <w:i w:val="0"/>
          <w:color w:val="62716E"/>
          <w:sz w:val="15"/>
        </w:rPr>
        <w:t>[1] Basis: CYC-02; S-03; S-06; S-07; AO-01</w:t>
      </w:r>
    </w:p>
    <w:p>
      <w:pPr>
        <w:pStyle w:val="Heading2"/>
        <w:keepNext/>
      </w:pPr>
      <w:r>
        <w:t>Territorial identification</w:t>
      </w:r>
    </w:p>
    <w:p>
      <w:pPr>
        <w:keepNext/>
        <w:spacing w:before="40" w:after="60"/>
      </w:pPr>
      <w:r>
        <w:rPr>
          <w:rFonts w:ascii="Lato" w:hAnsi="Lato"/>
          <w:color w:val="315B50"/>
          <w:sz w:val="18"/>
        </w:rPr>
        <w:t>NIP-T04 / Calculation notation</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is a pixel count; a_cell is pixel area in m2; A is area in ha. The PIXELS route uses the displayed geometric conversion. Direct area is a documented input. Net class change is not gross deforestation.</w:t>
      </w:r>
    </w:p>
    <w:p>
      <w:pPr>
        <w:keepNext/>
        <w:spacing w:before="40" w:after="60"/>
      </w:pPr>
      <w:r>
        <w:rPr>
          <w:rFonts w:ascii="Lato" w:hAnsi="Lato"/>
          <w:color w:val="315B50"/>
          <w:sz w:val="14"/>
        </w:rPr>
        <w:t>Basis: M01; MIG-13; MIG-14 | Workbook: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2437"/>
        <w:gridCol w:w="4192"/>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Location / ecosystem</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243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Provisional area and unit</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419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Boundary ID / date / limitation</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Project map / spatial evidence</w:t>
      </w:r>
    </w:p>
    <w:p>
      <w:pPr>
        <w:keepNext/>
        <w:spacing w:after="100" w:line="259" w:lineRule="auto"/>
      </w:pPr>
      <w:r>
        <w:rPr>
          <w:rFonts w:ascii="Arial" w:hAnsi="Arial"/>
          <w:b w:val="0"/>
          <w:i w:val="0"/>
          <w:color w:val="62716E"/>
          <w:sz w:val="17"/>
        </w:rPr>
        <w:t>Insert a readable project map. Identify boundary version, coordinate reference system, scale, observation date, data source, legend and restrictions on disclosure. A screening map does not establish rights or an outcome boundary.</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 PROJECT MAP]</w:t>
            </w:r>
          </w:p>
        </w:tc>
      </w:tr>
    </w:tbl>
    <w:p>
      <w:pPr>
        <w:keepNext w:val="0"/>
        <w:spacing w:after="80" w:line="259" w:lineRule="auto"/>
      </w:pPr>
      <w:r>
        <w:rPr>
          <w:rFonts w:ascii="Arial" w:hAnsi="Arial"/>
          <w:b w:val="0"/>
          <w:i w:val="0"/>
          <w:color w:val="243A36"/>
          <w:sz w:val="2"/>
        </w:rPr>
      </w:r>
    </w:p>
    <w:p>
      <w:pPr>
        <w:pStyle w:val="Heading2"/>
        <w:keepNext/>
      </w:pPr>
      <w:r>
        <w:t>Proposed interventions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192"/>
        <w:gridCol w:w="2632"/>
        <w:gridCol w:w="2925"/>
      </w:tblGrid>
      <w:tr>
        <w:trPr>
          <w:trHeight w:val="446" w:hRule="atLeast"/>
          <w:tblHeader/>
        </w:trPr>
        <w:tc>
          <w:tcPr>
            <w:tcW w:type="dxa" w:w="419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Activity / intended change</w:t>
            </w:r>
          </w:p>
        </w:tc>
        <w:tc>
          <w:tcPr>
            <w:tcW w:type="dxa" w:w="263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Responsible implementer</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Timing / evidence needed</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Available evidence and methodological fit</w:t>
      </w:r>
      <w:bookmarkEnd w:id="103"/>
    </w:p>
    <w:p>
      <w:pPr>
        <w:keepNext/>
        <w:spacing w:after="180" w:line="259" w:lineRule="auto"/>
      </w:pPr>
      <w:r>
        <w:rPr>
          <w:rFonts w:ascii="Arial" w:hAnsi="Arial"/>
          <w:b w:val="0"/>
          <w:i w:val="0"/>
          <w:color w:val="62716E"/>
          <w:sz w:val="15"/>
        </w:rPr>
        <w:t>[1] Basis: CYC-02; S-01; S-02; T-11; T-13; MIG-12; MIG-13; FRM-08</w:t>
      </w:r>
    </w:p>
    <w:p>
      <w:pPr>
        <w:pStyle w:val="Heading2"/>
        <w:keepNext/>
      </w:pPr>
      <w:r>
        <w:t>Evidence inventory</w:t>
      </w:r>
    </w:p>
    <w:p>
      <w:pPr>
        <w:keepNext/>
        <w:spacing w:before="40" w:after="60"/>
      </w:pPr>
      <w:r>
        <w:rPr>
          <w:rFonts w:ascii="Lato" w:hAnsi="Lato"/>
          <w:color w:val="315B50"/>
          <w:sz w:val="18"/>
        </w:rPr>
        <w:t>NIP-T06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827"/>
        <w:gridCol w:w="4484"/>
      </w:tblGrid>
      <w:tr>
        <w:trPr>
          <w:trHeight w:val="446" w:hRule="atLeast"/>
          <w:tblHeader/>
        </w:trPr>
        <w:tc>
          <w:tcPr>
            <w:tcW w:type="dxa" w:w="243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Evidence ID / version</w:t>
            </w:r>
          </w:p>
          <w:p>
            <w:pPr>
              <w:spacing w:before="40" w:after="40"/>
            </w:pPr>
            <m:oMath>
              <m:sSub>
                <m:e>
                  <m:r>
                    <w:rPr>
                      <w:sz w:val="16"/>
                      <w:color w:val="173E34"/>
                    </w:rPr>
                    <m:t>x</m:t>
                  </m:r>
                </m:e>
                <m:sub>
                  <m:r>
                    <w:rPr>
                      <w:sz w:val="16"/>
                      <w:color w:val="173E34"/>
                    </w:rPr>
                    <m:rPr>
                      <m:sty m:val="p"/>
                    </m:rPr>
                    <m:t>ℓ</m:t>
                  </m:r>
                </m:sub>
              </m:sSub>
            </m:oMath>
          </w:p>
        </w:tc>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Observation date / support</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4484"/>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Purpose, limitations and access</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Candidate modules and evidence routes</w:t>
      </w:r>
    </w:p>
    <w:p>
      <w:pPr>
        <w:keepNext/>
        <w:spacing w:before="40" w:after="60"/>
      </w:pPr>
      <w:r>
        <w:rPr>
          <w:rFonts w:ascii="Lato" w:hAnsi="Lato"/>
          <w:color w:val="315B50"/>
          <w:sz w:val="18"/>
        </w:rPr>
        <w:t>NIP-T07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925"/>
        <w:gridCol w:w="3510"/>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Method / intended attribute</w:t>
            </w:r>
          </w:p>
          <w:p>
            <w:pPr>
              <w:spacing w:before="40" w:after="40"/>
            </w:pPr>
            <m:oMath>
              <m:sSub>
                <m:e>
                  <m:r>
                    <w:rPr>
                      <w:sz w:val="16"/>
                      <w:color w:val="173E34"/>
                    </w:rPr>
                    <m:t>x</m:t>
                  </m:r>
                </m:e>
                <m:sub>
                  <m:r>
                    <w:rPr>
                      <w:sz w:val="16"/>
                      <w:color w:val="173E34"/>
                    </w:rPr>
                    <m:rPr>
                      <m:sty m:val="p"/>
                    </m:rPr>
                    <m:t>ℓ</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Candidate evidence route</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Applicability gap / next check</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External biomass, carbon or forest-change maps may be considered through qualified evidence reuse. Record the actual product, band, units and dates. A map name, pixel size or broad coverage does not establish carbon accuracy, deforestation or zero uncertainty.</w:t>
      </w:r>
    </w:p>
    <w:p>
      <w:pPr>
        <w:pStyle w:val="Heading2"/>
        <w:keepNext/>
      </w:pPr>
      <w:r>
        <w:t>Information gaps and access</w:t>
      </w:r>
    </w:p>
    <w:p>
      <w:pPr>
        <w:keepNext/>
        <w:spacing w:after="100" w:line="259" w:lineRule="auto"/>
      </w:pPr>
      <w:r>
        <w:rPr>
          <w:rFonts w:ascii="Arial" w:hAnsi="Arial"/>
          <w:b w:val="0"/>
          <w:i w:val="0"/>
          <w:color w:val="62716E"/>
          <w:sz w:val="18"/>
        </w:rPr>
        <w:t>List unavailable evidence, access permissions and the investigations needed to determine methodological fit. Do not fill missing values with zero.</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Rights, safeguards and intersecting initiatives</w:t>
      </w:r>
      <w:bookmarkEnd w:id="104"/>
    </w:p>
    <w:p>
      <w:pPr>
        <w:keepNext/>
        <w:spacing w:after="180" w:line="259" w:lineRule="auto"/>
      </w:pPr>
      <w:r>
        <w:rPr>
          <w:rFonts w:ascii="Arial" w:hAnsi="Arial"/>
          <w:b w:val="0"/>
          <w:i w:val="0"/>
          <w:color w:val="62716E"/>
          <w:sz w:val="15"/>
        </w:rPr>
        <w:t>[1] Basis: S-04; S-05; S-12; S-13; AO-01; AO-02; AO-04; AO-10; FRM-04/AO</w:t>
      </w:r>
    </w:p>
    <w:p>
      <w:pPr>
        <w:pStyle w:val="Heading2"/>
        <w:keepNext/>
      </w:pPr>
      <w:r>
        <w:t>Known rights and participation questions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022"/>
        <w:gridCol w:w="3412"/>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Issue / affected party</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Known evidence / status</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Required inquiry / responsible lead</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Existing or intersecting initiatives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730"/>
        <w:gridCol w:w="3315"/>
        <w:gridCol w:w="3705"/>
      </w:tblGrid>
      <w:tr>
        <w:trPr>
          <w:trHeight w:val="446" w:hRule="atLeast"/>
          <w:tblHeader/>
        </w:trPr>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Initiative / program / period</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Geographic and outcome intersection</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Rights, earlier activity and claim evidence</w:t>
            </w:r>
          </w:p>
        </w:tc>
      </w:tr>
      <w:tr>
        <w:trPr>
          <w:trHeight w:val="446" w:hRule="atLeast"/>
        </w:trPr>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Initial safeguard and risk screening</w:t>
      </w:r>
    </w:p>
    <w:p>
      <w:pPr>
        <w:keepNext/>
        <w:spacing w:after="100" w:line="259" w:lineRule="auto"/>
      </w:pPr>
      <w:r>
        <w:rPr>
          <w:rFonts w:ascii="Arial" w:hAnsi="Arial"/>
          <w:b w:val="0"/>
          <w:i w:val="0"/>
          <w:color w:val="62716E"/>
          <w:sz w:val="18"/>
        </w:rPr>
        <w:t>Identify affected rights holders, participation needs, applicable consent questions, possible adverse impacts and known prohibitive constraints. Identify a safe contact route for concerns.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A geographic intersection triggers assessment; it does not establish invalidity or permission. Prior interventions and existing claims cannot be omitted from later assessment.</w:t>
      </w:r>
    </w:p>
    <w:p>
      <w:r>
        <w:br w:type="page"/>
      </w:r>
    </w:p>
    <w:p>
      <w:bookmarkStart w:id="105" w:name="Section_5"/>
      <w:pPr>
        <w:pStyle w:val="Heading1"/>
        <w:keepNext/>
      </w:pPr>
      <w:r>
        <w:t>05  Indicative outcomes and prefeasibility scope</w:t>
      </w:r>
      <w:bookmarkEnd w:id="105"/>
    </w:p>
    <w:p>
      <w:pPr>
        <w:keepNext/>
        <w:spacing w:after="180" w:line="259" w:lineRule="auto"/>
      </w:pPr>
      <w:r>
        <w:rPr>
          <w:rFonts w:ascii="Arial" w:hAnsi="Arial"/>
          <w:b w:val="0"/>
          <w:i w:val="0"/>
          <w:color w:val="62716E"/>
          <w:sz w:val="15"/>
        </w:rPr>
        <w:t>[1] Basis: CYC-02; S-08; S-09; S-11; T-10; U-01; FRM-05</w:t>
      </w:r>
    </w:p>
    <w:p>
      <w:pPr>
        <w:pStyle w:val="Heading2"/>
        <w:keepNext/>
      </w:pPr>
      <w:r>
        <w:t>Indicative quantities, only where supported</w:t>
      </w:r>
    </w:p>
    <w:p>
      <w:pPr>
        <w:keepNext/>
        <w:spacing w:before="40" w:after="60"/>
      </w:pPr>
      <w:r>
        <w:rPr>
          <w:rFonts w:ascii="Lato" w:hAnsi="Lato"/>
          <w:color w:val="315B50"/>
          <w:sz w:val="18"/>
        </w:rPr>
        <w:t>NIP-T10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730"/>
        <w:gridCol w:w="3997"/>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Attribute / stock or change</w:t>
            </w:r>
          </w:p>
          <w:p>
            <w:pPr>
              <w:spacing w:before="40" w:after="40"/>
            </w:pPr>
            <m:oMath>
              <m:sSub>
                <m:e>
                  <m:r>
                    <w:rPr>
                      <w:sz w:val="16"/>
                      <w:color w:val="173E34"/>
                    </w:rPr>
                    <m:t>x</m:t>
                  </m:r>
                </m:e>
                <m:sub>
                  <m:r>
                    <w:rPr>
                      <w:sz w:val="16"/>
                      <w:color w:val="173E34"/>
                    </w:rPr>
                    <m:rPr>
                      <m:sty m:val="p"/>
                    </m:rPr>
                    <m:t>ℓ</m:t>
                  </m:r>
                </m:sub>
              </m:sSub>
            </m:oMath>
          </w:p>
        </w:tc>
        <w:tc>
          <w:tcPr>
            <w:tcW w:type="dxa" w:w="273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Range, unit and period</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99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Source, assumptions and uncertainty</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9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997"/>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99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Do not translate standing carbon directly into annual mitigation or issued NVEUs. Unquantified potential remains unquantified. Screening acceptance does not establish additionality, verification, admission or a unit entitlement.</w:t>
      </w:r>
    </w:p>
    <w:p>
      <w:pPr>
        <w:pStyle w:val="Heading2"/>
        <w:keepNext/>
      </w:pPr>
      <w:r>
        <w:t>Proposed prefeasibility work</w:t>
      </w:r>
    </w:p>
    <w:p>
      <w:pPr>
        <w:keepNext/>
        <w:spacing w:before="40" w:after="60"/>
      </w:pPr>
      <w:r>
        <w:rPr>
          <w:rFonts w:ascii="Lato" w:hAnsi="Lato"/>
          <w:color w:val="315B50"/>
          <w:sz w:val="18"/>
        </w:rPr>
        <w:t>NIP-T11 / Calculation notation</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is the recorded cost or resource amount in the explicitly identified currency and price date. Enter the actual budgeting equation and its data source if calculated. This label supplies no price, discount rate, financial formula, or emission factor.</w:t>
      </w:r>
    </w:p>
    <w:p>
      <w:pPr>
        <w:keepNext/>
        <w:spacing w:before="40" w:after="60"/>
      </w:pPr>
      <w:r>
        <w:rPr>
          <w:rFonts w:ascii="Lato" w:hAnsi="Lato"/>
          <w:color w:val="315B50"/>
          <w:sz w:val="14"/>
        </w:rPr>
        <w:t>Basis: CYC-03; CYC-04; CYC-05; data label | Workbook: Project budget attachment;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412"/>
        <w:gridCol w:w="2925"/>
      </w:tblGrid>
      <w:tr>
        <w:trPr>
          <w:trHeight w:val="446" w:hRule="atLeast"/>
          <w:tblHeader/>
        </w:trPr>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Question / investigation</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Deliverable and responsible party</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Resources / timing / dependency</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Decision sought and principal uncertainty</w:t>
      </w:r>
    </w:p>
    <w:p>
      <w:pPr>
        <w:keepNext/>
        <w:spacing w:after="100" w:line="259" w:lineRule="auto"/>
      </w:pPr>
      <w:r>
        <w:rPr>
          <w:rFonts w:ascii="Arial" w:hAnsi="Arial"/>
          <w:b w:val="0"/>
          <w:i w:val="0"/>
          <w:color w:val="62716E"/>
          <w:sz w:val="18"/>
        </w:rPr>
        <w:t>State why further study is justified, which alternatives it will compare and what evidence could change the decision. Identify the source of any indicative budget.</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Evidence, annexes and references</w:t>
      </w:r>
      <w:bookmarkEnd w:id="106"/>
    </w:p>
    <w:p>
      <w:pPr>
        <w:keepNext/>
        <w:spacing w:after="180" w:line="259" w:lineRule="auto"/>
      </w:pPr>
      <w:r>
        <w:rPr>
          <w:rFonts w:ascii="Arial" w:hAnsi="Arial"/>
          <w:b w:val="0"/>
          <w:i w:val="0"/>
          <w:color w:val="62716E"/>
          <w:sz w:val="15"/>
        </w:rPr>
        <w:t>[1] Basis: F-01; S-17; P-04; A-05</w:t>
      </w:r>
    </w:p>
    <w:p>
      <w:pPr>
        <w:keepNext w:val="0"/>
        <w:spacing w:after="160" w:line="259" w:lineRule="auto"/>
        <w:shd w:fill="F1F5F2"/>
      </w:pPr>
      <w:r>
        <w:rPr>
          <w:rFonts w:ascii="Arial" w:hAnsi="Arial"/>
          <w:b w:val="0"/>
          <w:i w:val="0"/>
          <w:color w:val="215F52"/>
          <w:sz w:val="18"/>
        </w:rPr>
        <w:t>Give every annex an identifier, version, date, custodian and exact location. Cite the source of every material input. Keep restricted supporting evidence separately accessible to authorized reviewers; do not hide the methodological basis of a claim.</w:t>
      </w:r>
    </w:p>
    <w:p>
      <w:pPr>
        <w:pStyle w:val="Heading2"/>
        <w:keepNext/>
      </w:pPr>
      <w:r>
        <w:t>Annex register</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Annex / evidence ID</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Contents and linked section</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Custodian / access / version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Project-specific references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Reference ID</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Full citation / exact version</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Use in this dossier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bl>
    <w:p>
      <w:pPr>
        <w:keepNext w:val="0"/>
        <w:spacing w:after="60" w:line="259" w:lineRule="auto"/>
      </w:pPr>
      <w:r>
        <w:rPr>
          <w:rFonts w:ascii="Arial" w:hAnsi="Arial"/>
          <w:b w:val="0"/>
          <w:i w:val="0"/>
          <w:color w:val="243A36"/>
          <w:sz w:val="2"/>
        </w:rPr>
      </w:r>
    </w:p>
    <w:p>
      <w:pPr>
        <w:pStyle w:val="Heading2"/>
        <w:keepNext/>
      </w:pPr>
      <w:r>
        <w:t>Reproducibility and transfer</w:t>
      </w:r>
    </w:p>
    <w:p>
      <w:pPr>
        <w:keepNext/>
        <w:spacing w:after="100" w:line="259" w:lineRule="auto"/>
      </w:pPr>
      <w:r>
        <w:rPr>
          <w:rFonts w:ascii="Arial" w:hAnsi="Arial"/>
          <w:b w:val="0"/>
          <w:i w:val="0"/>
          <w:color w:val="62716E"/>
          <w:sz w:val="18"/>
        </w:rPr>
        <w:t>Identify the approved evidence package, calculation files, access arrangements and responsible custodian. Resolve all broken references before submission.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Submission, review and stage decision</w:t>
      </w:r>
      <w:bookmarkEnd w:id="107"/>
    </w:p>
    <w:p>
      <w:pPr>
        <w:keepNext/>
        <w:spacing w:after="180" w:line="259" w:lineRule="auto"/>
      </w:pPr>
      <w:r>
        <w:rPr>
          <w:rFonts w:ascii="Arial" w:hAnsi="Arial"/>
          <w:b w:val="0"/>
          <w:i w:val="0"/>
          <w:color w:val="62716E"/>
          <w:sz w:val="15"/>
        </w:rPr>
        <w:t>[1] Basis: CYC-01; CYC-02; S-16; S-22; S-23; FRM-03; FRM-06; A-12; A-13</w:t>
      </w:r>
    </w:p>
    <w:p>
      <w:pPr>
        <w:keepNext w:val="0"/>
        <w:spacing w:after="160" w:line="259" w:lineRule="auto"/>
        <w:shd w:fill="F1F5F2"/>
      </w:pPr>
      <w:r>
        <w:rPr>
          <w:rFonts w:ascii="Arial" w:hAnsi="Arial"/>
          <w:b w:val="0"/>
          <w:i w:val="0"/>
          <w:color w:val="215F52"/>
          <w:sz w:val="18"/>
        </w:rPr>
        <w:t>NIP review concerns acceptance for further study, not approval of a validated project or authorization of an environmental claim.</w:t>
      </w:r>
    </w:p>
    <w:p>
      <w:pPr>
        <w:pStyle w:val="Heading2"/>
        <w:keepNext/>
      </w:pPr>
      <w:r>
        <w:t>Stage-exit review</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Criterion</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Evidence / section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Review finding</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Identity and submission authority documented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Concept, provisional map and activities described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Sources, estimates and gaps distinguished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Known rights, safeguards and overlap issues recorded</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[Not assessed]</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Prefeasibility scope and responsibilities defined</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[Not assessed]</w:t>
            </w:r>
          </w:p>
        </w:tc>
      </w:tr>
    </w:tbl>
    <w:p>
      <w:pPr>
        <w:keepNext w:val="0"/>
        <w:spacing w:after="60" w:line="259" w:lineRule="auto"/>
      </w:pPr>
      <w:r>
        <w:rPr>
          <w:rFonts w:ascii="Arial" w:hAnsi="Arial"/>
          <w:b w:val="0"/>
          <w:i w:val="0"/>
          <w:color w:val="243A36"/>
          <w:sz w:val="2"/>
        </w:rPr>
      </w:r>
    </w:p>
    <w:p>
      <w:pPr>
        <w:pStyle w:val="Heading2"/>
        <w:keepNext/>
      </w:pPr>
      <w:r>
        <w:t>Separate records and signatures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Action / accountable role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Name, date and signature</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Decision / scope / record</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Submission / proponent</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Technical preparation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Unconflicted review</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[Complete]</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Authorized stage decision</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[Complete]</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[Advance / correct / defer / decline]</w:t>
            </w:r>
          </w:p>
        </w:tc>
      </w:tr>
    </w:tbl>
    <w:p>
      <w:pPr>
        <w:keepNext w:val="0"/>
        <w:spacing w:after="60" w:line="259" w:lineRule="auto"/>
      </w:pPr>
      <w:r>
        <w:rPr>
          <w:rFonts w:ascii="Arial" w:hAnsi="Arial"/>
          <w:b w:val="0"/>
          <w:i w:val="0"/>
          <w:color w:val="243A36"/>
          <w:sz w:val="2"/>
        </w:rPr>
      </w:r>
    </w:p>
    <w:p>
      <w:pPr>
        <w:pStyle w:val="Heading2"/>
        <w:keepNext/>
      </w:pPr>
      <w:r>
        <w:t>Conditions, unresolved findings and next-stage handover</w:t>
      </w:r>
    </w:p>
    <w:p>
      <w:pPr>
        <w:keepNext/>
        <w:spacing w:after="100" w:line="259" w:lineRule="auto"/>
      </w:pPr>
      <w:r>
        <w:rPr>
          <w:rFonts w:ascii="Arial" w:hAnsi="Arial"/>
          <w:b w:val="0"/>
          <w:i w:val="0"/>
          <w:color w:val="62716E"/>
          <w:sz w:val="18"/>
        </w:rPr>
        <w:t>State the permitted scope, blocked activities or claims, corrective-action owner, evidence required, deadline under the approved profile and receiving party. A blank signature is not approval.</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[Enter response and evidence references.]</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Ex-ante, ex-post and migration account attachments</w:t>
      </w:r>
      <w:bookmarkEnd w:id="3999"/>
    </w:p>
    <w:p>
      <w:pPr>
        <w:spacing w:after="120"/>
      </w:pPr>
      <w:r>
        <w:rPr>
          <w:rFonts w:ascii="Lato" w:hAnsi="Lato"/>
          <w:b w:val="0"/>
          <w:color w:val="62716E"/>
          <w:sz w:val="16"/>
        </w:rPr>
        <w:t>[1] Basis: CYC-01; CYC-05; F-01; F-03; P-13; MIG-05; FRM-02; FRM-04; FRM-05</w:t>
      </w:r>
    </w:p>
    <w:p>
      <w:pPr>
        <w:pStyle w:val="Heading2"/>
        <w:keepNext/>
      </w:pPr>
      <w:r>
        <w:t>Stage-specific use</w:t>
      </w:r>
    </w:p>
    <w:p>
      <w:pPr>
        <w:spacing w:after="80"/>
      </w:pPr>
      <w:r>
        <w:rPr>
          <w:rFonts w:ascii="Lato" w:hAnsi="Lato"/>
          <w:b w:val="0"/>
          <w:color w:val="62716E"/>
          <w:sz w:val="18"/>
        </w:rPr>
        <w:t>At concept stage, identify available forecasts and historical evidence; detailed accounts are completed only when supported. A migrated concept may reference an existing ex-post record without treating it as a NEBIOT-verified outcome.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N"/>
                <w:tag w:val="account_annex-0-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Account attachment register</w:t>
      </w:r>
    </w:p>
    <w:p>
      <w:pPr>
        <w:keepNext/>
        <w:spacing w:before="40" w:after="60"/>
      </w:pPr>
      <w:r>
        <w:rPr>
          <w:rFonts w:ascii="Lato" w:hAnsi="Lato"/>
          <w:color w:val="315B50"/>
          <w:sz w:val="18"/>
        </w:rPr>
        <w:t>NIP-T16 / Calculation notation</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is the identified observation, input, or output; u_l is its declared unit. Record the exact equation and source file, worksheet, cell/range, period, and status. This notation does not prescribe an estimator.</w:t>
      </w:r>
    </w:p>
    <w:p>
      <w:pPr>
        <w:keepNext/>
        <w:spacing w:before="40" w:after="60"/>
      </w:pPr>
      <w:r>
        <w:rPr>
          <w:rFonts w:ascii="Lato" w:hAnsi="Lato"/>
          <w:color w:val="315B50"/>
          <w:sz w:val="14"/>
        </w:rPr>
        <w:t>Basis: F-01; T-01 | Workbook: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 / applicable scope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Version, workbook and evidence location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Status / reviewer / unresolved restriction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N-1-1"/>
                <w:tag w:val="account_annex-1-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2"/>
                <w:tag w:val="account_annex-1-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1-3"/>
                <w:tag w:val="account_annex-1-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N-2-1"/>
                <w:tag w:val="account_annex-1-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2"/>
                <w:tag w:val="account_annex-1-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spacing w:after="20"/>
            </w:pPr>
            <w:sdt>
              <w:sdtPr>
                <w:alias w:val="account_annex-1-EN-2-3"/>
                <w:tag w:val="account_annex-1-EN-2-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N-3-1"/>
                <w:tag w:val="account_annex-1-EN-3-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2"/>
                <w:tag w:val="account_annex-1-EN-3-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spacing w:after="20"/>
            </w:pPr>
            <w:sdt>
              <w:sdtPr>
                <w:alias w:val="account_annex-1-EN-3-3"/>
                <w:tag w:val="account_annex-1-EN-3-3"/>
                <w:text/>
              </w:sdtPr>
              <w:sdtContent>
                <w:r>
                  <w:rPr>
                    <w:rFonts w:ascii="Lato" w:hAnsi="Lato"/>
                    <w:sz w:val="18"/>
                    <w:color w:val="62716E"/>
                  </w:rPr>
                  <w:t>[Complete]</w:t>
                </w:r>
              </w:sdtContent>
            </w:sdt>
          </w:p>
        </w:tc>
      </w:tr>
    </w:tbl>
    <w:p>
      <w:pPr>
        <w:spacing w:after="0"/>
      </w:pPr>
    </w:p>
    <w:p>
      <w:pPr>
        <w:pStyle w:val="Heading2"/>
        <w:keepNext/>
      </w:pPr>
      <w:r>
        <w:t>Common account contract</w:t>
      </w:r>
    </w:p>
    <w:p>
      <w:pPr>
        <w:spacing w:after="80"/>
      </w:pPr>
      <w:r>
        <w:rPr>
          <w:rFonts w:ascii="Lato" w:hAnsi="Lato"/>
          <w:b w:val="0"/>
          <w:color w:val="62716E"/>
          <w:sz w:val="18"/>
        </w:rPr>
        <w:t>Use the bilingual Ex-Ante Estimate, Ex-Post Outcome Report and Migration Reconciliation formats with the calculation workbook as applicable. Identify periods, bands, units, missing data and exact source cells. Keep forecasts, monitored inputs, the counterfactual, verified results and authorized NVEUs distinct. No template rate or blank field establishes policy, zero emissions or issuance.</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N"/>
                <w:tag w:val="account_annex-2-EN"/>
                <w:text/>
              </w:sdtPr>
              <w:sdtContent>
                <w:r>
                  <w:rPr>
                    <w:rFonts w:ascii="Lato" w:hAnsi="Lato"/>
                    <w:sz w:val="18"/>
                    <w:color w:val="62716E"/>
                  </w:rPr>
                  <w:t>[Enter response and exact evidence references.]</w:t>
                </w:r>
              </w:sdtContent>
            </w:sdt>
          </w:p>
        </w:tc>
      </w:tr>
    </w:tbl>
    <w:p>
      <w:pPr>
        <w:spacing w:after="20" w:before="0" w:line="96" w:lineRule="auto"/>
      </w:pPr>
    </w:p>
    <w:p>
      <w:pPr>
        <w:pStyle w:val="Heading2"/>
        <w:keepNext/>
      </w:pPr>
      <w:r>
        <w:t>Required reconciliation</w:t>
      </w:r>
    </w:p>
    <w:p>
      <w:pPr>
        <w:keepNext/>
        <w:spacing w:before="40" w:after="60"/>
      </w:pPr>
      <w:r>
        <w:rPr>
          <w:rFonts w:ascii="Lato" w:hAnsi="Lato"/>
          <w:color w:val="315B50"/>
          <w:sz w:val="18"/>
        </w:rPr>
        <w:t>NIP-T17 / Calculation notation</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retains the original result; harm is the original method on the agreed comparable basis; NEB is the receiving-method result on that basis. This telescoping identity explains differences, not eligibility. Do not force the methodological difference to zero.</w:t>
      </w:r>
    </w:p>
    <w:p>
      <w:pPr>
        <w:keepNext/>
        <w:spacing w:before="40" w:after="60"/>
      </w:pPr>
      <w:r>
        <w:rPr>
          <w:rFonts w:ascii="Lato" w:hAnsi="Lato"/>
          <w:color w:val="315B50"/>
          <w:sz w:val="14"/>
        </w:rPr>
        <w:t>Basis: MIG-05; P-13; reconciliation identity | Workbook: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Dimension / original record</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Receiving or monitored treatment</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Evidence and decision reference</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N-1-1"/>
                <w:tag w:val="account_annex-3-EN-1-1"/>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2"/>
                <w:tag w:val="account_annex-3-EN-1-2"/>
                <w:text/>
              </w:sdtPr>
              <w:sdtContent>
                <w:r>
                  <w:rPr>
                    <w:rFonts w:ascii="Lato" w:hAnsi="Lato"/>
                    <w:sz w:val="18"/>
                    <w:color w:val="62716E"/>
                  </w:rPr>
                  <w:t>[Complete]</w:t>
                </w:r>
              </w:sdtContent>
            </w:sdt>
          </w:p>
        </w:tc>
        <w:tc>
          <w:tcPr>
            <w:tcW w:type="dxa" w:w="3250"/>
            <w:tcMar>
              <w:top w:w="90" w:type="dxa"/>
              <w:bottom w:w="90" w:type="dxa"/>
              <w:left w:w="100" w:type="dxa"/>
              <w:right w:w="100" w:type="dxa"/>
            </w:tcMar>
            <w:shd w:fill="F1F5F2"/>
          </w:tcPr>
          <w:p>
            <w:pPr>
              <w:keepNext/>
              <w:spacing w:after="20"/>
            </w:pPr>
            <w:sdt>
              <w:sdtPr>
                <w:alias w:val="account_annex-3-EN-1-3"/>
                <w:tag w:val="account_annex-3-EN-1-3"/>
                <w:text/>
              </w:sdtPr>
              <w:sdtContent>
                <w:r>
                  <w:rPr>
                    <w:rFonts w:ascii="Lato" w:hAnsi="Lato"/>
                    <w:sz w:val="18"/>
                    <w:color w:val="62716E"/>
                  </w:rPr>
                  <w:t>[Complete]</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N-2-1"/>
                <w:tag w:val="account_annex-3-EN-2-1"/>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2"/>
                <w:tag w:val="account_annex-3-EN-2-2"/>
                <w:text/>
              </w:sdtPr>
              <w:sdtContent>
                <w:r>
                  <w:rPr>
                    <w:rFonts w:ascii="Lato" w:hAnsi="Lato"/>
                    <w:sz w:val="18"/>
                    <w:color w:val="62716E"/>
                  </w:rPr>
                  <w:t>[Complete]</w:t>
                </w:r>
              </w:sdtContent>
            </w:sdt>
          </w:p>
        </w:tc>
        <w:tc>
          <w:tcPr>
            <w:tcW w:type="dxa" w:w="3250"/>
            <w:tcMar>
              <w:top w:w="90" w:type="dxa"/>
              <w:bottom w:w="90" w:type="dxa"/>
              <w:left w:w="100" w:type="dxa"/>
              <w:right w:w="100" w:type="dxa"/>
            </w:tcMar>
            <w:shd w:fill="FFFFFF"/>
          </w:tcPr>
          <w:p>
            <w:pPr>
              <w:keepNext w:val="0"/>
              <w:spacing w:after="20"/>
            </w:pPr>
            <w:sdt>
              <w:sdtPr>
                <w:alias w:val="account_annex-3-EN-2-3"/>
                <w:tag w:val="account_annex-3-EN-2-3"/>
                <w:text/>
              </w:sdtPr>
              <w:sdtContent>
                <w:r>
                  <w:rPr>
                    <w:rFonts w:ascii="Lato" w:hAnsi="Lato"/>
                    <w:sz w:val="18"/>
                    <w:color w:val="62716E"/>
                  </w:rPr>
                  <w:t>[Complete]</w:t>
                </w:r>
              </w:sdtContent>
            </w:sdt>
          </w:p>
        </w:tc>
      </w:tr>
    </w:tbl>
    <w:p>
      <w:bookmarkStart w:id="99001" w:name="calc_register"/>
      <w:pPr>
        <w:pStyle w:val="Heading1"/>
        <w:keepNext/>
        <w:pageBreakBefore/>
      </w:pPr>
      <w:r>
        <w:t>CALC — Calculation traceability and notation</w:t>
      </w:r>
      <w:bookmarkEnd w:id="99001"/>
    </w:p>
    <w:p>
      <w:pPr>
        <w:spacing w:after="100"/>
      </w:pPr>
      <w:r>
        <w:t>Record each calculated quantity as a uniquely identified row. Retain the exact source expression and a separate expression for any NEBIOT adaptation. A translated label does not change a formula. Units, included pools, sign convention, observation period, input status, and mathematical domain are part of the calculation record. An administrative table does not need an invented equation. Source-defined variables that remain ambiguous require clarification rather than an assumed meaning.</w:t>
      </w:r>
    </w:p>
    <w:p>
      <w:pPr>
        <w:pStyle w:val="Heading2"/>
        <w:keepNext/>
        <w:spacing w:after="100"/>
      </w:pPr>
      <w:r>
        <w:t>Indices and status</w:t>
      </w:r>
    </w:p>
    <w:p>
      <w:pPr>
        <w:spacing w:after="100"/>
      </w:pPr>
      <w:r>
        <w:t>EA = dated forecast; EP = reporting-period account; t = interval; i,j = declared strata or classes; o = disjoint organ or pool; g = gas; tau = disturbance cohort; l = calculation/component row.</w:t>
      </w:r>
    </w:p>
    <w:p>
      <w:pPr>
        <w:pStyle w:val="Heading2"/>
        <w:keepNext/>
        <w:spacing w:after="100"/>
      </w:pPr>
      <w:r>
        <w:t>One calculation record — repeat for each result</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Field</w:t>
            </w:r>
          </w:p>
        </w:tc>
        <w:tc>
          <w:tcPr>
            <w:tcW w:type="dxa" w:w="4873"/>
            <w:shd w:fill="215F52"/>
          </w:tcPr>
          <w:p>
            <w:pPr>
              <w:spacing w:after="80"/>
            </w:pPr>
            <w:r>
              <w:rPr>
                <w:rFonts w:ascii="Lato" w:hAnsi="Lato"/>
                <w:b/>
                <w:color w:val="FFFFFF"/>
                <w:sz w:val="18"/>
              </w:rPr>
              <w:t>Record</w:t>
            </w:r>
          </w:p>
        </w:tc>
      </w:tr>
      <w:tr>
        <w:trPr/>
        <w:tc>
          <w:tcPr>
            <w:tcW w:type="dxa" w:w="3240"/>
          </w:tcPr>
          <w:p>
            <w:pPr>
              <w:spacing w:after="80"/>
            </w:pPr>
            <w:r>
              <w:rPr>
                <w:rFonts w:ascii="Lato" w:hAnsi="Lato"/>
                <w:sz w:val="18"/>
              </w:rPr>
              <w:t>Calculation row / symbol</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Definition and intended use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Exact source file / version / fingerprint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Worksheet / cell or raw record ID</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Original expression and original unit</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Inputs: symbols, values, units and periods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Receiving equation / standard identifier</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Transformation, conversion and rationale</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Unrounded intermediate and final values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Report table / row / output location</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Recalculation difference / tolerance basis</w:t>
            </w:r>
          </w:p>
        </w:tc>
        <w:tc>
          <w:tcPr>
            <w:tcW w:type="dxa" w:w="6120"/>
          </w:tcPr>
          <w:p>
            <w:pPr>
              <w:spacing w:after="80"/>
            </w:pPr>
            <w:r>
              <w:rPr>
                <w:rFonts w:ascii="Lato" w:hAnsi="Lato"/>
                <w:sz w:val="18"/>
              </w:rPr>
              <w:t>[Complete]</w:t>
            </w:r>
          </w:p>
        </w:tc>
      </w:tr>
      <w:tr>
        <w:trPr/>
        <w:tc>
          <w:tcPr>
            <w:tcW w:type="dxa" w:w="3240"/>
          </w:tcPr>
          <w:p>
            <w:pPr>
              <w:spacing w:after="80"/>
            </w:pPr>
            <w:r>
              <w:rPr>
                <w:rFonts w:ascii="Lato" w:hAnsi="Lato"/>
                <w:sz w:val="18"/>
              </w:rPr>
              <w:t>Independent reviewer / finding / disposition</w:t>
            </w:r>
          </w:p>
        </w:tc>
        <w:tc>
          <w:tcPr>
            <w:tcW w:type="dxa" w:w="6120"/>
          </w:tcPr>
          <w:p>
            <w:pPr>
              <w:spacing w:after="80"/>
            </w:pPr>
            <w:r>
              <w:rPr>
                <w:rFonts w:ascii="Lato" w:hAnsi="Lato"/>
                <w:sz w:val="18"/>
              </w:rPr>
              <w:t>[Complete]</w:t>
            </w:r>
          </w:p>
        </w:tc>
      </w:tr>
    </w:tbl>
    <w:p>
      <w:pPr>
        <w:pStyle w:val="Heading2"/>
        <w:keepNext/>
        <w:spacing w:after="100"/>
      </w:pPr>
      <w:r>
        <w:t>Arithmetic comparison, not materiality</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The absolute tolerance has the result unit; the relative tolerance is dimensionless. These are software-comparison settings, not materiality thresholds. Compare unrounded values. Reproduce the source method first, and record any harmonization or methodological change separately.</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TEMPLATE 1.2  /  NIP  /  NEBIOT 0.8.2</w:t>
    </w:r>
    <w:r>
      <w:tab/>
    </w:r>
    <w:r>
      <w:rPr>
        <w:rFonts w:ascii="Arial" w:hAnsi="Arial"/>
        <w:b w:val="0"/>
        <w:i w:val="0"/>
        <w:color w:val="62716E"/>
        <w:sz w:val="14"/>
      </w:rPr>
      <w:t xml:space="preserve">Page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PROJECT IDEA NOTE</w:t>
    </w:r>
    <w:r>
      <w:tab/>
    </w:r>
    <w:r>
      <w:rPr>
        <w:rFonts w:ascii="Arial" w:hAnsi="Arial"/>
        <w:b w:val="0"/>
        <w:i w:val="0"/>
        <w:color w:val="62716E"/>
        <w:sz w:val="16"/>
      </w:rPr>
      <w:t>EN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n-US"/>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Idea Note — NEBIOT template 1.0</dc:title>
  <dc:subject>NEBIOT Standard 0.8.2 — NIP — EN</dc:subject>
  <dc:creator>Henry Arellano-Peña</dc:creator>
  <cp:keywords>NEBIOT, NIP,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