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
  <Relationship Id="rId4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1" Type="http://schemas.openxmlformats.org/officeDocument/2006/relationships/extended-properties" Target="docProps/app.xml"/>
  <Relationship Id="rId3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94636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一、CALM 论文借鉴与 VecBrierLM 指标设计</w:t>
      </w:r>
    </w:p>
    <w:p w14:paraId="47F49E1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1.1 CALM 论文</w:t>
      </w:r>
    </w:p>
    <w:p w14:paraId="5B618A54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Shao et al. (2025). Continuous Autoregressive Language Models. arXiv:2510.27688</w:t>
      </w:r>
    </w:p>
    <w:p w14:paraId="0E2301FF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核心思路：把 N 个 token 向量压缩成 K 个 summary tokens，K 越小压缩率越高。中等压缩（1&lt;K&lt;N）往往优于极端压缩（K=1）。本实验在 Chunk 级别做同样的聚合，与 CALM 直接类比；借鉴</w:t>
      </w:r>
      <w:r>
        <w:rPr>
          <w:rFonts w:hint="eastAsia" w:eastAsia="宋体" w:cs="Arial"/>
          <w:color w:val="000000"/>
          <w:sz w:val="21"/>
          <w:szCs w:val="21"/>
          <w:lang w:val="en-US" w:eastAsia="zh-CN"/>
        </w:rPr>
        <w:t>BrierLM</w:t>
      </w:r>
      <w:r>
        <w:rPr>
          <w:rFonts w:ascii="Arial" w:hAnsi="Arial" w:eastAsia="Arial" w:cs="Arial"/>
          <w:color w:val="000000"/>
          <w:sz w:val="21"/>
          <w:szCs w:val="21"/>
        </w:rPr>
        <w:t>用于评估向量区分能力。</w:t>
      </w:r>
    </w:p>
    <w:p w14:paraId="68DE535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本实验验证了同样结论：C_combined（中等压缩）96.4 &gt; C_mean（极端压缩）75.7。</w:t>
      </w:r>
    </w:p>
    <w:p w14:paraId="603970A5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1.2 VecBrierLM 指标</w:t>
      </w:r>
    </w:p>
    <w:p w14:paraId="69170211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用余弦相似度构造伪概率，再用 Brier Score 打分：</w:t>
      </w:r>
    </w:p>
    <w:p w14:paraId="29367279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对题目 i，计算与题库所有向量的余弦相似度，softmax 归一化得分布 P；</w:t>
      </w:r>
    </w:p>
    <w:p w14:paraId="6FAD13E2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 xml:space="preserve">② </w:t>
      </w:r>
      <w:r>
        <w:rPr>
          <w:rFonts w:ascii="Arial" w:hAnsi="Arial" w:eastAsia="Arial" w:cs="Arial"/>
          <w:b/>
          <w:bCs/>
          <w:color w:val="000000"/>
          <w:sz w:val="21"/>
          <w:szCs w:val="21"/>
        </w:rPr>
        <w:t>Brier(P, i) = 2*P(i) - sum_x P(x)^2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 第一项奖励自检索精度，第二项惩罚坍塌；</w:t>
      </w:r>
    </w:p>
    <w:p w14:paraId="7C175BAA">
      <w:pPr>
        <w:tabs>
          <w:tab w:val="left" w:pos="7479"/>
        </w:tabs>
        <w:spacing w:before="0" w:after="80"/>
        <w:jc w:val="both"/>
        <w:rPr>
          <w:rFonts w:hint="eastAsia" w:eastAsia="宋体"/>
          <w:lang w:eastAsia="zh-CN"/>
        </w:rPr>
      </w:pPr>
      <w:r>
        <w:rPr>
          <w:rFonts w:ascii="Arial" w:hAnsi="Arial" w:eastAsia="Arial" w:cs="Arial"/>
          <w:color w:val="000000"/>
          <w:sz w:val="21"/>
          <w:szCs w:val="21"/>
        </w:rPr>
        <w:t xml:space="preserve">③ 三个窗口（k=1, 10, 50）几何均值×100，得 </w:t>
      </w:r>
      <w:r>
        <w:rPr>
          <w:rFonts w:ascii="Arial" w:hAnsi="Arial" w:eastAsia="Arial" w:cs="Arial"/>
          <w:b/>
          <w:bCs/>
          <w:color w:val="000000"/>
          <w:sz w:val="21"/>
          <w:szCs w:val="21"/>
        </w:rPr>
        <w:t>VecBrierLM ∈ [0,100]</w:t>
      </w:r>
      <w:r>
        <w:rPr>
          <w:rFonts w:ascii="Arial" w:hAnsi="Arial" w:eastAsia="Arial" w:cs="Arial"/>
          <w:color w:val="000000"/>
          <w:sz w:val="21"/>
          <w:szCs w:val="21"/>
        </w:rPr>
        <w:t>。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ab/>
      </w:r>
    </w:p>
    <w:p w14:paraId="5A3C85BF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二、实验结果</w:t>
      </w:r>
    </w:p>
    <w:p w14:paraId="63C69536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2.1 VecBrierLM 热力图</w:t>
      </w:r>
    </w:p>
    <w:p w14:paraId="1367667F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数据集：1787 道英文化学题目；64 种拼接组合（8种Token方法 × 8种Chunk方法）；分数越高表示向量区分能力越强。</w:t>
      </w:r>
    </w:p>
    <w:p w14:paraId="602C0940">
      <w:pPr>
        <w:spacing w:before="100" w:after="60"/>
        <w:jc w:val="center"/>
      </w:pPr>
      <w:r>
        <w:drawing>
          <wp:inline distT="0" distB="0" distL="0" distR="0">
            <wp:extent cx="6124575" cy="3676650"/>
            <wp:effectExtent l="0" t="0" r="0" b="0"/>
            <wp:docPr id="1" name="图 1  VecBrierLM 热力图（Token × Chunk 全组合）" descr="图 1  VecBrierLM 热力图（Token × Chunk 全组合）" title="图 1  VecBrierLM 热力图（Token × Chunk 全组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1  VecBrierLM 热力图（Token × Chunk 全组合）" descr="图 1  VecBrierLM 热力图（Token × Chunk 全组合）" title="图 1  VecBrierLM 热力图（Token × Chunk 全组合）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0EF6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1  VecBrierLM 热力图（Token × Chunk 全组合）</w:t>
      </w:r>
    </w:p>
    <w:p w14:paraId="1FB8BB64">
      <w:pPr>
        <w:spacing w:before="0" w:after="2400"/>
      </w:pPr>
    </w:p>
    <w:p w14:paraId="5D99CB6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2.2 各方法平均得分</w:t>
      </w:r>
    </w:p>
    <w:p w14:paraId="3DD6931F">
      <w:pPr>
        <w:spacing w:before="100" w:after="60"/>
        <w:jc w:val="center"/>
      </w:pPr>
      <w:r>
        <w:drawing>
          <wp:inline distT="0" distB="0" distL="0" distR="0">
            <wp:extent cx="6124575" cy="2028825"/>
            <wp:effectExtent l="0" t="0" r="0" b="0"/>
            <wp:docPr id="2" name="图 2  Token 方法均值与 Chunk 方法均值对比（红 &lt;70，橙 70-85，绿 &gt;85）" descr="图 2  Token 方法均值与 Chunk 方法均值对比（红 &lt;70，橙 70-85，绿 &gt;85）" title="图 2  Token 方法均值与 Chunk 方法均值对比（红 &lt;70，橙 70-85，绿 &gt;8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2  Token 方法均值与 Chunk 方法均值对比（红 &lt;70，橙 70-85，绿 &gt;85）" descr="图 2  Token 方法均值与 Chunk 方法均值对比（红 &lt;70，橙 70-85，绿 &gt;85）" title="图 2  Token 方法均值与 Chunk 方法均值对比（红 &lt;70，橙 70-85，绿 &gt;85）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07F5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2  Token 方法均值与 Chunk 方法均值对比（红 &lt;70，橙 70-85，绿 &gt;85）</w:t>
      </w:r>
    </w:p>
    <w:p w14:paraId="37518520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2.3 短程 vs 长程区分能力</w:t>
      </w:r>
    </w:p>
    <w:p w14:paraId="5DBA7FE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横轴 Brier@k=1：自检索精度（能否在最近邻中找回自身）；纵轴 Brier@k=50：大范围分布质量。点颜色为综合 VecBrierLM 分，右上角绿色为优，左下角红色为坍塌。</w:t>
      </w:r>
    </w:p>
    <w:p w14:paraId="0230C825">
      <w:pPr>
        <w:spacing w:before="100" w:after="60"/>
        <w:jc w:val="center"/>
      </w:pPr>
      <w:r>
        <w:drawing>
          <wp:inline distT="0" distB="0" distL="0" distR="0">
            <wp:extent cx="6124575" cy="4619625"/>
            <wp:effectExtent l="0" t="0" r="0" b="0"/>
            <wp:docPr id="3" name="图 3  Brier@k=1 vs Brier@k=50（点颜色 = VecBrierLM 综合分）" descr="图 3  Brier@k=1 vs Brier@k=50（点颜色 = VecBrierLM 综合分）" title="图 3  Brier@k=1 vs Brier@k=50（点颜色 = VecBrierLM 综合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3  Brier@k=1 vs Brier@k=50（点颜色 = VecBrierLM 综合分）" descr="图 3  Brier@k=1 vs Brier@k=50（点颜色 = VecBrierLM 综合分）" title="图 3  Brier@k=1 vs Brier@k=50（点颜色 = VecBrierLM 综合分）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6EE9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3  Brier@k=1 vs Brier@k=50（点颜色 = VecBrierLM 综合分）</w:t>
      </w:r>
    </w:p>
    <w:p w14:paraId="23EA8F1C">
      <w:pPr>
        <w:spacing w:before="0" w:after="2400"/>
      </w:pPr>
    </w:p>
    <w:p w14:paraId="625D83B5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2.4 排名</w:t>
      </w:r>
    </w:p>
    <w:tbl>
      <w:tblPr>
        <w:tblStyle w:val="11"/>
        <w:tblW w:w="104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2880"/>
        <w:gridCol w:w="2880"/>
        <w:gridCol w:w="3238"/>
      </w:tblGrid>
      <w:tr w14:paraId="2B8B9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CB02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排名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1A67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Token 方法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A778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Chunk 方法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14FA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VecBrierLM</w:t>
            </w:r>
          </w:p>
        </w:tc>
      </w:tr>
      <w:tr w14:paraId="31D4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D909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3384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FBF0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7509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523CF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9B1A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D182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T_min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ACA8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924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62A6A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ABDC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4176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T_last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C143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C_combined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B819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3E79D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91D5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65CD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T_mean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BCB4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437C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0FE24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B5C2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06C5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T_concat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F0FF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C_diff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EF72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98.5</w:t>
            </w:r>
          </w:p>
        </w:tc>
      </w:tr>
      <w:tr w14:paraId="1B7F1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52B1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2470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0CA0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9C66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</w:tr>
      <w:tr w14:paraId="3439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E9AC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倒1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EB90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T_product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B69D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C_product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D81D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17.9</w:t>
            </w:r>
          </w:p>
        </w:tc>
      </w:tr>
      <w:tr w14:paraId="64CEB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22F5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倒2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FF07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190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C_max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99AD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33.2</w:t>
            </w:r>
          </w:p>
        </w:tc>
      </w:tr>
      <w:tr w14:paraId="1CF6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8480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倒3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EFD1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T_min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A2B9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C_min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8D0E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33.5</w:t>
            </w:r>
          </w:p>
        </w:tc>
      </w:tr>
      <w:tr w14:paraId="331F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CC08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倒4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4E3D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17AD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C_weighted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F48C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33.7</w:t>
            </w:r>
          </w:p>
        </w:tc>
      </w:tr>
      <w:tr w14:paraId="2EB9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8960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倒5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EF7B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T_max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F496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C_mean</w:t>
            </w:r>
          </w:p>
        </w:tc>
        <w:tc>
          <w:tcPr>
            <w:tcW w:w="323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B335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33.7</w:t>
            </w:r>
          </w:p>
        </w:tc>
      </w:tr>
    </w:tbl>
    <w:p w14:paraId="41B40E6B"/>
    <w:p w14:paraId="295D4130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三、CALM Adapter 附加实验</w:t>
      </w:r>
    </w:p>
    <w:p w14:paraId="330BB5FB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3.1模型结构</w:t>
      </w:r>
    </w:p>
    <w:p w14:paraId="11A4849D">
      <w:pPr>
        <w:spacing w:before="0" w:after="80"/>
        <w:jc w:val="both"/>
        <w:rPr>
          <w:rFonts w:hint="eastAsia" w:eastAsia="宋体"/>
          <w:lang w:eastAsia="zh-CN"/>
        </w:rPr>
      </w:pPr>
      <w:r>
        <w:rPr>
          <w:rFonts w:hint="eastAsia" w:eastAsia="宋体" w:cs="Arial"/>
          <w:color w:val="000000"/>
          <w:sz w:val="21"/>
          <w:szCs w:val="21"/>
          <w:lang w:val="en-US" w:eastAsia="zh-CN"/>
        </w:rPr>
        <w:t>借鉴论文，</w:t>
      </w:r>
      <w:r>
        <w:rPr>
          <w:rFonts w:ascii="Arial" w:hAnsi="Arial" w:eastAsia="Arial" w:cs="Arial"/>
          <w:color w:val="000000"/>
          <w:sz w:val="21"/>
          <w:szCs w:val="21"/>
        </w:rPr>
        <w:t>设计轻量注意力模块（CALM Adapter）：K 个 Chunk 向量 -&gt; 多头注意力聚合 -&gt; 1 个 384 维向量，再用全连接层还原成 K 个向量，以重建误差训练。参数量 325 万，注意力头数 8，隐层 512，AdamW + Cosine LR，训练 80 轮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>。</w:t>
      </w:r>
    </w:p>
    <w:p w14:paraId="7ADD7F05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 损失函数</w:t>
      </w:r>
    </w:p>
    <w:p w14:paraId="6273BC6C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总损失 = MSE 重建误差 + 0.05 × InfoNCE 对比损失。</w:t>
      </w:r>
    </w:p>
    <w:p w14:paraId="625A40D3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MSE：学会还原原始 Chunk；InfoNCE：同题目向量相互靠近，不同题目相互远离。</w:t>
      </w:r>
    </w:p>
    <w:p w14:paraId="013276F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3.3 实验结果</w:t>
      </w:r>
    </w:p>
    <w:p w14:paraId="60BB0871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下表中 C_mean/C_combined 子分数为 8 种 Token 方法的列均值；CALM Adapter 子分数为单独实验记录值；全矩阵均值为 64 种组合的总平均。</w:t>
      </w:r>
    </w:p>
    <w:tbl>
      <w:tblPr>
        <w:tblStyle w:val="11"/>
        <w:tblW w:w="11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2880"/>
        <w:gridCol w:w="2016"/>
        <w:gridCol w:w="2016"/>
        <w:gridCol w:w="1944"/>
      </w:tblGrid>
      <w:tr w14:paraId="0412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19E8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2FD8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压缩方式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CF31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VecBrierLM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4FA5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Brier@k=1</w:t>
            </w:r>
          </w:p>
          <w:p w14:paraId="6893DC5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(短程精确)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8AD2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Brier@k=50</w:t>
            </w:r>
          </w:p>
          <w:p w14:paraId="259F756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(长程区分)</w:t>
            </w:r>
          </w:p>
        </w:tc>
      </w:tr>
      <w:tr w14:paraId="32617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DE2C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C_mean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EDA8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逐维均值（手工基线）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3A00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75.7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2256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91.0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96E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67.7</w:t>
            </w:r>
          </w:p>
        </w:tc>
      </w:tr>
      <w:tr w14:paraId="4279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38E3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C_combined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E73A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均值+最大值（手工）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8C4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96.4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D145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97.6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0D79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95.4</w:t>
            </w:r>
          </w:p>
        </w:tc>
      </w:tr>
      <w:tr w14:paraId="65490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8240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CALM Adapter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59DB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多头注意力（可训练）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F09B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76.6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E8C8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97.3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0BB1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偏低</w:t>
            </w:r>
          </w:p>
        </w:tc>
      </w:tr>
      <w:tr w14:paraId="1A3F2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1C2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全矩阵均值</w:t>
            </w:r>
          </w:p>
        </w:tc>
        <w:tc>
          <w:tcPr>
            <w:tcW w:w="28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5762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64种组合平均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BC93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84.6</w:t>
            </w:r>
          </w:p>
        </w:tc>
        <w:tc>
          <w:tcPr>
            <w:tcW w:w="201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96D8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4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C37D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</w:tr>
    </w:tbl>
    <w:p w14:paraId="482A240E">
      <w:pPr>
        <w:spacing w:before="0" w:after="2400"/>
      </w:pPr>
    </w:p>
    <w:p w14:paraId="1C18353C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3.4 原因分析</w:t>
      </w:r>
    </w:p>
    <w:p w14:paraId="1D74701B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数据量不足：1787 条对 325 万参数严重偏少，模型过拟合训练集，泛化弱；</w:t>
      </w:r>
    </w:p>
    <w:p w14:paraId="47E36146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缺语义监督：训练目标是还原 Chunk，不等于让压缩向量有区分度；C_combined 直接复用 Encoder 输出，天然保留语义几何结构；</w:t>
      </w:r>
    </w:p>
    <w:p w14:paraId="56D763F6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无预训练 Decoder：CALM 原版用大型 LLM 提供语言先验，本实验 MLP 从零训练，信号质量低。</w:t>
      </w:r>
    </w:p>
    <w:p w14:paraId="0E45B001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四、知识点加权聚合实验</w:t>
      </w:r>
    </w:p>
    <w:p w14:paraId="11709B42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4.1 动机</w:t>
      </w:r>
    </w:p>
    <w:p w14:paraId="4A0EDFE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原有 C_mean 对所有知识点等权平均，丢失了各知识点对题目主旨的贡献差异。本实验探索三种加权策略：两种无参数静态方法（相似度加权、稀有度加权）和一种 LLM 辅助的题目级动态权重方法。静态方法在不增加可训练参数的情况下重新分配权重；动态方法由 Qwen-Plus 为每道题单独输出知识点重要性分布，实现题目粒度的个性化聚合。所有方法用全部 5 个指标（EOSk / Recall@10 / Separation / Silhouette / BrierLM）进行多维度评估。</w:t>
      </w:r>
    </w:p>
    <w:p w14:paraId="7D6A1CB0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4.2 方法设计</w:t>
      </w:r>
    </w:p>
    <w:p w14:paraId="5BF89128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方案 C：C_sim_weighted（相似度加权）</w:t>
      </w:r>
    </w:p>
    <w:p w14:paraId="1629C82D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计算题目均值向量 u = mean(KP[1]...KP[n])；</w:t>
      </w:r>
    </w:p>
    <w:p w14:paraId="6E1FC9CF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sim_i = cosine(u, KP[i])  —  越贴近题目中心的知识点权重越高；</w:t>
      </w:r>
    </w:p>
    <w:p w14:paraId="4874A7CE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weights = softmax(sim / T),  T=0.1；</w:t>
      </w:r>
    </w:p>
    <w:p w14:paraId="08BB9BD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④ 最终向量 = sum(weights[i] * KP[i])。</w:t>
      </w:r>
    </w:p>
    <w:p w14:paraId="446C77DC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物理含义：强调与题目整体方向最一致的知识点，抑制边缘知识点噪声。</w:t>
      </w:r>
    </w:p>
    <w:p w14:paraId="4A28F0A5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方案 D：C_idf_weighted（稀有度加权，向量空间 IDF 近似）</w:t>
      </w:r>
    </w:p>
    <w:p w14:paraId="0FB06B1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计算全数据集所有知识点向量的均值作为全局中心g；</w:t>
      </w:r>
    </w:p>
    <w:p w14:paraId="6C7B22F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rarity_i = 1 - cosine(KP[i], g)  —  越偏离中心越稀有；</w:t>
      </w:r>
    </w:p>
    <w:p w14:paraId="21D1E4E5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weights = softmax(rarity / T)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>，</w:t>
      </w:r>
      <w:r>
        <w:rPr>
          <w:rFonts w:ascii="Arial" w:hAnsi="Arial" w:eastAsia="Arial" w:cs="Arial"/>
          <w:color w:val="000000"/>
          <w:sz w:val="21"/>
          <w:szCs w:val="21"/>
        </w:rPr>
        <w:t>T=0.1；</w:t>
      </w:r>
    </w:p>
    <w:p w14:paraId="54EBC8D3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④ 最终向量 = sum(weights[i] * KP[i])。</w:t>
      </w:r>
    </w:p>
    <w:p w14:paraId="51F27B0C">
      <w:pPr>
        <w:pStyle w:val="3"/>
        <w:spacing w:before="200" w:after="80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物理含义：IDF 思想迁移到向量空间——频繁出现、语义平庸的知识点（近全局中心）权重低，罕见独特的知识点（远离中心）权重高。</w:t>
      </w:r>
    </w:p>
    <w:p w14:paraId="A1B2C3D4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方案 E：C_dynamic_weighted（题目级 LLM 动态权重）</w:t>
      </w:r>
    </w:p>
    <w:p w14:paraId="A1B2C3D5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将题目文本 + 知识点列表输入 Qwen-Plus，要求返回各知识点的重要性权重 [w0, w1, ..., w_{n-1}]，和为 1；</w:t>
      </w:r>
    </w:p>
    <w:p w14:paraId="A1B2C3D6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每道题目独立请求一次 API，共 1787 次调用；LLM 根据题目语义分析各知识点对解题的相关性输出个性化权重；</w:t>
      </w:r>
    </w:p>
    <w:p w14:paraId="A1B2C3D7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最终向量 = sum(w_i * KP[i])，权重直接来自 LLM 输出，无需额外计算。</w:t>
      </w:r>
    </w:p>
    <w:p w14:paraId="A1B2C3D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物理含义：方案 C/D 使用所有题目共享的语料级静态规则；方案 E 让 LLM 理解具体题目，实现题目级动态差异化权重。</w:t>
      </w:r>
    </w:p>
    <w:p w14:paraId="276B47DA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4.3 实验结果（全量 5 指标，8 种 Token 方法均值）</w:t>
      </w:r>
    </w:p>
    <w:p w14:paraId="06B6E3F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全量 1787 道题目，8 种 Token 方法均值如下。EOSk/Recall@10/Separation 越高越好；Silhouette 越接近 1 越好（负值表明类间/类内区分弱）；BrierLM 越高越好。</w:t>
      </w:r>
    </w:p>
    <w:tbl>
      <w:tblPr>
        <w:tblStyle w:val="11"/>
        <w:tblW w:w="10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6"/>
        <w:gridCol w:w="1440"/>
        <w:gridCol w:w="1584"/>
        <w:gridCol w:w="1368"/>
        <w:gridCol w:w="1584"/>
        <w:gridCol w:w="1512"/>
      </w:tblGrid>
      <w:tr w14:paraId="6341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5655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88FF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EOSk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B200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Recall@10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8580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Sep.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0B0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Silhouette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4302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BrierLM</w:t>
            </w:r>
          </w:p>
        </w:tc>
      </w:tr>
      <w:tr w14:paraId="4B54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6B54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C_mean（基线）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661F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D2C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0.3033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D82F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0.0494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DC9E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-0.0371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C0AD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75.7</w:t>
            </w:r>
          </w:p>
        </w:tc>
      </w:tr>
      <w:tr w14:paraId="2B31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77CF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C_sim_weighted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1C7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0.6572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22C2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0.2973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E040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0.0490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CD05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-0.0110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E1D5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78.7</w:t>
            </w:r>
          </w:p>
        </w:tc>
      </w:tr>
      <w:tr w14:paraId="24EF0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02CF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C_idf_weighted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88DE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0.6507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8892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0.2949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C20F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0.0494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51C9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-0.0127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3172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79.0</w:t>
            </w:r>
          </w:p>
        </w:tc>
      </w:tr>
      <w:tr w14:paraId="B1C2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C_dynamic_weighted ★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0.6551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0.2947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0.0485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-0.0141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B1C2D3E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F5C99"/>
                <w:sz w:val="18"/>
                <w:szCs w:val="18"/>
              </w:rPr>
              <w:t>78.5</w:t>
            </w:r>
          </w:p>
        </w:tc>
      </w:tr>
      <w:tr w14:paraId="6325A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D2F0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C_concat（参考）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BF1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71E3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0.3033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3477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0.0494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5EAC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-0.0371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3587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94.0</w:t>
            </w:r>
          </w:p>
        </w:tc>
      </w:tr>
      <w:tr w14:paraId="3D4B0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3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50B8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C_combined（最优）</w:t>
            </w:r>
          </w:p>
        </w:tc>
        <w:tc>
          <w:tcPr>
            <w:tcW w:w="14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A0DA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0.7157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FB28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0.2977</w:t>
            </w:r>
          </w:p>
        </w:tc>
        <w:tc>
          <w:tcPr>
            <w:tcW w:w="13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BC35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0.0501</w:t>
            </w:r>
          </w:p>
        </w:tc>
        <w:tc>
          <w:tcPr>
            <w:tcW w:w="158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078D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-0.0620</w:t>
            </w:r>
          </w:p>
        </w:tc>
        <w:tc>
          <w:tcPr>
            <w:tcW w:w="1512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548B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96.4</w:t>
            </w:r>
          </w:p>
        </w:tc>
      </w:tr>
    </w:tbl>
    <w:p w14:paraId="3FD51F55">
      <w:pPr>
        <w:spacing w:before="0" w:after="2400"/>
      </w:pPr>
    </w:p>
    <w:p w14:paraId="69CF5291">
      <w:pPr>
        <w:spacing w:before="100" w:after="60"/>
        <w:jc w:val="center"/>
      </w:pPr>
      <w:r>
        <w:drawing>
          <wp:inline distT="0" distB="0" distL="0" distR="0">
            <wp:extent cx="6124575" cy="2524125"/>
            <wp:effectExtent l="0" t="0" r="0" b="0"/>
            <wp:docPr id="4" name="图 4  5 个指标归一化后的多方法对比（BrierLM 除以 100，Silhouette 映射到 [0,1]）" descr="图 4  5 个指标归一化后的多方法对比（BrierLM 除以 100，Silhouette 映射到 [0,1]）" title="图 4  5 个指标归一化后的多方法对比（BrierLM 除以 100，Silhouette 映射到 [0,1]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4  5 个指标归一化后的多方法对比（BrierLM 除以 100，Silhouette 映射到 [0,1]）" descr="图 4  5 个指标归一化后的多方法对比（BrierLM 除以 100，Silhouette 映射到 [0,1]）" title="图 4  5 个指标归一化后的多方法对比（BrierLM 除以 100，Silhouette 映射到 [0,1]）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A327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4  5 个指标归一化后的多方法对比（BrierLM 除以 100，Silhouette 映射到 [0,1]）</w:t>
      </w:r>
    </w:p>
    <w:p w14:paraId="712CBE48">
      <w:pPr>
        <w:spacing w:before="100" w:after="60"/>
        <w:jc w:val="center"/>
      </w:pPr>
      <w:r>
        <w:drawing>
          <wp:inline distT="0" distB="0" distL="0" distR="0">
            <wp:extent cx="6124575" cy="2771775"/>
            <wp:effectExtent l="0" t="0" r="0" b="0"/>
            <wp:docPr id="5" name="图 5  8 种 Token 方法下 C_mean / C_sim_weighted / C_idf_weighted / C_combined 的 BrierLM 逐一对比" descr="图 5  8 种 Token 方法下 C_mean / C_sim_weighted / C_idf_weighted / C_combined 的 BrierLM 逐一对比" title="图 5  8 种 Token 方法下 C_mean / C_sim_weighted / C_idf_weighted / C_combined 的 BrierLM 逐一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 5  8 种 Token 方法下 C_mean / C_sim_weighted / C_idf_weighted / C_combined 的 BrierLM 逐一对比" descr="图 5  8 种 Token 方法下 C_mean / C_sim_weighted / C_idf_weighted / C_combined 的 BrierLM 逐一对比" title="图 5  8 种 Token 方法下 C_mean / C_sim_weighted / C_idf_weighted / C_combined 的 BrierLM 逐一对比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B078">
      <w:pPr>
        <w:spacing w:before="6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 5  8 种 Token 方法下 C_mean / C_sim_weighted / C_idf_weighted / C_combined 的 BrierLM 逐一对比</w:t>
      </w:r>
    </w:p>
    <w:p w14:paraId="23B07484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4.4 指标维度分析</w:t>
      </w:r>
    </w:p>
    <w:p w14:paraId="3A58D30F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① BrierLM：新方法对 C_mean 显著提升</w:t>
      </w:r>
    </w:p>
    <w:p w14:paraId="24C3ED3D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C_sim_weighted = 78.7，C_idf_weighted = 79.0，C_dynamic_weighted = 78.5（LLM 动态权重，8种Token方法均值），三种方法均高于 C_mean (75.7)。三种加权策略的提升幅度相近（约+2.8～+3.3），说明 LLM 输出权重的熵（均值 1.477）接近均匀分布（上限 1.626），动态权重并未带来明显额外收益；在 Silhouette 指标上三种方法表现相近（-0.011/-0.013/-0.014 vs C_mean -0.037），均优于 C_mean。</w:t>
      </w:r>
    </w:p>
    <w:p w14:paraId="204D5E4D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② EOSk：新方法低于 C_mean（0.6572 vs 1.0000）</w:t>
      </w:r>
    </w:p>
    <w:p w14:paraId="7229C547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EOSk 衡量的是与原始等权均值的谱子空间对齐程度；加权改变了聚合方向，自然偏离原始基准，故 EOSk 下降属预期行为，并非质量变差，而是空间结构与 C_mean 不同。</w:t>
      </w:r>
    </w:p>
    <w:p w14:paraId="60B5666E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③ Recall@10：新方法与 C_mean 相当（0.2973 vs 0.3033）</w:t>
      </w:r>
    </w:p>
    <w:p w14:paraId="13E5F7A9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用题目向量检索 KP 块的准确率基本持平，说明加权未破坏题目对知识点的检索能力。</w:t>
      </w:r>
    </w:p>
    <w:p w14:paraId="4B926C9E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④ Silhouette：新方法显著优于 C_mean（-0.0110 vs -0.0371）</w:t>
      </w:r>
    </w:p>
    <w:p w14:paraId="731BF7B1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Silhouette 衡量类内紧密度与类间分离度；新方法轮廓系数更高（负得更少），表明加权聚合后同类题目的向量分布更聚集，类间分离更明显。</w:t>
      </w:r>
    </w:p>
    <w:p w14:paraId="2772EED3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⑤ Separation：各方法相近（0.0490 / 0.0494 / C_mean=0.0494）</w:t>
      </w:r>
    </w:p>
    <w:p w14:paraId="56C463E7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类内-类间余弦差在所有单向量方法（C_mean / sim / idf）之间差距极小，说明加权策略对题目类型区分度的影响有限；C_combined 略高（0.0501）得益于多分量设计。</w:t>
      </w:r>
    </w:p>
    <w:p w14:paraId="143619FD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4.5 综合结论</w:t>
      </w:r>
    </w:p>
    <w:p w14:paraId="6F3BAB28">
      <w:pPr>
        <w:rPr>
          <w:rFonts w:hint="eastAsia" w:eastAsia="宋体"/>
          <w:lang w:eastAsia="zh-CN"/>
        </w:rPr>
      </w:pPr>
      <w:r>
        <w:rPr>
          <w:rFonts w:ascii="Arial" w:hAnsi="Arial" w:eastAsia="Arial" w:cs="Arial"/>
          <w:color w:val="000000"/>
          <w:sz w:val="21"/>
          <w:szCs w:val="21"/>
        </w:rPr>
        <w:t>三种加权方法在 BrierLM 上均优于 C_mean（均提升约 +2.8～+3.3 点），Recall@10 持平，EOSk 下降符合预期，Silhouette 均显著优于 C_mean。C_dynamic_weighted（78.5）与两种静态方法（78.7、79.0）差距极小，说明 LLM 权重熵接近均匀分布（均值 1.477，理论上限 1.626），题目级动态权重尚未带来明显额外收益。三种方法整体优于朴素均值，但仍低于保留完整 KP 向量的 C_concat / C_combined，说明压缩为单向量时不可避免丢失知识点间的相对结构信息。后续可通过提升 LLM 提示工程（强制更尖锐的权重分布）或引入监督信号进一步强化动态权重的区分度</w:t>
      </w:r>
      <w:r>
        <w:rPr>
          <w:rFonts w:hint="eastAsia" w:eastAsia="宋体" w:cs="Arial"/>
          <w:color w:val="000000"/>
          <w:sz w:val="21"/>
          <w:szCs w:val="21"/>
          <w:lang w:eastAsia="zh-CN"/>
        </w:rPr>
        <w:t>。</w:t>
      </w:r>
    </w:p>
    <w:p w14:paraId="7D346816">
      <w:pPr>
        <w:pStyle w:val="2"/>
        <w:pBdr>
          <w:bottom w:val="single" w:color="2E75B6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五、结论与下一步</w:t>
      </w:r>
    </w:p>
    <w:p w14:paraId="1317EB2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5.1 主要结论</w:t>
      </w:r>
    </w:p>
    <w:p w14:paraId="4BFC2BF5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① 最优：T_max × C_diff（VecBrierLM=98.5），T_mean/T_weighted + C_combined/C_concat 整体最优；</w:t>
      </w:r>
    </w:p>
    <w:p w14:paraId="69ED38F8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② 最差：T_product × C_product（VecBrierLM=17.9），逐元素乘积导致向量严重坍塌；</w:t>
      </w:r>
    </w:p>
    <w:p w14:paraId="4DF02A2A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③ C_combined 均值最高（96.4），与 CALM 中等压缩优于极端压缩结论一致；</w:t>
      </w:r>
    </w:p>
    <w:p w14:paraId="7F1A3BE4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④ CALM Adapter 在小数据+CPU 条件下低于手工规则（76.6 vs 98.5），数据量是瓶颈；</w:t>
      </w:r>
    </w:p>
    <w:p w14:paraId="47CCEB0D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⑥ 新加权方法多指标表现（全量5指标补测）：三种方法 BrierLM 均优于 C_mean（提升 +2.8～+3.3 点），C_sim_weighted=78.7、C_idf_weighted=79.0、C_dynamic_weighted=78.5；三种方法 BrierLM 差距极小，动态权重未体现明显优势；Recall@10 持平，Silhouette 均显著优于 C_mean，EOSk 下降符合预期；</w:t>
      </w:r>
      <w:bookmarkStart w:id="0" w:name="_GoBack"/>
      <w:bookmarkEnd w:id="0"/>
    </w:p>
    <w:p w14:paraId="1325EBCA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5.2 下一步方向</w:t>
      </w:r>
    </w:p>
    <w:p w14:paraId="2A055AAF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① 更换 Encoder</w:t>
      </w:r>
    </w:p>
    <w:p w14:paraId="7E591B40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用 all-mpnet-base-v2（768 维）替换 all-MiniLM-L6-v2，固定 T_mean x C_combined，对比更高维度向量的压缩特性差异。</w:t>
      </w:r>
    </w:p>
    <w:p w14:paraId="03D41BBE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② 替换相似度度量</w:t>
      </w:r>
    </w:p>
    <w:p w14:paraId="5FEAFEEB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VecBrierLM 的核心是：给每道题目的向量和题库里所有向量算相似度，softmax 后用 Brier Score 衡量分布质量。目前用余弦相似度，三种替代方案：</w:t>
      </w:r>
    </w:p>
    <w:tbl>
      <w:tblPr>
        <w:tblStyle w:val="11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8"/>
        <w:gridCol w:w="2160"/>
        <w:gridCol w:w="3240"/>
        <w:gridCol w:w="2160"/>
      </w:tblGrid>
      <w:tr w14:paraId="3E2E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20BE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方案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8A2D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公式说明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1945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本实验含义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BD399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实现方式</w:t>
            </w:r>
          </w:p>
        </w:tc>
      </w:tr>
      <w:tr w14:paraId="4AF55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EA75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双线性 Bilinear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C2F9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sim(u,v) = u^T W v</w:t>
            </w:r>
          </w:p>
          <w:p w14:paraId="2C93F4F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W: d×d 可训练矩阵, d=384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F6C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余弦只看方向夹角，Bilinear 让模型自己学「什么叫相似」。题目向量和知识点向量不在同一语义空间时，余弦会失真，Bilinear 能自适应校正。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B004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训练 W（约147K参数）</w:t>
            </w:r>
          </w:p>
          <w:p w14:paraId="2B7CE75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用 Recall@10 做监督</w:t>
            </w:r>
          </w:p>
          <w:p w14:paraId="339EFB1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替换 brier_eval.py 中的 cosine_similarity</w:t>
            </w:r>
          </w:p>
        </w:tc>
      </w:tr>
      <w:tr w14:paraId="5076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BEC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L1 距离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8978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逐位相减取绝对值后求和=d；sim = 1/(1+d)</w:t>
            </w:r>
          </w:p>
          <w:p w14:paraId="4A0D76A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（d=0时sim=1）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0C9E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余弦忽略向量长度，但384维向量里某些维度可能本身很大（噪声维度）。L1 逐维求差，对这类高维噪声更鲁棒。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0FFC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 行代码替换 cosine_similarity，无需任何训练</w:t>
            </w:r>
          </w:p>
        </w:tc>
      </w:tr>
      <w:tr w14:paraId="168F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7795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知识图谱辅助距离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ECDE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sim = a*cos(u,v) + (1-a)*w_KG</w:t>
            </w:r>
          </w:p>
          <w:p w14:paraId="3DEABB2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 为混合权重</w:t>
            </w:r>
          </w:p>
          <w:p w14:paraId="5FE29C8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w_KG 为图边权</w:t>
            </w:r>
          </w:p>
        </w:tc>
        <w:tc>
          <w:tcPr>
            <w:tcW w:w="32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6860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纯向量相似度只看统计共现，看不到化学概念之间的结构关系（如「酸碱反应-&gt;pH」）。引入知识图谱边权，把已知化学关系直接编入相似度计算中。</w:t>
            </w:r>
          </w:p>
        </w:tc>
        <w:tc>
          <w:tcPr>
            <w:tcW w:w="2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081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需先构建化学知识图谱 (ChemOnt/PubChem)，映射题目-&gt;图节点，工作量较大，作为长期方向</w:t>
            </w:r>
          </w:p>
        </w:tc>
      </w:tr>
    </w:tbl>
    <w:p w14:paraId="5C2DB2E9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③ 扩充数据集</w:t>
      </w:r>
    </w:p>
    <w:p w14:paraId="5884916B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从 ChemBench / SciQ 获取 &gt;1 万道化学题，重测 CALM Adapter，验证数据量是否确实是可训练压缩的瓶颈。</w:t>
      </w:r>
    </w:p>
    <w:p w14:paraId="078FF8B3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④ 多指标联合评估</w:t>
      </w:r>
    </w:p>
    <w:p w14:paraId="3DFA6E3C">
      <w:pPr>
        <w:spacing w:before="0" w:after="80"/>
        <w:jc w:val="both"/>
      </w:pPr>
      <w:r>
        <w:rPr>
          <w:rFonts w:ascii="Arial" w:hAnsi="Arial" w:eastAsia="Arial" w:cs="Arial"/>
          <w:color w:val="000000"/>
          <w:sz w:val="21"/>
          <w:szCs w:val="21"/>
        </w:rPr>
        <w:t>计算 VecBrierLM 与 Recall@10、Separation 的 Pearson 相关系数，判断各指标是否可互相替代，进一步精简评估流程。</w:t>
      </w:r>
    </w:p>
    <w:p w14:paraId="5F35E6FD">
      <w:pPr>
        <w:spacing w:before="0" w:after="4800"/>
      </w:pPr>
    </w:p>
    <w:p w14:paraId="39F4E293">
      <w:pPr>
        <w:spacing w:before="60" w:after="0"/>
        <w:jc w:val="both"/>
      </w:pPr>
    </w:p>
    <w:sectPr>
      <w:head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F34DE">
    <w:pPr>
      <w:pBdr>
        <w:bottom w:val="single" w:color="BBBBBB" w:sz="2" w:space="1"/>
      </w:pBdr>
      <w:jc w:val="right"/>
    </w:pPr>
  </w:p>
  <w:p w14:paraId="7E40A64C">
    <w:pPr>
      <w:pBdr>
        <w:bottom w:val="single" w:color="BBBBBB" w:sz="2" w:space="1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A129BF"/>
    <w:rsid w:val="35EF36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?>
<Relationships xmlns="http://schemas.openxmlformats.org/package/2006/relationships">
  <Relationship Id="rId9" Type="http://schemas.openxmlformats.org/officeDocument/2006/relationships/image" Target="media/image5.png"/>
  <Relationship Id="rId8" Type="http://schemas.openxmlformats.org/officeDocument/2006/relationships/image" Target="media/image4.png"/>
  <Relationship Id="rId7" Type="http://schemas.openxmlformats.org/officeDocument/2006/relationships/image" Target="media/image3.png"/>
  <Relationship Id="rId6" Type="http://schemas.openxmlformats.org/officeDocument/2006/relationships/image" Target="media/image2.png"/>
  <Relationship Id="rId5" Type="http://schemas.openxmlformats.org/officeDocument/2006/relationships/image" Target="media/image1.png"/>
  <Relationship Id="rId4" Type="http://schemas.openxmlformats.org/officeDocument/2006/relationships/theme" Target="theme/theme1.xml"/>
  <Relationship Id="rId3" Type="http://schemas.openxmlformats.org/officeDocument/2006/relationships/header" Target="header1.xml"/>
  <Relationship Id="rId2" Type="http://schemas.openxmlformats.org/officeDocument/2006/relationships/settings" Target="settings.xml"/>
  <Relationship Id="rId10" Type="http://schemas.openxmlformats.org/officeDocument/2006/relationships/fontTable" Target="fontTable.xml"/>
  <Relationship Id="rId1" Type="http://schemas.openxmlformats.org/officeDocument/2006/relationships/styles" Target="styles.xml"/>
</Relationships>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1610</Words>
  <Characters>2700</Characters>
  <TotalTime>799</TotalTime>
  <ScaleCrop>false</ScaleCrop>
  <LinksUpToDate>false</LinksUpToDate>
  <CharactersWithSpaces>2971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2026-03-29T08:33:00Z</dcterms:created>
  <dc:creator>Un-named</dc:creator>
  <cp:lastModifiedBy>贺雅诗</cp:lastModifiedBy>
  <dcterms:modified xsi:type="dcterms:W3CDTF">2026-03-29T22:25:32Z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eyJoZGlkIjoiM2IxMzQ3YjNkZmVhOTU4MWQxMTI2NGM2ZGE3NzE1MDYiLCJ1c2VySWQiOiIxNzc2MzU4ODYzIn0=</vt:lpwstr>
  </property>
  <property fmtid="{D5CDD505-2E9C-101B-9397-08002B2CF9AE}" pid="3" name="KSOProductBuildVer">
    <vt:lpwstr>2052-12.1.0.24034</vt:lpwstr>
  </property>
  <property fmtid="{D5CDD505-2E9C-101B-9397-08002B2CF9AE}" pid="4" name="ICV">
    <vt:lpwstr>905989C83F7141479AA5EA1C8A47ABD9_12</vt:lpwstr>
  </property>
</Properties>
</file>