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82AD5" w14:textId="7F710B3C" w:rsidR="00E037F2" w:rsidRDefault="0073287C">
      <w:pPr>
        <w:rPr>
          <w:rFonts w:hint="eastAsia"/>
        </w:rPr>
      </w:pPr>
      <w:r>
        <w:rPr>
          <w:rFonts w:hint="eastAsia"/>
        </w:rPr>
        <w:t>제목 : 물가 뛰자 시장에 강한 시그널..6개월 뒤 금리 3.25%에 무게</w:t>
      </w:r>
    </w:p>
    <w:p w14:paraId="4A16E29D" w14:textId="52DCD244" w:rsidR="00562DB7" w:rsidRDefault="00E037F2">
      <w:r>
        <w:rPr>
          <w:rFonts w:hint="eastAsia"/>
          <w:noProof/>
        </w:rPr>
        <w:drawing>
          <wp:inline distT="0" distB="0" distL="0" distR="0" wp14:anchorId="447A2B49" wp14:editId="15E774DF">
            <wp:extent cx="5731510" cy="4450080"/>
            <wp:effectExtent l="0" t="0" r="0" b="0"/>
            <wp:docPr id="40340206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2061" name="그림 403402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DB7">
        <w:rPr>
          <w:rFonts w:hint="eastAsia"/>
        </w:rPr>
        <w:t>한은의 2연속 금리 인상의 배경</w:t>
      </w:r>
    </w:p>
    <w:p w14:paraId="232AA160" w14:textId="17695B54" w:rsidR="00562DB7" w:rsidRDefault="00562DB7" w:rsidP="00562DB7">
      <w:pPr>
        <w:pStyle w:val="a6"/>
        <w:numPr>
          <w:ilvl w:val="0"/>
          <w:numId w:val="2"/>
        </w:numPr>
      </w:pPr>
      <w:r>
        <w:rPr>
          <w:rFonts w:hint="eastAsia"/>
        </w:rPr>
        <w:t>물가 : 높은 물가 흐름</w:t>
      </w:r>
    </w:p>
    <w:p w14:paraId="6853AD18" w14:textId="68FFECA7" w:rsidR="00562DB7" w:rsidRDefault="00562DB7" w:rsidP="00562DB7">
      <w:pPr>
        <w:pStyle w:val="a6"/>
        <w:numPr>
          <w:ilvl w:val="0"/>
          <w:numId w:val="2"/>
        </w:numPr>
      </w:pPr>
      <w:r>
        <w:rPr>
          <w:rFonts w:hint="eastAsia"/>
        </w:rPr>
        <w:t>성장성 : 수출과 투자 호조로 인해 성장률 전망 상향 조정</w:t>
      </w:r>
    </w:p>
    <w:p w14:paraId="4BA45590" w14:textId="51FA29B7" w:rsidR="00562DB7" w:rsidRDefault="00562DB7" w:rsidP="00562DB7">
      <w:pPr>
        <w:pStyle w:val="a6"/>
        <w:numPr>
          <w:ilvl w:val="0"/>
          <w:numId w:val="2"/>
        </w:numPr>
      </w:pPr>
      <w:r>
        <w:rPr>
          <w:rFonts w:hint="eastAsia"/>
        </w:rPr>
        <w:t>금융시장 : 2000조를 넘어선 가계부채 + 주택가격 상승 기대</w:t>
      </w:r>
    </w:p>
    <w:sectPr w:rsidR="00562D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27C28"/>
    <w:multiLevelType w:val="hybridMultilevel"/>
    <w:tmpl w:val="74D0B526"/>
    <w:lvl w:ilvl="0" w:tplc="7F6CC96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7097FE2"/>
    <w:multiLevelType w:val="hybridMultilevel"/>
    <w:tmpl w:val="0FD2459C"/>
    <w:lvl w:ilvl="0" w:tplc="D0FCDA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7735084">
    <w:abstractNumId w:val="0"/>
  </w:num>
  <w:num w:numId="2" w16cid:durableId="15902319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F2"/>
    <w:rsid w:val="002F2A08"/>
    <w:rsid w:val="00562DB7"/>
    <w:rsid w:val="0073287C"/>
    <w:rsid w:val="0094458E"/>
    <w:rsid w:val="00D90A7F"/>
    <w:rsid w:val="00E0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1C178"/>
  <w15:chartTrackingRefBased/>
  <w15:docId w15:val="{06F5CFF0-CDA7-3D45-87DE-DCC0211C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37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37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37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37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37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37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37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37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37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37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37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37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37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37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3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37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37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37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37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3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4</cp:revision>
  <dcterms:created xsi:type="dcterms:W3CDTF">2026-08-28T00:42:00Z</dcterms:created>
  <dcterms:modified xsi:type="dcterms:W3CDTF">2026-09-10T09:47:00Z</dcterms:modified>
</cp:coreProperties>
</file>