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078AA" w14:textId="3C4B8393" w:rsidR="00923ECD" w:rsidRPr="00923ECD" w:rsidRDefault="00923ECD">
      <w:pPr>
        <w:rPr>
          <w:rFonts w:eastAsiaTheme="minorHAnsi"/>
          <w:sz w:val="26"/>
          <w:szCs w:val="26"/>
        </w:rPr>
      </w:pPr>
      <w:r w:rsidRPr="00923ECD">
        <w:rPr>
          <w:rFonts w:eastAsiaTheme="minorHAnsi"/>
          <w:noProof/>
          <w:sz w:val="26"/>
          <w:szCs w:val="26"/>
        </w:rPr>
        <w:drawing>
          <wp:inline distT="0" distB="0" distL="0" distR="0" wp14:anchorId="38036D01" wp14:editId="3B35DF56">
            <wp:extent cx="5731510" cy="5852795"/>
            <wp:effectExtent l="2857" t="0" r="0" b="0"/>
            <wp:docPr id="981133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3339" name="그림 9811333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8925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SystemUIFont"/>
          <w:kern w:val="0"/>
          <w:sz w:val="26"/>
          <w:szCs w:val="26"/>
        </w:rPr>
        <w:t xml:space="preserve">현대제철의 첫 번째 해외 제철소, 미국 </w:t>
      </w:r>
      <w:proofErr w:type="spellStart"/>
      <w:r w:rsidRPr="00923ECD">
        <w:rPr>
          <w:rFonts w:eastAsiaTheme="minorHAnsi" w:cs="AppleSystemUIFont"/>
          <w:kern w:val="0"/>
          <w:sz w:val="26"/>
          <w:szCs w:val="26"/>
        </w:rPr>
        <w:t>루이지애나주의</w:t>
      </w:r>
      <w:proofErr w:type="spellEnd"/>
      <w:r w:rsidRPr="00923ECD">
        <w:rPr>
          <w:rFonts w:eastAsiaTheme="minorHAnsi" w:cs="AppleSystemUIFont"/>
          <w:kern w:val="0"/>
          <w:sz w:val="26"/>
          <w:szCs w:val="26"/>
        </w:rPr>
        <w:t xml:space="preserve"> 현대제철-포스코 루이지애나 제철소. 이 제철소는 물류, 환율 같은 외부 변수에도 흔들리지 않는 안정적인 공급망 확보에 기여할 것이라는 점에서 의의를 갖는다.</w:t>
      </w:r>
    </w:p>
    <w:p w14:paraId="455222DD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7B104AA1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SystemUIFont"/>
          <w:kern w:val="0"/>
          <w:sz w:val="26"/>
          <w:szCs w:val="26"/>
        </w:rPr>
        <w:t>이런 결정의 배경에는 미국의 높은 관세와 현지 철강 시장의 매력이 작용한 것으로 보인다. 특히 미국의 열연강판 같은 경우 아시아 유럽보다 30%이상 비싸다.</w:t>
      </w:r>
    </w:p>
    <w:p w14:paraId="3B0BF43B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083FED2D" w14:textId="54A54AEE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이번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사안은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포스코와의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협력이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기대된다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.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전기로를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통해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생산된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강재가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자동차에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쓰일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최고급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강판으로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발전되는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과정에서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포스코의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수소환원제철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lastRenderedPageBreak/>
        <w:t>기술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및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자동차강판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기술이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사용될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예정이다</w:t>
      </w:r>
      <w:r w:rsidRPr="00923ECD">
        <w:rPr>
          <w:rFonts w:eastAsiaTheme="minorHAnsi" w:cs="AppleSystemUIFont"/>
          <w:kern w:val="0"/>
          <w:sz w:val="26"/>
          <w:szCs w:val="26"/>
        </w:rPr>
        <w:t>.</w:t>
      </w:r>
    </w:p>
    <w:p w14:paraId="6257CB37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0FC52B33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7C2EA8A1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44A384C2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4AFBB78E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4651F154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406624C5" w14:textId="77777777" w:rsidR="00923ECD" w:rsidRDefault="00923ECD" w:rsidP="00923ECD">
      <w:pPr>
        <w:rPr>
          <w:rFonts w:eastAsiaTheme="minorHAnsi" w:cs="AppleSystemUIFont"/>
          <w:kern w:val="0"/>
          <w:sz w:val="26"/>
          <w:szCs w:val="26"/>
        </w:rPr>
      </w:pPr>
    </w:p>
    <w:p w14:paraId="19D9BD84" w14:textId="77777777" w:rsidR="00923ECD" w:rsidRPr="00923ECD" w:rsidRDefault="00923ECD" w:rsidP="00923ECD">
      <w:pPr>
        <w:rPr>
          <w:rFonts w:eastAsiaTheme="minorHAnsi" w:hint="eastAsia"/>
          <w:sz w:val="26"/>
          <w:szCs w:val="26"/>
        </w:rPr>
      </w:pPr>
    </w:p>
    <w:p w14:paraId="673350A6" w14:textId="2A27F6AE" w:rsidR="00923ECD" w:rsidRPr="00923ECD" w:rsidRDefault="00923ECD">
      <w:pPr>
        <w:rPr>
          <w:rFonts w:eastAsiaTheme="minorHAnsi"/>
          <w:sz w:val="26"/>
          <w:szCs w:val="26"/>
        </w:rPr>
      </w:pPr>
      <w:r w:rsidRPr="00923ECD">
        <w:rPr>
          <w:rFonts w:eastAsiaTheme="minorHAnsi" w:hint="eastAsia"/>
          <w:noProof/>
          <w:sz w:val="26"/>
          <w:szCs w:val="26"/>
        </w:rPr>
        <w:lastRenderedPageBreak/>
        <w:drawing>
          <wp:inline distT="0" distB="0" distL="0" distR="0" wp14:anchorId="5A2F3CD0" wp14:editId="7CE2F733">
            <wp:extent cx="5731510" cy="5680710"/>
            <wp:effectExtent l="0" t="0" r="0" b="0"/>
            <wp:docPr id="94307003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0035" name="그림 943070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1FFE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SystemUIFont"/>
          <w:kern w:val="0"/>
          <w:sz w:val="26"/>
          <w:szCs w:val="26"/>
        </w:rPr>
        <w:t>9월 초 기준의 수출액이 지난 해 전체 수출액을 넘어섰다. 수출 흑자와 더불어 기업의 대규모 환전 흐름이 원화 강세를 이끌 전망이다.</w:t>
      </w:r>
    </w:p>
    <w:p w14:paraId="3D6E2E89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46FC20C0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SystemUIFont"/>
          <w:kern w:val="0"/>
          <w:sz w:val="26"/>
          <w:szCs w:val="26"/>
        </w:rPr>
        <w:t>수출 흑자에 견인한 효자는 단연 반도체였으며 다른 섹터에서도 수출 증가세를 보였다.</w:t>
      </w:r>
    </w:p>
    <w:p w14:paraId="51813D91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6623B904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SystemUIFont"/>
          <w:kern w:val="0"/>
          <w:sz w:val="26"/>
          <w:szCs w:val="26"/>
        </w:rPr>
        <w:t>이런 흐름이라면 연 1조 수출액도 가능할 것이라는 전망이 나오고 있다.</w:t>
      </w:r>
    </w:p>
    <w:p w14:paraId="037DCA63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0BC9FC14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  <w:r w:rsidRPr="00923ECD">
        <w:rPr>
          <w:rFonts w:eastAsiaTheme="minorHAnsi" w:cs="AppleSystemUIFont"/>
          <w:kern w:val="0"/>
          <w:sz w:val="26"/>
          <w:szCs w:val="26"/>
        </w:rPr>
        <w:t xml:space="preserve">원화 강세 현상에 대해 조금 더 알아보자. 명목 GDP 대비 경상수지 흑자 비율이 20%를 넘어가며 대규모로 달러가 들어온 곳이 첫 번째. 그리고 </w:t>
      </w:r>
      <w:r w:rsidRPr="00923ECD">
        <w:rPr>
          <w:rFonts w:eastAsiaTheme="minorHAnsi" w:cs="AppleSystemUIFont"/>
          <w:kern w:val="0"/>
          <w:sz w:val="26"/>
          <w:szCs w:val="26"/>
        </w:rPr>
        <w:lastRenderedPageBreak/>
        <w:t>기업들의 환전이 두 번째로 주요했다. 예를 들어, SK하이닉스 ADR을 통해 조달한 256억 달러 중 일부를 원화로 환전했다. 또한 삼성전자와 하이닉스가 자사주를 매입하는 과정에서 달러를 일부 매도한 것으로 알려졌다.</w:t>
      </w:r>
    </w:p>
    <w:p w14:paraId="5ED84303" w14:textId="77777777" w:rsidR="00923ECD" w:rsidRPr="00923ECD" w:rsidRDefault="00923ECD" w:rsidP="00923ECD">
      <w:pPr>
        <w:wordWrap/>
        <w:adjustRightInd w:val="0"/>
        <w:spacing w:after="0"/>
        <w:rPr>
          <w:rFonts w:eastAsiaTheme="minorHAnsi" w:cs="AppleSystemUIFont"/>
          <w:kern w:val="0"/>
          <w:sz w:val="26"/>
          <w:szCs w:val="26"/>
        </w:rPr>
      </w:pPr>
    </w:p>
    <w:p w14:paraId="67C64F2B" w14:textId="298FA953" w:rsidR="00923ECD" w:rsidRPr="00923ECD" w:rsidRDefault="00923ECD" w:rsidP="00923ECD">
      <w:pPr>
        <w:rPr>
          <w:rFonts w:eastAsiaTheme="minorHAnsi" w:hint="eastAsia"/>
          <w:sz w:val="26"/>
          <w:szCs w:val="26"/>
        </w:rPr>
      </w:pP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정부는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하이닉스가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매도한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200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억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달러를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proofErr w:type="spellStart"/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외평기금으로</w:t>
      </w:r>
      <w:proofErr w:type="spellEnd"/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충당하여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비상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시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대비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능력을</w:t>
      </w:r>
      <w:r w:rsidRPr="00923ECD">
        <w:rPr>
          <w:rFonts w:eastAsiaTheme="minorHAnsi" w:cs="AppleSystemUIFont"/>
          <w:kern w:val="0"/>
          <w:sz w:val="26"/>
          <w:szCs w:val="26"/>
        </w:rPr>
        <w:t xml:space="preserve"> </w:t>
      </w:r>
      <w:r w:rsidRPr="00923ECD">
        <w:rPr>
          <w:rFonts w:eastAsiaTheme="minorHAnsi" w:cs="AppleExternalUIFontKorean-Regul" w:hint="eastAsia"/>
          <w:kern w:val="0"/>
          <w:sz w:val="26"/>
          <w:szCs w:val="26"/>
        </w:rPr>
        <w:t>확보했다</w:t>
      </w:r>
      <w:r w:rsidRPr="00923ECD">
        <w:rPr>
          <w:rFonts w:eastAsiaTheme="minorHAnsi" w:cs="AppleSystemUIFont"/>
          <w:kern w:val="0"/>
          <w:sz w:val="26"/>
          <w:szCs w:val="26"/>
        </w:rPr>
        <w:t>.</w:t>
      </w:r>
    </w:p>
    <w:sectPr w:rsidR="00923ECD" w:rsidRPr="00923E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CD"/>
    <w:rsid w:val="002F2A08"/>
    <w:rsid w:val="0092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4FFA6"/>
  <w15:chartTrackingRefBased/>
  <w15:docId w15:val="{BB11F691-1F21-054C-AD17-7960DDF7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3E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3E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3E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3E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3E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3E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3E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3E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3E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3E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3E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3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3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3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3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3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3E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3E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3E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3E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3E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3E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3E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3E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3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1</cp:revision>
  <dcterms:created xsi:type="dcterms:W3CDTF">2026-09-07T00:29:00Z</dcterms:created>
  <dcterms:modified xsi:type="dcterms:W3CDTF">2026-09-07T00:31:00Z</dcterms:modified>
</cp:coreProperties>
</file>