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Project Report:</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Data:</w:t>
      </w:r>
    </w:p>
    <w:p w:rsidR="00000000" w:rsidDel="00000000" w:rsidP="00000000" w:rsidRDefault="00000000" w:rsidRPr="00000000" w14:paraId="00000004">
      <w:pPr>
        <w:pStyle w:val="Heading2"/>
        <w:rPr/>
      </w:pPr>
      <w:r w:rsidDel="00000000" w:rsidR="00000000" w:rsidRPr="00000000">
        <w:rPr>
          <w:rtl w:val="0"/>
        </w:rPr>
        <w:t xml:space="preserve">Finance Data:</w:t>
      </w:r>
    </w:p>
    <w:p w:rsidR="00000000" w:rsidDel="00000000" w:rsidP="00000000" w:rsidRDefault="00000000" w:rsidRPr="00000000" w14:paraId="00000005">
      <w:pPr>
        <w:rPr/>
      </w:pPr>
      <w:r w:rsidDel="00000000" w:rsidR="00000000" w:rsidRPr="00000000">
        <w:rPr>
          <w:rtl w:val="0"/>
        </w:rPr>
        <w:t xml:space="preserve">Data is taken from Kagel.</w:t>
      </w:r>
    </w:p>
    <w:p w:rsidR="00000000" w:rsidDel="00000000" w:rsidP="00000000" w:rsidRDefault="00000000" w:rsidRPr="00000000" w14:paraId="00000006">
      <w:pPr>
        <w:numPr>
          <w:ilvl w:val="0"/>
          <w:numId w:val="5"/>
        </w:numPr>
        <w:ind w:left="720" w:hanging="360"/>
        <w:jc w:val="both"/>
        <w:rPr>
          <w:sz w:val="24"/>
          <w:szCs w:val="24"/>
        </w:rPr>
      </w:pPr>
      <w:r w:rsidDel="00000000" w:rsidR="00000000" w:rsidRPr="00000000">
        <w:rPr>
          <w:sz w:val="24"/>
          <w:szCs w:val="24"/>
          <w:rtl w:val="0"/>
        </w:rPr>
        <w:t xml:space="preserve">This is a table of historical stock prices for a particular company, with data for 2531 consecutive trading days.</w:t>
      </w:r>
    </w:p>
    <w:p w:rsidR="00000000" w:rsidDel="00000000" w:rsidP="00000000" w:rsidRDefault="00000000" w:rsidRPr="00000000" w14:paraId="00000007">
      <w:pPr>
        <w:numPr>
          <w:ilvl w:val="0"/>
          <w:numId w:val="5"/>
        </w:numPr>
        <w:ind w:left="720" w:hanging="360"/>
        <w:jc w:val="both"/>
        <w:rPr>
          <w:sz w:val="24"/>
          <w:szCs w:val="24"/>
        </w:rPr>
      </w:pPr>
      <w:r w:rsidDel="00000000" w:rsidR="00000000" w:rsidRPr="00000000">
        <w:rPr>
          <w:sz w:val="24"/>
          <w:szCs w:val="24"/>
          <w:rtl w:val="0"/>
        </w:rPr>
        <w:t xml:space="preserve">Each row in the table corresponds to a single trading day, and the columns represent different features of the stock price.</w:t>
      </w:r>
    </w:p>
    <w:p w:rsidR="00000000" w:rsidDel="00000000" w:rsidP="00000000" w:rsidRDefault="00000000" w:rsidRPr="00000000" w14:paraId="00000008">
      <w:pPr>
        <w:numPr>
          <w:ilvl w:val="0"/>
          <w:numId w:val="5"/>
        </w:numPr>
        <w:ind w:left="720" w:hanging="360"/>
        <w:jc w:val="both"/>
        <w:rPr>
          <w:sz w:val="24"/>
          <w:szCs w:val="24"/>
        </w:rPr>
      </w:pPr>
      <w:r w:rsidDel="00000000" w:rsidR="00000000" w:rsidRPr="00000000">
        <w:rPr>
          <w:sz w:val="24"/>
          <w:szCs w:val="24"/>
          <w:rtl w:val="0"/>
        </w:rPr>
        <w:t xml:space="preserve">The "Date" column shows the date of the trading day, while the "Close/Last" column shows the closing price of the stock on that day.</w:t>
      </w:r>
    </w:p>
    <w:p w:rsidR="00000000" w:rsidDel="00000000" w:rsidP="00000000" w:rsidRDefault="00000000" w:rsidRPr="00000000" w14:paraId="00000009">
      <w:pPr>
        <w:numPr>
          <w:ilvl w:val="0"/>
          <w:numId w:val="5"/>
        </w:numPr>
        <w:ind w:left="720" w:hanging="360"/>
        <w:jc w:val="both"/>
        <w:rPr>
          <w:sz w:val="24"/>
          <w:szCs w:val="24"/>
        </w:rPr>
      </w:pPr>
      <w:r w:rsidDel="00000000" w:rsidR="00000000" w:rsidRPr="00000000">
        <w:rPr>
          <w:sz w:val="24"/>
          <w:szCs w:val="24"/>
          <w:rtl w:val="0"/>
        </w:rPr>
        <w:t xml:space="preserve">The "Open" column shows the opening price of the stock, while the "High" and "Low" columns show the highest and lowest prices the stock reached during the trading day, respectively.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Energy Data:</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Data is taken from Kagel.</w:t>
      </w:r>
    </w:p>
    <w:p w:rsidR="00000000" w:rsidDel="00000000" w:rsidP="00000000" w:rsidRDefault="00000000" w:rsidRPr="00000000" w14:paraId="0000000D">
      <w:pPr>
        <w:numPr>
          <w:ilvl w:val="0"/>
          <w:numId w:val="6"/>
        </w:numPr>
        <w:spacing w:line="360" w:lineRule="auto"/>
        <w:ind w:left="720" w:hanging="360"/>
        <w:jc w:val="both"/>
        <w:rPr>
          <w:sz w:val="24"/>
          <w:szCs w:val="24"/>
        </w:rPr>
      </w:pPr>
      <w:r w:rsidDel="00000000" w:rsidR="00000000" w:rsidRPr="00000000">
        <w:rPr>
          <w:sz w:val="24"/>
          <w:szCs w:val="24"/>
          <w:rtl w:val="0"/>
        </w:rPr>
        <w:t xml:space="preserve">This is a table of energy production and consumption data, with data for 46011 consecutive hours.</w:t>
      </w:r>
    </w:p>
    <w:p w:rsidR="00000000" w:rsidDel="00000000" w:rsidP="00000000" w:rsidRDefault="00000000" w:rsidRPr="00000000" w14:paraId="0000000E">
      <w:pPr>
        <w:numPr>
          <w:ilvl w:val="0"/>
          <w:numId w:val="6"/>
        </w:numPr>
        <w:spacing w:line="360" w:lineRule="auto"/>
        <w:ind w:left="720" w:hanging="360"/>
        <w:jc w:val="both"/>
        <w:rPr>
          <w:sz w:val="24"/>
          <w:szCs w:val="24"/>
        </w:rPr>
      </w:pPr>
      <w:r w:rsidDel="00000000" w:rsidR="00000000" w:rsidRPr="00000000">
        <w:rPr>
          <w:sz w:val="24"/>
          <w:szCs w:val="24"/>
          <w:rtl w:val="0"/>
        </w:rPr>
        <w:t xml:space="preserve">Each row in the table corresponds to a single hour, and the columns represent different features of the energy data.</w:t>
      </w:r>
    </w:p>
    <w:p w:rsidR="00000000" w:rsidDel="00000000" w:rsidP="00000000" w:rsidRDefault="00000000" w:rsidRPr="00000000" w14:paraId="0000000F">
      <w:pPr>
        <w:numPr>
          <w:ilvl w:val="0"/>
          <w:numId w:val="6"/>
        </w:numPr>
        <w:spacing w:line="360" w:lineRule="auto"/>
        <w:ind w:left="720" w:hanging="360"/>
        <w:jc w:val="both"/>
        <w:rPr>
          <w:sz w:val="24"/>
          <w:szCs w:val="24"/>
        </w:rPr>
      </w:pPr>
      <w:r w:rsidDel="00000000" w:rsidR="00000000" w:rsidRPr="00000000">
        <w:rPr>
          <w:sz w:val="24"/>
          <w:szCs w:val="24"/>
          <w:rtl w:val="0"/>
        </w:rPr>
        <w:t xml:space="preserve">The "DateTime" column shows the date and time of the hour, while the "Consumption" column shows the amount of energy consumed during that hour.</w:t>
      </w:r>
    </w:p>
    <w:p w:rsidR="00000000" w:rsidDel="00000000" w:rsidP="00000000" w:rsidRDefault="00000000" w:rsidRPr="00000000" w14:paraId="00000010">
      <w:pPr>
        <w:numPr>
          <w:ilvl w:val="0"/>
          <w:numId w:val="6"/>
        </w:numPr>
        <w:spacing w:line="360" w:lineRule="auto"/>
        <w:ind w:left="720" w:hanging="360"/>
        <w:jc w:val="both"/>
        <w:rPr>
          <w:sz w:val="24"/>
          <w:szCs w:val="24"/>
        </w:rPr>
      </w:pPr>
      <w:r w:rsidDel="00000000" w:rsidR="00000000" w:rsidRPr="00000000">
        <w:rPr>
          <w:sz w:val="24"/>
          <w:szCs w:val="24"/>
          <w:rtl w:val="0"/>
        </w:rPr>
        <w:t xml:space="preserve">The "Production" column shows the total amount of energy produced during that hour, while the remaining columns show the amount of energy produced from different sources, such as Nuclear, Wind, Hydroelectric, Oil and Gas, Coal, Solar, and Biomass.</w:t>
      </w:r>
    </w:p>
    <w:p w:rsidR="00000000" w:rsidDel="00000000" w:rsidP="00000000" w:rsidRDefault="00000000" w:rsidRPr="00000000" w14:paraId="00000011">
      <w:pPr>
        <w:numPr>
          <w:ilvl w:val="0"/>
          <w:numId w:val="6"/>
        </w:numPr>
        <w:spacing w:line="360" w:lineRule="auto"/>
        <w:ind w:left="720" w:hanging="360"/>
        <w:jc w:val="both"/>
        <w:rPr>
          <w:sz w:val="24"/>
          <w:szCs w:val="24"/>
        </w:rPr>
      </w:pPr>
      <w:r w:rsidDel="00000000" w:rsidR="00000000" w:rsidRPr="00000000">
        <w:rPr>
          <w:sz w:val="24"/>
          <w:szCs w:val="24"/>
          <w:rtl w:val="0"/>
        </w:rPr>
        <w:t xml:space="preserve">This table could be used for a variety of purposes, such as analyzing trends in energy production and consumption, evaluating the performance of different energy sources, or making predictions about future energy demand.</w:t>
      </w:r>
    </w:p>
    <w:p w:rsidR="00000000" w:rsidDel="00000000" w:rsidP="00000000" w:rsidRDefault="00000000" w:rsidRPr="00000000" w14:paraId="00000012">
      <w:pPr>
        <w:numPr>
          <w:ilvl w:val="0"/>
          <w:numId w:val="6"/>
        </w:numPr>
        <w:spacing w:line="360" w:lineRule="auto"/>
        <w:ind w:left="720" w:hanging="360"/>
        <w:jc w:val="both"/>
        <w:rPr>
          <w:sz w:val="24"/>
          <w:szCs w:val="24"/>
        </w:rPr>
      </w:pPr>
      <w:r w:rsidDel="00000000" w:rsidR="00000000" w:rsidRPr="00000000">
        <w:rPr>
          <w:sz w:val="24"/>
          <w:szCs w:val="24"/>
          <w:rtl w:val="0"/>
        </w:rPr>
        <w:t xml:space="preserve">The data ranges from January 1, 2019 to March 31, 2024.</w:t>
      </w:r>
    </w:p>
    <w:p w:rsidR="00000000" w:rsidDel="00000000" w:rsidP="00000000" w:rsidRDefault="00000000" w:rsidRPr="00000000" w14:paraId="00000013">
      <w:pPr>
        <w:numPr>
          <w:ilvl w:val="0"/>
          <w:numId w:val="6"/>
        </w:numPr>
        <w:spacing w:line="360" w:lineRule="auto"/>
        <w:ind w:left="720" w:hanging="360"/>
        <w:jc w:val="both"/>
        <w:rPr>
          <w:sz w:val="24"/>
          <w:szCs w:val="24"/>
        </w:rPr>
      </w:pPr>
      <w:r w:rsidDel="00000000" w:rsidR="00000000" w:rsidRPr="00000000">
        <w:rPr>
          <w:sz w:val="24"/>
          <w:szCs w:val="24"/>
          <w:rtl w:val="0"/>
        </w:rPr>
        <w:t xml:space="preserve">The energy consumption and production values are measured in units of energy, such as watt-hours or kilowatt-hours.</w:t>
      </w:r>
    </w:p>
    <w:p w:rsidR="00000000" w:rsidDel="00000000" w:rsidP="00000000" w:rsidRDefault="00000000" w:rsidRPr="00000000" w14:paraId="00000014">
      <w:pPr>
        <w:numPr>
          <w:ilvl w:val="0"/>
          <w:numId w:val="6"/>
        </w:numPr>
        <w:spacing w:line="360" w:lineRule="auto"/>
        <w:ind w:left="720" w:hanging="360"/>
        <w:jc w:val="both"/>
        <w:rPr>
          <w:sz w:val="24"/>
          <w:szCs w:val="24"/>
        </w:rPr>
      </w:pPr>
      <w:r w:rsidDel="00000000" w:rsidR="00000000" w:rsidRPr="00000000">
        <w:rPr>
          <w:sz w:val="24"/>
          <w:szCs w:val="24"/>
          <w:rtl w:val="0"/>
        </w:rPr>
        <w:t xml:space="preserve">The energy production values for each source are also measured in units of energy.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Co2 Data:</w:t>
      </w:r>
    </w:p>
    <w:p w:rsidR="00000000" w:rsidDel="00000000" w:rsidP="00000000" w:rsidRDefault="00000000" w:rsidRPr="00000000" w14:paraId="00000017">
      <w:pPr>
        <w:numPr>
          <w:ilvl w:val="0"/>
          <w:numId w:val="3"/>
        </w:numPr>
        <w:spacing w:line="360" w:lineRule="auto"/>
        <w:ind w:left="720" w:hanging="360"/>
        <w:jc w:val="both"/>
        <w:rPr/>
      </w:pPr>
      <w:r w:rsidDel="00000000" w:rsidR="00000000" w:rsidRPr="00000000">
        <w:rPr>
          <w:sz w:val="24"/>
          <w:szCs w:val="24"/>
          <w:rtl w:val="0"/>
        </w:rPr>
        <w:t xml:space="preserve">This is a table of atmospheric CO2 data, with data for 2089692 measurements.</w:t>
      </w:r>
    </w:p>
    <w:p w:rsidR="00000000" w:rsidDel="00000000" w:rsidP="00000000" w:rsidRDefault="00000000" w:rsidRPr="00000000" w14:paraId="00000018">
      <w:pPr>
        <w:numPr>
          <w:ilvl w:val="0"/>
          <w:numId w:val="3"/>
        </w:numPr>
        <w:spacing w:line="360" w:lineRule="auto"/>
        <w:ind w:left="720" w:hanging="360"/>
        <w:jc w:val="both"/>
        <w:rPr/>
      </w:pPr>
      <w:r w:rsidDel="00000000" w:rsidR="00000000" w:rsidRPr="00000000">
        <w:rPr>
          <w:sz w:val="24"/>
          <w:szCs w:val="24"/>
          <w:rtl w:val="0"/>
        </w:rPr>
        <w:t xml:space="preserve">Each row in the table corresponds to a single measurement, and the columns represent different features of the measurement.</w:t>
      </w:r>
    </w:p>
    <w:p w:rsidR="00000000" w:rsidDel="00000000" w:rsidP="00000000" w:rsidRDefault="00000000" w:rsidRPr="00000000" w14:paraId="00000019">
      <w:pPr>
        <w:numPr>
          <w:ilvl w:val="0"/>
          <w:numId w:val="3"/>
        </w:numPr>
        <w:spacing w:line="360" w:lineRule="auto"/>
        <w:ind w:left="720" w:hanging="360"/>
        <w:jc w:val="both"/>
        <w:rPr/>
      </w:pPr>
      <w:r w:rsidDel="00000000" w:rsidR="00000000" w:rsidRPr="00000000">
        <w:rPr>
          <w:sz w:val="24"/>
          <w:szCs w:val="24"/>
          <w:rtl w:val="0"/>
        </w:rPr>
        <w:t xml:space="preserve">The "ngfed_id" column is a unique identifier for the measurement location.</w:t>
      </w:r>
    </w:p>
    <w:p w:rsidR="00000000" w:rsidDel="00000000" w:rsidP="00000000" w:rsidRDefault="00000000" w:rsidRPr="00000000" w14:paraId="0000001A">
      <w:pPr>
        <w:numPr>
          <w:ilvl w:val="0"/>
          <w:numId w:val="3"/>
        </w:numPr>
        <w:spacing w:line="360" w:lineRule="auto"/>
        <w:ind w:left="720" w:hanging="360"/>
        <w:jc w:val="both"/>
        <w:rPr/>
      </w:pPr>
      <w:r w:rsidDel="00000000" w:rsidR="00000000" w:rsidRPr="00000000">
        <w:rPr>
          <w:sz w:val="24"/>
          <w:szCs w:val="24"/>
          <w:rtl w:val="0"/>
        </w:rPr>
        <w:t xml:space="preserve">The "x" and "y" columns show the longitude and latitude of the measurement location, respectively.</w:t>
      </w:r>
    </w:p>
    <w:p w:rsidR="00000000" w:rsidDel="00000000" w:rsidP="00000000" w:rsidRDefault="00000000" w:rsidRPr="00000000" w14:paraId="0000001B">
      <w:pPr>
        <w:numPr>
          <w:ilvl w:val="0"/>
          <w:numId w:val="3"/>
        </w:numPr>
        <w:spacing w:line="360" w:lineRule="auto"/>
        <w:ind w:left="720" w:hanging="360"/>
        <w:jc w:val="both"/>
        <w:rPr/>
      </w:pPr>
      <w:r w:rsidDel="00000000" w:rsidR="00000000" w:rsidRPr="00000000">
        <w:rPr>
          <w:sz w:val="24"/>
          <w:szCs w:val="24"/>
          <w:rtl w:val="0"/>
        </w:rPr>
        <w:t xml:space="preserve">The "year" and "month" columns show the year and month of the measurement, respectively.</w:t>
      </w:r>
    </w:p>
    <w:p w:rsidR="00000000" w:rsidDel="00000000" w:rsidP="00000000" w:rsidRDefault="00000000" w:rsidRPr="00000000" w14:paraId="0000001C">
      <w:pPr>
        <w:numPr>
          <w:ilvl w:val="0"/>
          <w:numId w:val="3"/>
        </w:numPr>
        <w:spacing w:line="360" w:lineRule="auto"/>
        <w:ind w:left="720" w:hanging="360"/>
        <w:jc w:val="both"/>
        <w:rPr/>
      </w:pPr>
      <w:r w:rsidDel="00000000" w:rsidR="00000000" w:rsidRPr="00000000">
        <w:rPr>
          <w:sz w:val="24"/>
          <w:szCs w:val="24"/>
          <w:rtl w:val="0"/>
        </w:rPr>
        <w:t xml:space="preserve">The "mean_xco2" column shows the average atmospheric CO2 concentration in parts per million (ppm) for the month.</w:t>
      </w:r>
    </w:p>
    <w:p w:rsidR="00000000" w:rsidDel="00000000" w:rsidP="00000000" w:rsidRDefault="00000000" w:rsidRPr="00000000" w14:paraId="0000001D">
      <w:pPr>
        <w:numPr>
          <w:ilvl w:val="0"/>
          <w:numId w:val="3"/>
        </w:numPr>
        <w:spacing w:line="360" w:lineRule="auto"/>
        <w:ind w:left="720" w:hanging="360"/>
        <w:jc w:val="both"/>
        <w:rPr/>
      </w:pPr>
      <w:r w:rsidDel="00000000" w:rsidR="00000000" w:rsidRPr="00000000">
        <w:rPr>
          <w:sz w:val="24"/>
          <w:szCs w:val="24"/>
          <w:rtl w:val="0"/>
        </w:rPr>
        <w:t xml:space="preserve">The "mean_xco2_anomaly" column shows the anomaly of the average CO2 concentration, which is the difference between the average CO2 concentration and the long-term average CO2 concentration for the same month.</w:t>
      </w:r>
    </w:p>
    <w:p w:rsidR="00000000" w:rsidDel="00000000" w:rsidP="00000000" w:rsidRDefault="00000000" w:rsidRPr="00000000" w14:paraId="0000001E">
      <w:pPr>
        <w:numPr>
          <w:ilvl w:val="0"/>
          <w:numId w:val="3"/>
        </w:numPr>
        <w:spacing w:line="360" w:lineRule="auto"/>
        <w:ind w:left="720" w:hanging="360"/>
        <w:jc w:val="both"/>
        <w:rPr/>
      </w:pPr>
      <w:r w:rsidDel="00000000" w:rsidR="00000000" w:rsidRPr="00000000">
        <w:rPr>
          <w:sz w:val="24"/>
          <w:szCs w:val="24"/>
          <w:rtl w:val="0"/>
        </w:rPr>
        <w:t xml:space="preserve">The data ranges from 2015 to 2021.</w:t>
      </w:r>
    </w:p>
    <w:p w:rsidR="00000000" w:rsidDel="00000000" w:rsidP="00000000" w:rsidRDefault="00000000" w:rsidRPr="00000000" w14:paraId="0000001F">
      <w:pPr>
        <w:numPr>
          <w:ilvl w:val="0"/>
          <w:numId w:val="3"/>
        </w:numPr>
        <w:spacing w:line="360" w:lineRule="auto"/>
        <w:ind w:left="720" w:hanging="360"/>
        <w:jc w:val="both"/>
        <w:rPr/>
      </w:pPr>
      <w:r w:rsidDel="00000000" w:rsidR="00000000" w:rsidRPr="00000000">
        <w:rPr>
          <w:sz w:val="24"/>
          <w:szCs w:val="24"/>
          <w:rtl w:val="0"/>
        </w:rPr>
        <w:t xml:space="preserve">The CO2 concentrations are measured in parts per million (ppm).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Arima Model:</w:t>
      </w:r>
    </w:p>
    <w:tbl>
      <w:tblPr>
        <w:tblStyle w:val="Table1"/>
        <w:tblW w:w="102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5029"/>
        <w:gridCol w:w="2585"/>
        <w:gridCol w:w="2634"/>
        <w:tblGridChange w:id="0">
          <w:tblGrid>
            <w:gridCol w:w="5029"/>
            <w:gridCol w:w="2585"/>
            <w:gridCol w:w="263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15.0" w:type="dxa"/>
              <w:left w:w="0.0" w:type="dxa"/>
              <w:bottom w:w="137.0" w:type="dxa"/>
              <w:right w:w="137.0" w:type="dxa"/>
            </w:tcMar>
            <w:vAlign w:val="bottom"/>
          </w:tcPr>
          <w:p w:rsidR="00000000" w:rsidDel="00000000" w:rsidP="00000000" w:rsidRDefault="00000000" w:rsidRPr="00000000" w14:paraId="000000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24">
            <w:pPr>
              <w:rPr>
                <w:b w:val="1"/>
              </w:rPr>
            </w:pPr>
            <w:r w:rsidDel="00000000" w:rsidR="00000000" w:rsidRPr="00000000">
              <w:rPr>
                <w:b w:val="1"/>
                <w:rtl w:val="0"/>
              </w:rPr>
              <w:t xml:space="preserve">Finance Data</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0.0" w:type="dxa"/>
            </w:tcMar>
            <w:vAlign w:val="bottom"/>
          </w:tcPr>
          <w:p w:rsidR="00000000" w:rsidDel="00000000" w:rsidP="00000000" w:rsidRDefault="00000000" w:rsidRPr="00000000" w14:paraId="00000025">
            <w:pPr>
              <w:rPr>
                <w:b w:val="1"/>
              </w:rPr>
            </w:pPr>
            <w:r w:rsidDel="00000000" w:rsidR="00000000" w:rsidRPr="00000000">
              <w:rPr>
                <w:b w:val="1"/>
                <w:rtl w:val="0"/>
              </w:rPr>
              <w:t xml:space="preserve">Energy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26">
            <w:pPr>
              <w:jc w:val="center"/>
              <w:rPr/>
            </w:pPr>
            <w:r w:rsidDel="00000000" w:rsidR="00000000" w:rsidRPr="00000000">
              <w:rPr>
                <w:rtl w:val="0"/>
              </w:rPr>
              <w:t xml:space="preserve">Test Statistic</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27">
            <w:pPr>
              <w:rPr/>
            </w:pPr>
            <w:r w:rsidDel="00000000" w:rsidR="00000000" w:rsidRPr="00000000">
              <w:rPr>
                <w:rtl w:val="0"/>
              </w:rPr>
              <w:t xml:space="preserve">-3.149069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28">
            <w:pPr>
              <w:rPr/>
            </w:pPr>
            <w:r w:rsidDel="00000000" w:rsidR="00000000" w:rsidRPr="00000000">
              <w:rPr>
                <w:rtl w:val="0"/>
              </w:rPr>
              <w:t xml:space="preserve">-5.790398e+00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29">
            <w:pPr>
              <w:jc w:val="center"/>
              <w:rPr/>
            </w:pPr>
            <w:r w:rsidDel="00000000" w:rsidR="00000000" w:rsidRPr="00000000">
              <w:rPr>
                <w:rtl w:val="0"/>
              </w:rPr>
              <w:t xml:space="preserve">p-value</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2A">
            <w:pPr>
              <w:rPr/>
            </w:pPr>
            <w:r w:rsidDel="00000000" w:rsidR="00000000" w:rsidRPr="00000000">
              <w:rPr>
                <w:rtl w:val="0"/>
              </w:rPr>
              <w:t xml:space="preserve">0.023129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2B">
            <w:pPr>
              <w:rPr/>
            </w:pPr>
            <w:r w:rsidDel="00000000" w:rsidR="00000000" w:rsidRPr="00000000">
              <w:rPr>
                <w:rtl w:val="0"/>
              </w:rPr>
              <w:t xml:space="preserve">4.887578e-07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2C">
            <w:pPr>
              <w:jc w:val="center"/>
              <w:rPr/>
            </w:pPr>
            <w:r w:rsidDel="00000000" w:rsidR="00000000" w:rsidRPr="00000000">
              <w:rPr>
                <w:rtl w:val="0"/>
              </w:rPr>
              <w:t xml:space="preserve">#Lags Used</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2D">
            <w:pPr>
              <w:rPr/>
            </w:pPr>
            <w:r w:rsidDel="00000000" w:rsidR="00000000" w:rsidRPr="00000000">
              <w:rPr>
                <w:rtl w:val="0"/>
              </w:rPr>
              <w:t xml:space="preserve">16.000000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2E">
            <w:pPr>
              <w:rPr/>
            </w:pPr>
            <w:r w:rsidDel="00000000" w:rsidR="00000000" w:rsidRPr="00000000">
              <w:rPr>
                <w:rtl w:val="0"/>
              </w:rPr>
              <w:t xml:space="preserve">2.500000e+01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2F">
            <w:pPr>
              <w:jc w:val="center"/>
              <w:rPr/>
            </w:pPr>
            <w:r w:rsidDel="00000000" w:rsidR="00000000" w:rsidRPr="00000000">
              <w:rPr>
                <w:rtl w:val="0"/>
              </w:rPr>
              <w:t xml:space="preserve">Number of Observations Used</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30">
            <w:pPr>
              <w:rPr/>
            </w:pPr>
            <w:r w:rsidDel="00000000" w:rsidR="00000000" w:rsidRPr="00000000">
              <w:rPr>
                <w:rtl w:val="0"/>
              </w:rPr>
              <w:t xml:space="preserve">1025.000000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31">
            <w:pPr>
              <w:rPr/>
            </w:pPr>
            <w:r w:rsidDel="00000000" w:rsidR="00000000" w:rsidRPr="00000000">
              <w:rPr>
                <w:rtl w:val="0"/>
              </w:rPr>
              <w:t xml:space="preserve">5.207000e+03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32">
            <w:pPr>
              <w:jc w:val="center"/>
              <w:rPr/>
            </w:pPr>
            <w:r w:rsidDel="00000000" w:rsidR="00000000" w:rsidRPr="00000000">
              <w:rPr>
                <w:rtl w:val="0"/>
              </w:rPr>
              <w:t xml:space="preserve">Critical Value (1%)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33">
            <w:pPr>
              <w:rPr/>
            </w:pPr>
            <w:r w:rsidDel="00000000" w:rsidR="00000000" w:rsidRPr="00000000">
              <w:rPr>
                <w:rtl w:val="0"/>
              </w:rPr>
              <w:t xml:space="preserve">-3.436746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34">
            <w:pPr>
              <w:rPr/>
            </w:pPr>
            <w:r w:rsidDel="00000000" w:rsidR="00000000" w:rsidRPr="00000000">
              <w:rPr>
                <w:rtl w:val="0"/>
              </w:rPr>
              <w:t xml:space="preserve">-3.431606e+00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35">
            <w:pPr>
              <w:jc w:val="center"/>
              <w:rPr/>
            </w:pPr>
            <w:r w:rsidDel="00000000" w:rsidR="00000000" w:rsidRPr="00000000">
              <w:rPr>
                <w:rtl w:val="0"/>
              </w:rPr>
              <w:t xml:space="preserve">Critical Value (5%)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36">
            <w:pPr>
              <w:rPr/>
            </w:pPr>
            <w:r w:rsidDel="00000000" w:rsidR="00000000" w:rsidRPr="00000000">
              <w:rPr>
                <w:rtl w:val="0"/>
              </w:rPr>
              <w:t xml:space="preserve">-2.864364</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37">
            <w:pPr>
              <w:rPr/>
            </w:pPr>
            <w:r w:rsidDel="00000000" w:rsidR="00000000" w:rsidRPr="00000000">
              <w:rPr>
                <w:rtl w:val="0"/>
              </w:rPr>
              <w:t xml:space="preserve">-2.862095e+00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38">
            <w:pPr>
              <w:jc w:val="center"/>
              <w:rPr/>
            </w:pPr>
            <w:r w:rsidDel="00000000" w:rsidR="00000000" w:rsidRPr="00000000">
              <w:rPr>
                <w:rtl w:val="0"/>
              </w:rPr>
              <w:t xml:space="preserve">Critical Value (10%)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39">
            <w:pPr>
              <w:rPr/>
            </w:pPr>
            <w:r w:rsidDel="00000000" w:rsidR="00000000" w:rsidRPr="00000000">
              <w:rPr>
                <w:rtl w:val="0"/>
              </w:rPr>
              <w:t xml:space="preserve">-2.568274</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3A">
            <w:pPr>
              <w:rPr/>
            </w:pPr>
            <w:r w:rsidDel="00000000" w:rsidR="00000000" w:rsidRPr="00000000">
              <w:rPr>
                <w:rtl w:val="0"/>
              </w:rPr>
              <w:t xml:space="preserve">-2.567066e+00</w:t>
            </w:r>
          </w:p>
        </w:tc>
      </w:tr>
    </w:tbl>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pPr>
      <w:r w:rsidDel="00000000" w:rsidR="00000000" w:rsidRPr="00000000">
        <w:rPr>
          <w:b w:val="1"/>
          <w:sz w:val="24"/>
          <w:szCs w:val="24"/>
          <w:rtl w:val="0"/>
        </w:rPr>
        <w:t xml:space="preserve">Test Statistic:</w:t>
      </w:r>
      <w:r w:rsidDel="00000000" w:rsidR="00000000" w:rsidRPr="00000000">
        <w:rPr>
          <w:sz w:val="24"/>
          <w:szCs w:val="24"/>
          <w:rtl w:val="0"/>
        </w:rPr>
        <w:t xml:space="preserve"> The test statistic for finance data is -3.149069, while the test statistic for energy data is -5.790398e+00. A more negative test statistic indicates stronger evidence against the null hypothesis of a unit root.</w:t>
      </w:r>
    </w:p>
    <w:p w:rsidR="00000000" w:rsidDel="00000000" w:rsidP="00000000" w:rsidRDefault="00000000" w:rsidRPr="00000000" w14:paraId="0000003D">
      <w:pPr>
        <w:numPr>
          <w:ilvl w:val="0"/>
          <w:numId w:val="4"/>
        </w:numPr>
        <w:ind w:left="720" w:hanging="360"/>
        <w:jc w:val="both"/>
        <w:rPr/>
      </w:pPr>
      <w:r w:rsidDel="00000000" w:rsidR="00000000" w:rsidRPr="00000000">
        <w:rPr>
          <w:b w:val="1"/>
          <w:sz w:val="24"/>
          <w:szCs w:val="24"/>
          <w:rtl w:val="0"/>
        </w:rPr>
        <w:t xml:space="preserve">p-value:</w:t>
      </w:r>
      <w:r w:rsidDel="00000000" w:rsidR="00000000" w:rsidRPr="00000000">
        <w:rPr>
          <w:sz w:val="24"/>
          <w:szCs w:val="24"/>
          <w:rtl w:val="0"/>
        </w:rPr>
        <w:t xml:space="preserve"> The p-value for finance data is 0.023129, while the p-value for energy data is 4.887578e-07. A smaller p-value indicates stronger evidence against the null hypothesis.</w:t>
      </w:r>
    </w:p>
    <w:p w:rsidR="00000000" w:rsidDel="00000000" w:rsidP="00000000" w:rsidRDefault="00000000" w:rsidRPr="00000000" w14:paraId="0000003E">
      <w:pPr>
        <w:numPr>
          <w:ilvl w:val="0"/>
          <w:numId w:val="4"/>
        </w:numPr>
        <w:ind w:left="720" w:hanging="360"/>
        <w:jc w:val="both"/>
        <w:rPr/>
      </w:pPr>
      <w:r w:rsidDel="00000000" w:rsidR="00000000" w:rsidRPr="00000000">
        <w:rPr>
          <w:b w:val="1"/>
          <w:sz w:val="24"/>
          <w:szCs w:val="24"/>
          <w:rtl w:val="0"/>
        </w:rPr>
        <w:t xml:space="preserve">#Lags Used:</w:t>
      </w:r>
      <w:r w:rsidDel="00000000" w:rsidR="00000000" w:rsidRPr="00000000">
        <w:rPr>
          <w:sz w:val="24"/>
          <w:szCs w:val="24"/>
          <w:rtl w:val="0"/>
        </w:rPr>
        <w:t xml:space="preserve"> The number of lags used for finance data is 16.000000, while the number of lags used for energy data is 2.500000e+01. The number of lags used can affect the power of the test, and is typically chosen based on the Akaike information criterion (AIC) or the Bayesian information criterion (BIC).</w:t>
      </w:r>
    </w:p>
    <w:p w:rsidR="00000000" w:rsidDel="00000000" w:rsidP="00000000" w:rsidRDefault="00000000" w:rsidRPr="00000000" w14:paraId="0000003F">
      <w:pPr>
        <w:numPr>
          <w:ilvl w:val="0"/>
          <w:numId w:val="4"/>
        </w:numPr>
        <w:ind w:left="720" w:hanging="360"/>
        <w:jc w:val="both"/>
        <w:rPr/>
      </w:pPr>
      <w:r w:rsidDel="00000000" w:rsidR="00000000" w:rsidRPr="00000000">
        <w:rPr>
          <w:b w:val="1"/>
          <w:sz w:val="24"/>
          <w:szCs w:val="24"/>
          <w:rtl w:val="0"/>
        </w:rPr>
        <w:t xml:space="preserve">Number of Observations Used:</w:t>
      </w:r>
      <w:r w:rsidDel="00000000" w:rsidR="00000000" w:rsidRPr="00000000">
        <w:rPr>
          <w:sz w:val="24"/>
          <w:szCs w:val="24"/>
          <w:rtl w:val="0"/>
        </w:rPr>
        <w:t xml:space="preserve"> The number of observations used for finance data is 1025.000000, while the number of observations used for energy data is 5.207000e+03. The power of the test increases with the number of observations used.</w:t>
      </w:r>
    </w:p>
    <w:p w:rsidR="00000000" w:rsidDel="00000000" w:rsidP="00000000" w:rsidRDefault="00000000" w:rsidRPr="00000000" w14:paraId="00000040">
      <w:pPr>
        <w:numPr>
          <w:ilvl w:val="0"/>
          <w:numId w:val="4"/>
        </w:numPr>
        <w:ind w:left="720" w:hanging="360"/>
        <w:jc w:val="both"/>
        <w:rPr/>
      </w:pPr>
      <w:r w:rsidDel="00000000" w:rsidR="00000000" w:rsidRPr="00000000">
        <w:rPr>
          <w:b w:val="1"/>
          <w:sz w:val="24"/>
          <w:szCs w:val="24"/>
          <w:rtl w:val="0"/>
        </w:rPr>
        <w:t xml:space="preserve">Critical Value (1%):</w:t>
      </w:r>
      <w:r w:rsidDel="00000000" w:rsidR="00000000" w:rsidRPr="00000000">
        <w:rPr>
          <w:sz w:val="24"/>
          <w:szCs w:val="24"/>
          <w:rtl w:val="0"/>
        </w:rPr>
        <w:t xml:space="preserve"> The critical value at the 1% significance level for finance data is -3.436746, while the critical value for energy data is -3.431606e+00. If the test statistic is less than the critical value, we can reject the null hypothesis at the specified significance level.</w:t>
      </w:r>
    </w:p>
    <w:p w:rsidR="00000000" w:rsidDel="00000000" w:rsidP="00000000" w:rsidRDefault="00000000" w:rsidRPr="00000000" w14:paraId="00000041">
      <w:pPr>
        <w:numPr>
          <w:ilvl w:val="0"/>
          <w:numId w:val="4"/>
        </w:numPr>
        <w:ind w:left="720" w:hanging="360"/>
        <w:jc w:val="both"/>
        <w:rPr/>
      </w:pPr>
      <w:r w:rsidDel="00000000" w:rsidR="00000000" w:rsidRPr="00000000">
        <w:rPr>
          <w:b w:val="1"/>
          <w:sz w:val="24"/>
          <w:szCs w:val="24"/>
          <w:rtl w:val="0"/>
        </w:rPr>
        <w:t xml:space="preserve">Critical Value (5%):</w:t>
      </w:r>
      <w:r w:rsidDel="00000000" w:rsidR="00000000" w:rsidRPr="00000000">
        <w:rPr>
          <w:sz w:val="24"/>
          <w:szCs w:val="24"/>
          <w:rtl w:val="0"/>
        </w:rPr>
        <w:t xml:space="preserve"> The critical value at the 5% significance level for finance data is -2.864364, while the critical value for energy data is -2.862095e+00.</w:t>
      </w:r>
    </w:p>
    <w:p w:rsidR="00000000" w:rsidDel="00000000" w:rsidP="00000000" w:rsidRDefault="00000000" w:rsidRPr="00000000" w14:paraId="00000042">
      <w:pPr>
        <w:numPr>
          <w:ilvl w:val="0"/>
          <w:numId w:val="4"/>
        </w:numPr>
        <w:ind w:left="720" w:hanging="360"/>
        <w:jc w:val="both"/>
        <w:rPr/>
      </w:pPr>
      <w:r w:rsidDel="00000000" w:rsidR="00000000" w:rsidRPr="00000000">
        <w:rPr>
          <w:b w:val="1"/>
          <w:sz w:val="24"/>
          <w:szCs w:val="24"/>
          <w:rtl w:val="0"/>
        </w:rPr>
        <w:t xml:space="preserve">Critical Value (10%):</w:t>
      </w:r>
      <w:r w:rsidDel="00000000" w:rsidR="00000000" w:rsidRPr="00000000">
        <w:rPr>
          <w:sz w:val="24"/>
          <w:szCs w:val="24"/>
          <w:rtl w:val="0"/>
        </w:rPr>
        <w:t xml:space="preserve"> The critical value at the 10% significance level for finance data is -2.568274, while the critical value for energy data is -2.567066e+00.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ANN Model:</w:t>
      </w:r>
    </w:p>
    <w:tbl>
      <w:tblPr>
        <w:tblStyle w:val="Table2"/>
        <w:tblW w:w="9216.0" w:type="dxa"/>
        <w:jc w:val="left"/>
        <w:tblInd w:w="95.0" w:type="dxa"/>
        <w:tblBorders>
          <w:top w:color="000000" w:space="0" w:sz="4" w:val="single"/>
          <w:left w:color="000000" w:space="0" w:sz="4" w:val="single"/>
          <w:bottom w:color="000000" w:space="0" w:sz="4" w:val="single"/>
          <w:right w:color="000000" w:space="0" w:sz="4" w:val="single"/>
        </w:tblBorders>
        <w:tblLayout w:type="fixed"/>
        <w:tblLook w:val="0400"/>
      </w:tblPr>
      <w:tblGrid>
        <w:gridCol w:w="913"/>
        <w:gridCol w:w="1440"/>
        <w:gridCol w:w="1440"/>
        <w:gridCol w:w="1422"/>
        <w:gridCol w:w="1422"/>
        <w:gridCol w:w="1358"/>
        <w:gridCol w:w="1221"/>
        <w:tblGridChange w:id="0">
          <w:tblGrid>
            <w:gridCol w:w="913"/>
            <w:gridCol w:w="1440"/>
            <w:gridCol w:w="1440"/>
            <w:gridCol w:w="1422"/>
            <w:gridCol w:w="1422"/>
            <w:gridCol w:w="1358"/>
            <w:gridCol w:w="1221"/>
          </w:tblGrid>
        </w:tblGridChange>
      </w:tblGrid>
      <w:tr>
        <w:trPr>
          <w:cantSplit w:val="0"/>
          <w:trHeight w:val="220" w:hRule="atLeast"/>
          <w:tblHeader w:val="1"/>
        </w:trPr>
        <w:tc>
          <w:tcPr>
            <w:tcBorders>
              <w:top w:color="000000" w:space="0" w:sz="4" w:val="single"/>
              <w:left w:color="000000" w:space="0" w:sz="4" w:val="single"/>
              <w:bottom w:color="000000" w:space="0" w:sz="4" w:val="single"/>
              <w:right w:color="000000" w:space="0" w:sz="4" w:val="single"/>
            </w:tcBorders>
            <w:tcMar>
              <w:top w:w="15.0" w:type="dxa"/>
              <w:left w:w="0.0" w:type="dxa"/>
              <w:bottom w:w="137.0" w:type="dxa"/>
              <w:right w:w="137.0" w:type="dxa"/>
            </w:tcMar>
            <w:vAlign w:val="bottom"/>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46">
            <w:pPr>
              <w:spacing w:after="480" w:before="480" w:line="240" w:lineRule="auto"/>
              <w:jc w:val="center"/>
              <w:rPr>
                <w:rFonts w:ascii="Arial" w:cs="Arial" w:eastAsia="Arial" w:hAnsi="Arial"/>
                <w:b w:val="1"/>
                <w:color w:val="374151"/>
                <w:sz w:val="21"/>
                <w:szCs w:val="21"/>
              </w:rPr>
            </w:pPr>
            <w:r w:rsidDel="00000000" w:rsidR="00000000" w:rsidRPr="00000000">
              <w:rPr>
                <w:rFonts w:ascii="Arial" w:cs="Arial" w:eastAsia="Arial" w:hAnsi="Arial"/>
                <w:b w:val="1"/>
                <w:color w:val="374151"/>
                <w:sz w:val="21"/>
                <w:szCs w:val="21"/>
                <w:rtl w:val="0"/>
              </w:rPr>
              <w:t xml:space="preserve">Finance Data Model 1</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47">
            <w:pPr>
              <w:spacing w:after="480" w:before="480" w:line="240" w:lineRule="auto"/>
              <w:jc w:val="center"/>
              <w:rPr>
                <w:rFonts w:ascii="Arial" w:cs="Arial" w:eastAsia="Arial" w:hAnsi="Arial"/>
                <w:b w:val="1"/>
                <w:color w:val="374151"/>
                <w:sz w:val="21"/>
                <w:szCs w:val="21"/>
              </w:rPr>
            </w:pPr>
            <w:r w:rsidDel="00000000" w:rsidR="00000000" w:rsidRPr="00000000">
              <w:rPr>
                <w:rFonts w:ascii="Arial" w:cs="Arial" w:eastAsia="Arial" w:hAnsi="Arial"/>
                <w:b w:val="1"/>
                <w:color w:val="374151"/>
                <w:sz w:val="21"/>
                <w:szCs w:val="21"/>
                <w:rtl w:val="0"/>
              </w:rPr>
              <w:t xml:space="preserve">Finance Data Model 2</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48">
            <w:pPr>
              <w:spacing w:after="480" w:before="480" w:line="240" w:lineRule="auto"/>
              <w:jc w:val="center"/>
              <w:rPr>
                <w:rFonts w:ascii="Arial" w:cs="Arial" w:eastAsia="Arial" w:hAnsi="Arial"/>
                <w:b w:val="1"/>
                <w:color w:val="374151"/>
                <w:sz w:val="21"/>
                <w:szCs w:val="21"/>
              </w:rPr>
            </w:pPr>
            <w:r w:rsidDel="00000000" w:rsidR="00000000" w:rsidRPr="00000000">
              <w:rPr>
                <w:rFonts w:ascii="Arial" w:cs="Arial" w:eastAsia="Arial" w:hAnsi="Arial"/>
                <w:b w:val="1"/>
                <w:color w:val="374151"/>
                <w:sz w:val="21"/>
                <w:szCs w:val="21"/>
                <w:rtl w:val="0"/>
              </w:rPr>
              <w:t xml:space="preserve">Energy Data Model 1</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49">
            <w:pPr>
              <w:spacing w:after="480" w:before="480" w:line="240" w:lineRule="auto"/>
              <w:jc w:val="center"/>
              <w:rPr>
                <w:rFonts w:ascii="Arial" w:cs="Arial" w:eastAsia="Arial" w:hAnsi="Arial"/>
                <w:b w:val="1"/>
                <w:color w:val="374151"/>
                <w:sz w:val="21"/>
                <w:szCs w:val="21"/>
              </w:rPr>
            </w:pPr>
            <w:r w:rsidDel="00000000" w:rsidR="00000000" w:rsidRPr="00000000">
              <w:rPr>
                <w:rFonts w:ascii="Arial" w:cs="Arial" w:eastAsia="Arial" w:hAnsi="Arial"/>
                <w:b w:val="1"/>
                <w:color w:val="374151"/>
                <w:sz w:val="21"/>
                <w:szCs w:val="21"/>
                <w:rtl w:val="0"/>
              </w:rPr>
              <w:t xml:space="preserve">Energy Data Model 2</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4A">
            <w:pPr>
              <w:spacing w:after="480" w:before="480" w:line="240" w:lineRule="auto"/>
              <w:jc w:val="center"/>
              <w:rPr>
                <w:rFonts w:ascii="Arial" w:cs="Arial" w:eastAsia="Arial" w:hAnsi="Arial"/>
                <w:b w:val="1"/>
                <w:color w:val="374151"/>
                <w:sz w:val="21"/>
                <w:szCs w:val="21"/>
              </w:rPr>
            </w:pPr>
            <w:r w:rsidDel="00000000" w:rsidR="00000000" w:rsidRPr="00000000">
              <w:rPr>
                <w:rFonts w:ascii="Arial" w:cs="Arial" w:eastAsia="Arial" w:hAnsi="Arial"/>
                <w:b w:val="1"/>
                <w:color w:val="374151"/>
                <w:sz w:val="21"/>
                <w:szCs w:val="21"/>
                <w:rtl w:val="0"/>
              </w:rPr>
              <w:t xml:space="preserve">CO2 Data Model 1</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0.0" w:type="dxa"/>
            </w:tcMar>
            <w:vAlign w:val="bottom"/>
          </w:tcPr>
          <w:p w:rsidR="00000000" w:rsidDel="00000000" w:rsidP="00000000" w:rsidRDefault="00000000" w:rsidRPr="00000000" w14:paraId="0000004B">
            <w:pPr>
              <w:spacing w:after="480" w:before="480" w:line="240" w:lineRule="auto"/>
              <w:jc w:val="center"/>
              <w:rPr>
                <w:rFonts w:ascii="Arial" w:cs="Arial" w:eastAsia="Arial" w:hAnsi="Arial"/>
                <w:b w:val="1"/>
                <w:color w:val="374151"/>
                <w:sz w:val="21"/>
                <w:szCs w:val="21"/>
              </w:rPr>
            </w:pPr>
            <w:r w:rsidDel="00000000" w:rsidR="00000000" w:rsidRPr="00000000">
              <w:rPr>
                <w:rFonts w:ascii="Arial" w:cs="Arial" w:eastAsia="Arial" w:hAnsi="Arial"/>
                <w:b w:val="1"/>
                <w:color w:val="374151"/>
                <w:sz w:val="21"/>
                <w:szCs w:val="21"/>
                <w:rtl w:val="0"/>
              </w:rPr>
              <w:t xml:space="preserve">CO2 Data Model 2</w:t>
            </w:r>
          </w:p>
        </w:tc>
      </w:tr>
      <w:tr>
        <w:trPr>
          <w:cantSplit w:val="0"/>
          <w:trHeight w:val="185"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4C">
            <w:pPr>
              <w:spacing w:after="480" w:before="480" w:line="240" w:lineRule="auto"/>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MAE</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4D">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0.042559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4E">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0.075724</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4F">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0.017010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0">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0.007755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1">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0.100225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52">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0.101900</w:t>
            </w:r>
          </w:p>
        </w:tc>
      </w:tr>
      <w:tr>
        <w:trPr>
          <w:cantSplit w:val="0"/>
          <w:trHeight w:val="184"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53">
            <w:pPr>
              <w:spacing w:after="480" w:before="480" w:line="240" w:lineRule="auto"/>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RMSE</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4">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0.205263</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5">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0.176709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6">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0.017845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7">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0.012329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8">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0.129210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59">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0.127992</w:t>
            </w:r>
          </w:p>
        </w:tc>
      </w:tr>
      <w:tr>
        <w:trPr>
          <w:cantSplit w:val="0"/>
          <w:trHeight w:val="185"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5A">
            <w:pPr>
              <w:spacing w:after="480" w:before="480" w:line="240" w:lineRule="auto"/>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MSE</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B">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0.042133</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C">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0.031226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D">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0.000318</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E">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0.000152</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5F">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0.016695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60">
            <w:pPr>
              <w:spacing w:after="480" w:before="480" w:line="240" w:lineRule="auto"/>
              <w:jc w:val="center"/>
              <w:rPr>
                <w:rFonts w:ascii="Arial" w:cs="Arial" w:eastAsia="Arial" w:hAnsi="Arial"/>
                <w:color w:val="374151"/>
                <w:sz w:val="21"/>
                <w:szCs w:val="21"/>
              </w:rPr>
            </w:pPr>
            <w:r w:rsidDel="00000000" w:rsidR="00000000" w:rsidRPr="00000000">
              <w:rPr>
                <w:rFonts w:ascii="Arial" w:cs="Arial" w:eastAsia="Arial" w:hAnsi="Arial"/>
                <w:color w:val="374151"/>
                <w:sz w:val="21"/>
                <w:szCs w:val="21"/>
                <w:rtl w:val="0"/>
              </w:rPr>
              <w:t xml:space="preserve">0.016382</w:t>
            </w:r>
          </w:p>
        </w:tc>
      </w:tr>
    </w:tbl>
    <w:p w:rsidR="00000000" w:rsidDel="00000000" w:rsidP="00000000" w:rsidRDefault="00000000" w:rsidRPr="00000000" w14:paraId="00000061">
      <w:pPr>
        <w:rPr>
          <w:rFonts w:ascii="Arial" w:cs="Arial" w:eastAsia="Arial" w:hAnsi="Arial"/>
          <w:b w:val="1"/>
          <w:color w:val="374151"/>
          <w:sz w:val="24"/>
          <w:szCs w:val="24"/>
        </w:rPr>
      </w:pPr>
      <w:r w:rsidDel="00000000" w:rsidR="00000000" w:rsidRPr="00000000">
        <w:rPr>
          <w:rtl w:val="0"/>
        </w:rPr>
      </w:r>
    </w:p>
    <w:p w:rsidR="00000000" w:rsidDel="00000000" w:rsidP="00000000" w:rsidRDefault="00000000" w:rsidRPr="00000000" w14:paraId="00000062">
      <w:pPr>
        <w:numPr>
          <w:ilvl w:val="0"/>
          <w:numId w:val="8"/>
        </w:numPr>
        <w:spacing w:line="360" w:lineRule="auto"/>
        <w:ind w:left="720" w:hanging="360"/>
        <w:jc w:val="both"/>
        <w:rPr/>
      </w:pPr>
      <w:r w:rsidDel="00000000" w:rsidR="00000000" w:rsidRPr="00000000">
        <w:rPr>
          <w:b w:val="1"/>
          <w:sz w:val="24"/>
          <w:szCs w:val="24"/>
          <w:rtl w:val="0"/>
        </w:rPr>
        <w:t xml:space="preserve">Finance Data:</w:t>
      </w:r>
      <w:r w:rsidDel="00000000" w:rsidR="00000000" w:rsidRPr="00000000">
        <w:rPr>
          <w:sz w:val="24"/>
          <w:szCs w:val="24"/>
          <w:rtl w:val="0"/>
        </w:rPr>
        <w:t xml:space="preserve"> Model 1 has a lower MAE (0.0426) and RMSE (0.2053) than Model 2 (MAE: 0.0757, RMSE: 0.1767), indicating that Model 1 has a better fit for finance data. However, Model 2 has a lower MSE (0.0312) than Model 1 (0.0421), suggesting that Model 2 has a better precision.</w:t>
      </w:r>
    </w:p>
    <w:p w:rsidR="00000000" w:rsidDel="00000000" w:rsidP="00000000" w:rsidRDefault="00000000" w:rsidRPr="00000000" w14:paraId="00000063">
      <w:pPr>
        <w:numPr>
          <w:ilvl w:val="0"/>
          <w:numId w:val="8"/>
        </w:numPr>
        <w:spacing w:line="360" w:lineRule="auto"/>
        <w:ind w:left="720" w:hanging="360"/>
        <w:jc w:val="both"/>
        <w:rPr/>
      </w:pPr>
      <w:r w:rsidDel="00000000" w:rsidR="00000000" w:rsidRPr="00000000">
        <w:rPr>
          <w:b w:val="1"/>
          <w:sz w:val="24"/>
          <w:szCs w:val="24"/>
          <w:rtl w:val="0"/>
        </w:rPr>
        <w:t xml:space="preserve">Energy Data:</w:t>
      </w:r>
      <w:r w:rsidDel="00000000" w:rsidR="00000000" w:rsidRPr="00000000">
        <w:rPr>
          <w:sz w:val="24"/>
          <w:szCs w:val="24"/>
          <w:rtl w:val="0"/>
        </w:rPr>
        <w:t xml:space="preserve"> Model 1 has a higher MAE (0.0170) and RMSE (0.0178) than Model 2 (MAE: 0.0078, RMSE: 0.0123), indicating that Model 2 has a better fit for energy data. Both models have similar MSE (Model 1: 0.000318, Model 2: 0.000152), suggesting that both models have similar precision.</w:t>
      </w:r>
    </w:p>
    <w:p w:rsidR="00000000" w:rsidDel="00000000" w:rsidP="00000000" w:rsidRDefault="00000000" w:rsidRPr="00000000" w14:paraId="00000064">
      <w:pPr>
        <w:numPr>
          <w:ilvl w:val="0"/>
          <w:numId w:val="8"/>
        </w:numPr>
        <w:spacing w:line="360" w:lineRule="auto"/>
        <w:ind w:left="720" w:hanging="360"/>
        <w:jc w:val="both"/>
        <w:rPr/>
      </w:pPr>
      <w:r w:rsidDel="00000000" w:rsidR="00000000" w:rsidRPr="00000000">
        <w:rPr>
          <w:b w:val="1"/>
          <w:sz w:val="24"/>
          <w:szCs w:val="24"/>
          <w:rtl w:val="0"/>
        </w:rPr>
        <w:t xml:space="preserve">CO2 Data:</w:t>
      </w:r>
      <w:r w:rsidDel="00000000" w:rsidR="00000000" w:rsidRPr="00000000">
        <w:rPr>
          <w:sz w:val="24"/>
          <w:szCs w:val="24"/>
          <w:rtl w:val="0"/>
        </w:rPr>
        <w:t xml:space="preserve"> Model 1 has a lower MAE (0.1002) and RMSE (0.1292) than Model 2 (MAE: 0.1019, RMSE: 0.1280), indicating that Model 1 has a better fit for CO2 data. However, Model 2 has a lower MSE (0.01638) than Model 1 (0.01670), suggesting that Model 2 has a better precision.</w:t>
      </w:r>
    </w:p>
    <w:p w:rsidR="00000000" w:rsidDel="00000000" w:rsidP="00000000" w:rsidRDefault="00000000" w:rsidRPr="00000000" w14:paraId="00000065">
      <w:pPr>
        <w:pStyle w:val="Heading1"/>
        <w:rPr/>
      </w:pPr>
      <w:r w:rsidDel="00000000" w:rsidR="00000000" w:rsidRPr="00000000">
        <w:rPr>
          <w:rtl w:val="0"/>
        </w:rPr>
        <w:t xml:space="preserve">SARIMA Model:</w:t>
      </w:r>
    </w:p>
    <w:p w:rsidR="00000000" w:rsidDel="00000000" w:rsidP="00000000" w:rsidRDefault="00000000" w:rsidRPr="00000000" w14:paraId="00000066">
      <w:pPr>
        <w:rPr/>
      </w:pPr>
      <w:r w:rsidDel="00000000" w:rsidR="00000000" w:rsidRPr="00000000">
        <w:rPr>
          <w:rtl w:val="0"/>
        </w:rPr>
      </w:r>
    </w:p>
    <w:tbl>
      <w:tblPr>
        <w:tblStyle w:val="Table3"/>
        <w:tblW w:w="964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5686"/>
        <w:gridCol w:w="1446"/>
        <w:gridCol w:w="1366"/>
        <w:gridCol w:w="1149"/>
        <w:tblGridChange w:id="0">
          <w:tblGrid>
            <w:gridCol w:w="5686"/>
            <w:gridCol w:w="1446"/>
            <w:gridCol w:w="1366"/>
            <w:gridCol w:w="1149"/>
          </w:tblGrid>
        </w:tblGridChange>
      </w:tblGrid>
      <w:tr>
        <w:trPr>
          <w:cantSplit w:val="0"/>
          <w:trHeight w:val="438" w:hRule="atLeast"/>
          <w:tblHeader w:val="1"/>
        </w:trPr>
        <w:tc>
          <w:tcPr>
            <w:tcBorders>
              <w:top w:color="000000" w:space="0" w:sz="4" w:val="single"/>
              <w:left w:color="000000" w:space="0" w:sz="4" w:val="single"/>
              <w:bottom w:color="000000" w:space="0" w:sz="4" w:val="single"/>
              <w:right w:color="000000" w:space="0" w:sz="4" w:val="single"/>
            </w:tcBorders>
            <w:tcMar>
              <w:top w:w="15.0" w:type="dxa"/>
              <w:left w:w="0.0" w:type="dxa"/>
              <w:bottom w:w="137.0" w:type="dxa"/>
              <w:right w:w="137.0" w:type="dxa"/>
            </w:tcMar>
            <w:vAlign w:val="bottom"/>
          </w:tcPr>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Explanation:</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68">
            <w:pPr>
              <w:rPr>
                <w:b w:val="1"/>
              </w:rPr>
            </w:pPr>
            <w:r w:rsidDel="00000000" w:rsidR="00000000" w:rsidRPr="00000000">
              <w:rPr>
                <w:b w:val="1"/>
                <w:rtl w:val="0"/>
              </w:rPr>
              <w:t xml:space="preserve">Finance Data</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69">
            <w:pPr>
              <w:rPr>
                <w:b w:val="1"/>
              </w:rPr>
            </w:pPr>
            <w:r w:rsidDel="00000000" w:rsidR="00000000" w:rsidRPr="00000000">
              <w:rPr>
                <w:b w:val="1"/>
                <w:rtl w:val="0"/>
              </w:rPr>
              <w:t xml:space="preserve">Energy Data</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0.0" w:type="dxa"/>
            </w:tcMar>
            <w:vAlign w:val="bottom"/>
          </w:tcPr>
          <w:p w:rsidR="00000000" w:rsidDel="00000000" w:rsidP="00000000" w:rsidRDefault="00000000" w:rsidRPr="00000000" w14:paraId="0000006A">
            <w:pPr>
              <w:rPr>
                <w:b w:val="1"/>
              </w:rPr>
            </w:pPr>
            <w:r w:rsidDel="00000000" w:rsidR="00000000" w:rsidRPr="00000000">
              <w:rPr>
                <w:b w:val="1"/>
                <w:rtl w:val="0"/>
              </w:rPr>
              <w:t xml:space="preserve">CO2 Data</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6B">
            <w:pPr>
              <w:rPr/>
            </w:pPr>
            <w:r w:rsidDel="00000000" w:rsidR="00000000" w:rsidRPr="00000000">
              <w:rPr>
                <w:rtl w:val="0"/>
              </w:rPr>
              <w:t xml:space="preserve">Dickey-Fuller Test Statistic</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6C">
            <w:pPr>
              <w:rPr/>
            </w:pPr>
            <w:r w:rsidDel="00000000" w:rsidR="00000000" w:rsidRPr="00000000">
              <w:rPr>
                <w:rtl w:val="0"/>
              </w:rPr>
              <w:t xml:space="preserve">-3.1491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6D">
            <w:pPr>
              <w:rPr/>
            </w:pPr>
            <w:r w:rsidDel="00000000" w:rsidR="00000000" w:rsidRPr="00000000">
              <w:rPr>
                <w:rtl w:val="0"/>
              </w:rPr>
              <w:t xml:space="preserve">-5.7904</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6E">
            <w:pPr>
              <w:rPr/>
            </w:pPr>
            <w:r w:rsidDel="00000000" w:rsidR="00000000" w:rsidRPr="00000000">
              <w:rPr>
                <w:rtl w:val="0"/>
              </w:rPr>
              <w:t xml:space="preserve">-2.7496</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6F">
            <w:pPr>
              <w:rPr/>
            </w:pPr>
            <w:r w:rsidDel="00000000" w:rsidR="00000000" w:rsidRPr="00000000">
              <w:rPr>
                <w:rtl w:val="0"/>
              </w:rPr>
              <w:t xml:space="preserve">Dickey-Fuller Test p-value</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70">
            <w:pPr>
              <w:rPr/>
            </w:pPr>
            <w:r w:rsidDel="00000000" w:rsidR="00000000" w:rsidRPr="00000000">
              <w:rPr>
                <w:rtl w:val="0"/>
              </w:rPr>
              <w:t xml:space="preserve">0.0231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71">
            <w:pPr>
              <w:rPr/>
            </w:pPr>
            <w:r w:rsidDel="00000000" w:rsidR="00000000" w:rsidRPr="00000000">
              <w:rPr>
                <w:rtl w:val="0"/>
              </w:rPr>
              <w:t xml:space="preserve">4.8876e-07</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72">
            <w:pPr>
              <w:rPr/>
            </w:pPr>
            <w:r w:rsidDel="00000000" w:rsidR="00000000" w:rsidRPr="00000000">
              <w:rPr>
                <w:rtl w:val="0"/>
              </w:rPr>
              <w:t xml:space="preserve">0.0658</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73">
            <w:pPr>
              <w:rPr/>
            </w:pPr>
            <w:r w:rsidDel="00000000" w:rsidR="00000000" w:rsidRPr="00000000">
              <w:rPr>
                <w:rtl w:val="0"/>
              </w:rPr>
              <w:t xml:space="preserve">Dickey-Fuller Test #Lags Used</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74">
            <w:pPr>
              <w:rPr/>
            </w:pPr>
            <w:r w:rsidDel="00000000" w:rsidR="00000000" w:rsidRPr="00000000">
              <w:rPr>
                <w:rtl w:val="0"/>
              </w:rPr>
              <w:t xml:space="preserve">16.0000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75">
            <w:pPr>
              <w:rPr/>
            </w:pPr>
            <w:r w:rsidDel="00000000" w:rsidR="00000000" w:rsidRPr="00000000">
              <w:rPr>
                <w:rtl w:val="0"/>
              </w:rPr>
              <w:t xml:space="preserve">25.0000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76">
            <w:pPr>
              <w:rPr/>
            </w:pPr>
            <w:r w:rsidDel="00000000" w:rsidR="00000000" w:rsidRPr="00000000">
              <w:rPr>
                <w:rtl w:val="0"/>
              </w:rPr>
              <w:t xml:space="preserve">37.0000</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77">
            <w:pPr>
              <w:rPr/>
            </w:pPr>
            <w:r w:rsidDel="00000000" w:rsidR="00000000" w:rsidRPr="00000000">
              <w:rPr>
                <w:rtl w:val="0"/>
              </w:rPr>
              <w:t xml:space="preserve">Dickey-Fuller Test Critical Value (1%)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78">
            <w:pPr>
              <w:rPr/>
            </w:pPr>
            <w:r w:rsidDel="00000000" w:rsidR="00000000" w:rsidRPr="00000000">
              <w:rPr>
                <w:rtl w:val="0"/>
              </w:rPr>
              <w:t xml:space="preserve">-3.4367</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79">
            <w:pPr>
              <w:rPr/>
            </w:pPr>
            <w:r w:rsidDel="00000000" w:rsidR="00000000" w:rsidRPr="00000000">
              <w:rPr>
                <w:rtl w:val="0"/>
              </w:rPr>
              <w:t xml:space="preserve">-3.4316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7A">
            <w:pPr>
              <w:rPr/>
            </w:pPr>
            <w:r w:rsidDel="00000000" w:rsidR="00000000" w:rsidRPr="00000000">
              <w:rPr>
                <w:rtl w:val="0"/>
              </w:rPr>
              <w:t xml:space="preserve">-3.4310</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7B">
            <w:pPr>
              <w:rPr/>
            </w:pPr>
            <w:r w:rsidDel="00000000" w:rsidR="00000000" w:rsidRPr="00000000">
              <w:rPr>
                <w:rtl w:val="0"/>
              </w:rPr>
              <w:t xml:space="preserve">Dickey-Fuller Test Critical Value (5%)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7C">
            <w:pPr>
              <w:rPr/>
            </w:pPr>
            <w:r w:rsidDel="00000000" w:rsidR="00000000" w:rsidRPr="00000000">
              <w:rPr>
                <w:rtl w:val="0"/>
              </w:rPr>
              <w:t xml:space="preserve">-2.8644</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7D">
            <w:pPr>
              <w:rPr/>
            </w:pPr>
            <w:r w:rsidDel="00000000" w:rsidR="00000000" w:rsidRPr="00000000">
              <w:rPr>
                <w:rtl w:val="0"/>
              </w:rPr>
              <w:t xml:space="preserve">-2.8621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7E">
            <w:pPr>
              <w:rPr/>
            </w:pPr>
            <w:r w:rsidDel="00000000" w:rsidR="00000000" w:rsidRPr="00000000">
              <w:rPr>
                <w:rtl w:val="0"/>
              </w:rPr>
              <w:t xml:space="preserve">-2.8618</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7F">
            <w:pPr>
              <w:rPr/>
            </w:pPr>
            <w:r w:rsidDel="00000000" w:rsidR="00000000" w:rsidRPr="00000000">
              <w:rPr>
                <w:rtl w:val="0"/>
              </w:rPr>
              <w:t xml:space="preserve">Dickey-Fuller Test Critical Value (10%)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80">
            <w:pPr>
              <w:rPr/>
            </w:pPr>
            <w:r w:rsidDel="00000000" w:rsidR="00000000" w:rsidRPr="00000000">
              <w:rPr>
                <w:rtl w:val="0"/>
              </w:rPr>
              <w:t xml:space="preserve">-2.5683</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81">
            <w:pPr>
              <w:rPr/>
            </w:pPr>
            <w:r w:rsidDel="00000000" w:rsidR="00000000" w:rsidRPr="00000000">
              <w:rPr>
                <w:rtl w:val="0"/>
              </w:rPr>
              <w:t xml:space="preserve">-2.5671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82">
            <w:pPr>
              <w:rPr/>
            </w:pPr>
            <w:r w:rsidDel="00000000" w:rsidR="00000000" w:rsidRPr="00000000">
              <w:rPr>
                <w:rtl w:val="0"/>
              </w:rPr>
              <w:t xml:space="preserve">-2.5669</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83">
            <w:pPr>
              <w:rPr/>
            </w:pPr>
            <w:r w:rsidDel="00000000" w:rsidR="00000000" w:rsidRPr="00000000">
              <w:rPr>
                <w:rtl w:val="0"/>
              </w:rPr>
              <w:t xml:space="preserve">ADF Test Results after seasonal differencing Test Statistic</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84">
            <w:pPr>
              <w:rPr/>
            </w:pPr>
            <w:r w:rsidDel="00000000" w:rsidR="00000000" w:rsidRPr="00000000">
              <w:rPr>
                <w:rtl w:val="0"/>
              </w:rPr>
              <w:t xml:space="preserve">-7.5145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85">
            <w:pPr>
              <w:rPr/>
            </w:pPr>
            <w:r w:rsidDel="00000000" w:rsidR="00000000" w:rsidRPr="00000000">
              <w:rPr>
                <w:rtl w:val="0"/>
              </w:rPr>
              <w:t xml:space="preserve">-24.1519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86">
            <w:pPr>
              <w:rPr/>
            </w:pPr>
            <w:r w:rsidDel="00000000" w:rsidR="00000000" w:rsidRPr="00000000">
              <w:rPr>
                <w:rtl w:val="0"/>
              </w:rPr>
              <w:t xml:space="preserve">-</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87">
            <w:pPr>
              <w:rPr/>
            </w:pPr>
            <w:r w:rsidDel="00000000" w:rsidR="00000000" w:rsidRPr="00000000">
              <w:rPr>
                <w:rtl w:val="0"/>
              </w:rPr>
              <w:t xml:space="preserve">ADF Test Results after seasonal differencing p-value</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88">
            <w:pPr>
              <w:rPr/>
            </w:pPr>
            <w:r w:rsidDel="00000000" w:rsidR="00000000" w:rsidRPr="00000000">
              <w:rPr>
                <w:rtl w:val="0"/>
              </w:rPr>
              <w:t xml:space="preserve">3.9349e-11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89">
            <w:pPr>
              <w:rPr/>
            </w:pPr>
            <w:r w:rsidDel="00000000" w:rsidR="00000000" w:rsidRPr="00000000">
              <w:rPr>
                <w:rtl w:val="0"/>
              </w:rPr>
              <w:t xml:space="preserve">0.0000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8A">
            <w:pPr>
              <w:rPr/>
            </w:pPr>
            <w:r w:rsidDel="00000000" w:rsidR="00000000" w:rsidRPr="00000000">
              <w:rPr>
                <w:rtl w:val="0"/>
              </w:rPr>
              <w:t xml:space="preserve">-</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8B">
            <w:pPr>
              <w:rPr/>
            </w:pPr>
            <w:r w:rsidDel="00000000" w:rsidR="00000000" w:rsidRPr="00000000">
              <w:rPr>
                <w:rtl w:val="0"/>
              </w:rPr>
              <w:t xml:space="preserve">ADF Test Results after seasonal differencing Critical Values (1%)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8C">
            <w:pPr>
              <w:rPr/>
            </w:pPr>
            <w:r w:rsidDel="00000000" w:rsidR="00000000" w:rsidRPr="00000000">
              <w:rPr>
                <w:rtl w:val="0"/>
              </w:rPr>
              <w:t xml:space="preserve">-3.4369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8D">
            <w:pPr>
              <w:rPr/>
            </w:pPr>
            <w:r w:rsidDel="00000000" w:rsidR="00000000" w:rsidRPr="00000000">
              <w:rPr>
                <w:rtl w:val="0"/>
              </w:rPr>
              <w:t xml:space="preserve">-3.4316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8E">
            <w:pPr>
              <w:rPr/>
            </w:pPr>
            <w:r w:rsidDel="00000000" w:rsidR="00000000" w:rsidRPr="00000000">
              <w:rPr>
                <w:rtl w:val="0"/>
              </w:rPr>
              <w:t xml:space="preserve">-</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8F">
            <w:pPr>
              <w:rPr/>
            </w:pPr>
            <w:r w:rsidDel="00000000" w:rsidR="00000000" w:rsidRPr="00000000">
              <w:rPr>
                <w:rtl w:val="0"/>
              </w:rPr>
              <w:t xml:space="preserve">ADF Test Results after seasonal differencing Critical Values (5%)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90">
            <w:pPr>
              <w:rPr/>
            </w:pPr>
            <w:r w:rsidDel="00000000" w:rsidR="00000000" w:rsidRPr="00000000">
              <w:rPr>
                <w:rtl w:val="0"/>
              </w:rPr>
              <w:t xml:space="preserve">-2.8644</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91">
            <w:pPr>
              <w:rPr/>
            </w:pPr>
            <w:r w:rsidDel="00000000" w:rsidR="00000000" w:rsidRPr="00000000">
              <w:rPr>
                <w:rtl w:val="0"/>
              </w:rPr>
              <w:t xml:space="preserve">-2.8621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92">
            <w:pPr>
              <w:rPr/>
            </w:pPr>
            <w:r w:rsidDel="00000000" w:rsidR="00000000" w:rsidRPr="00000000">
              <w:rPr>
                <w:rtl w:val="0"/>
              </w:rPr>
              <w:t xml:space="preserve">-</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93">
            <w:pPr>
              <w:rPr/>
            </w:pPr>
            <w:r w:rsidDel="00000000" w:rsidR="00000000" w:rsidRPr="00000000">
              <w:rPr>
                <w:rtl w:val="0"/>
              </w:rPr>
              <w:t xml:space="preserve">ADF Test Results after seasonal differencing Critical Values (10%)</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94">
            <w:pPr>
              <w:rPr/>
            </w:pPr>
            <w:r w:rsidDel="00000000" w:rsidR="00000000" w:rsidRPr="00000000">
              <w:rPr>
                <w:rtl w:val="0"/>
              </w:rPr>
              <w:t xml:space="preserve">-2.5683</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95">
            <w:pPr>
              <w:rPr/>
            </w:pPr>
            <w:r w:rsidDel="00000000" w:rsidR="00000000" w:rsidRPr="00000000">
              <w:rPr>
                <w:rtl w:val="0"/>
              </w:rPr>
              <w:t xml:space="preserve">-2.5671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96">
            <w:pPr>
              <w:rPr/>
            </w:pPr>
            <w:r w:rsidDel="00000000" w:rsidR="00000000" w:rsidRPr="00000000">
              <w:rPr>
                <w:rtl w:val="0"/>
              </w:rPr>
              <w:t xml:space="preserve">-</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97">
            <w:pPr>
              <w:rPr/>
            </w:pPr>
            <w:r w:rsidDel="00000000" w:rsidR="00000000" w:rsidRPr="00000000">
              <w:rPr>
                <w:rtl w:val="0"/>
              </w:rPr>
              <w:t xml:space="preserve">AIC</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98">
            <w:pPr>
              <w:rPr/>
            </w:pPr>
            <w:r w:rsidDel="00000000" w:rsidR="00000000" w:rsidRPr="00000000">
              <w:rPr>
                <w:rtl w:val="0"/>
              </w:rPr>
              <w:t xml:space="preserve">1771.3429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99">
            <w:pPr>
              <w:rPr/>
            </w:pPr>
            <w:r w:rsidDel="00000000" w:rsidR="00000000" w:rsidRPr="00000000">
              <w:rPr>
                <w:rtl w:val="0"/>
              </w:rPr>
              <w:t xml:space="preserve">1771.3429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9A">
            <w:pPr>
              <w:rPr/>
            </w:pPr>
            <w:r w:rsidDel="00000000" w:rsidR="00000000" w:rsidRPr="00000000">
              <w:rPr>
                <w:rtl w:val="0"/>
              </w:rPr>
              <w:t xml:space="preserve">-8694.9041</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9B">
            <w:pPr>
              <w:rPr/>
            </w:pPr>
            <w:r w:rsidDel="00000000" w:rsidR="00000000" w:rsidRPr="00000000">
              <w:rPr>
                <w:rtl w:val="0"/>
              </w:rPr>
              <w:t xml:space="preserve">BIC</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9C">
            <w:pPr>
              <w:rPr/>
            </w:pPr>
            <w:r w:rsidDel="00000000" w:rsidR="00000000" w:rsidRPr="00000000">
              <w:rPr>
                <w:rtl w:val="0"/>
              </w:rPr>
              <w:t xml:space="preserve">1804.1556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9D">
            <w:pPr>
              <w:rPr/>
            </w:pPr>
            <w:r w:rsidDel="00000000" w:rsidR="00000000" w:rsidRPr="00000000">
              <w:rPr>
                <w:rtl w:val="0"/>
              </w:rPr>
              <w:t xml:space="preserve">1804.1556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9E">
            <w:pPr>
              <w:rPr/>
            </w:pPr>
            <w:r w:rsidDel="00000000" w:rsidR="00000000" w:rsidRPr="00000000">
              <w:rPr>
                <w:rtl w:val="0"/>
              </w:rPr>
              <w:t xml:space="preserve">-8658.8604</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9"/>
        </w:numPr>
        <w:spacing w:line="360" w:lineRule="auto"/>
        <w:ind w:left="720" w:hanging="360"/>
        <w:jc w:val="both"/>
        <w:rPr/>
      </w:pPr>
      <w:r w:rsidDel="00000000" w:rsidR="00000000" w:rsidRPr="00000000">
        <w:rPr>
          <w:b w:val="1"/>
          <w:sz w:val="24"/>
          <w:szCs w:val="24"/>
          <w:rtl w:val="0"/>
        </w:rPr>
        <w:t xml:space="preserve">Finance Data:</w:t>
      </w:r>
      <w:r w:rsidDel="00000000" w:rsidR="00000000" w:rsidRPr="00000000">
        <w:rPr>
          <w:sz w:val="24"/>
          <w:szCs w:val="24"/>
          <w:rtl w:val="0"/>
        </w:rPr>
        <w:t xml:space="preserve"> The Dickey-Fuller test statistic for finance data is -3.1491, with a p-value of 0.0231. This suggests that the finance data has a unit root and is non-stationary. After seasonal differencing, the ADF test statistic is -7.5145, with a p-value of 3.9349e-11, suggesting that the seasonally differenced data is stationary. The AIC and BIC values for the finance data are 1771.3429 and 1804.1556, respectively.</w:t>
      </w:r>
    </w:p>
    <w:p w:rsidR="00000000" w:rsidDel="00000000" w:rsidP="00000000" w:rsidRDefault="00000000" w:rsidRPr="00000000" w14:paraId="000000A1">
      <w:pPr>
        <w:numPr>
          <w:ilvl w:val="0"/>
          <w:numId w:val="9"/>
        </w:numPr>
        <w:spacing w:line="360" w:lineRule="auto"/>
        <w:ind w:left="720" w:hanging="360"/>
        <w:jc w:val="both"/>
        <w:rPr/>
      </w:pPr>
      <w:r w:rsidDel="00000000" w:rsidR="00000000" w:rsidRPr="00000000">
        <w:rPr>
          <w:b w:val="1"/>
          <w:sz w:val="24"/>
          <w:szCs w:val="24"/>
          <w:rtl w:val="0"/>
        </w:rPr>
        <w:t xml:space="preserve">Energy Data:</w:t>
      </w:r>
      <w:r w:rsidDel="00000000" w:rsidR="00000000" w:rsidRPr="00000000">
        <w:rPr>
          <w:sz w:val="24"/>
          <w:szCs w:val="24"/>
          <w:rtl w:val="0"/>
        </w:rPr>
        <w:t xml:space="preserve"> The Dickey-Fuller test statistic for energy data is -5.7904, with a p-value of 4.8876e-07. This suggests that the energy data has a unit root and is non-stationary. After seasonal differencing, the ADF test statistic is -24.1519, with a p-value of 0.0000, suggesting that the seasonally differenced data is stationary. The AIC and BIC values for the energy data are 1771.3429 and 1804.1556, respectively.</w:t>
      </w:r>
    </w:p>
    <w:p w:rsidR="00000000" w:rsidDel="00000000" w:rsidP="00000000" w:rsidRDefault="00000000" w:rsidRPr="00000000" w14:paraId="000000A2">
      <w:pPr>
        <w:numPr>
          <w:ilvl w:val="0"/>
          <w:numId w:val="9"/>
        </w:numPr>
        <w:spacing w:line="360" w:lineRule="auto"/>
        <w:ind w:left="720" w:hanging="360"/>
        <w:jc w:val="both"/>
        <w:rPr/>
      </w:pPr>
      <w:r w:rsidDel="00000000" w:rsidR="00000000" w:rsidRPr="00000000">
        <w:rPr>
          <w:b w:val="1"/>
          <w:sz w:val="24"/>
          <w:szCs w:val="24"/>
          <w:rtl w:val="0"/>
        </w:rPr>
        <w:t xml:space="preserve">CO2 Data:</w:t>
      </w:r>
      <w:r w:rsidDel="00000000" w:rsidR="00000000" w:rsidRPr="00000000">
        <w:rPr>
          <w:sz w:val="24"/>
          <w:szCs w:val="24"/>
          <w:rtl w:val="0"/>
        </w:rPr>
        <w:t xml:space="preserve"> The Dickey-Fuller test statistic for CO2 data is -2.7496, with a p-value of 0.0658. This suggests that the CO2 data has a unit root and is non-stationary. After seasonal differencing, the ADF test statistic is -25.1187, with a p-value of 0.0000, suggesting that the seasonally differenced data is stationary. The AIC and BIC values for the CO2 data are -8694.9041 and -8658.8604, respectively.</w:t>
      </w:r>
    </w:p>
    <w:p w:rsidR="00000000" w:rsidDel="00000000" w:rsidP="00000000" w:rsidRDefault="00000000" w:rsidRPr="00000000" w14:paraId="000000A3">
      <w:pPr>
        <w:pStyle w:val="Heading3"/>
        <w:shd w:fill="ffffff"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Exponential Smoothing (ETS):</w:t>
      </w:r>
    </w:p>
    <w:tbl>
      <w:tblPr>
        <w:tblStyle w:val="Table4"/>
        <w:tblW w:w="11302.0" w:type="dxa"/>
        <w:jc w:val="left"/>
        <w:tblInd w:w="-1126.0" w:type="dxa"/>
        <w:tblBorders>
          <w:top w:color="000000" w:space="0" w:sz="4" w:val="single"/>
          <w:left w:color="000000" w:space="0" w:sz="4" w:val="single"/>
          <w:bottom w:color="000000" w:space="0" w:sz="4" w:val="single"/>
          <w:right w:color="000000" w:space="0" w:sz="4" w:val="single"/>
        </w:tblBorders>
        <w:tblLayout w:type="fixed"/>
        <w:tblLook w:val="0400"/>
      </w:tblPr>
      <w:tblGrid>
        <w:gridCol w:w="151"/>
        <w:gridCol w:w="1250"/>
        <w:gridCol w:w="1261"/>
        <w:gridCol w:w="1264"/>
        <w:gridCol w:w="1255"/>
        <w:gridCol w:w="1258"/>
        <w:gridCol w:w="1261"/>
        <w:gridCol w:w="1243"/>
        <w:gridCol w:w="1247"/>
        <w:gridCol w:w="1112"/>
        <w:tblGridChange w:id="0">
          <w:tblGrid>
            <w:gridCol w:w="151"/>
            <w:gridCol w:w="1250"/>
            <w:gridCol w:w="1261"/>
            <w:gridCol w:w="1264"/>
            <w:gridCol w:w="1255"/>
            <w:gridCol w:w="1258"/>
            <w:gridCol w:w="1261"/>
            <w:gridCol w:w="1243"/>
            <w:gridCol w:w="1247"/>
            <w:gridCol w:w="1112"/>
          </w:tblGrid>
        </w:tblGridChange>
      </w:tblGrid>
      <w:tr>
        <w:trPr>
          <w:cantSplit w:val="0"/>
          <w:trHeight w:val="1201" w:hRule="atLeast"/>
          <w:tblHeader w:val="1"/>
        </w:trPr>
        <w:tc>
          <w:tcPr>
            <w:tcBorders>
              <w:top w:color="000000" w:space="0" w:sz="4" w:val="single"/>
              <w:left w:color="000000" w:space="0" w:sz="4" w:val="single"/>
              <w:bottom w:color="000000" w:space="0" w:sz="4" w:val="single"/>
              <w:right w:color="000000" w:space="0" w:sz="4" w:val="single"/>
            </w:tcBorders>
            <w:tcMar>
              <w:top w:w="15.0" w:type="dxa"/>
              <w:left w:w="0.0" w:type="dxa"/>
              <w:bottom w:w="137.0" w:type="dxa"/>
              <w:right w:w="137.0" w:type="dxa"/>
            </w:tcMar>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A5">
            <w:pPr>
              <w:spacing w:after="480" w:before="480" w:line="240" w:lineRule="auto"/>
              <w:jc w:val="center"/>
              <w:rPr>
                <w:b w:val="1"/>
                <w:color w:val="374151"/>
                <w:sz w:val="24"/>
                <w:szCs w:val="24"/>
              </w:rPr>
            </w:pPr>
            <w:r w:rsidDel="00000000" w:rsidR="00000000" w:rsidRPr="00000000">
              <w:rPr>
                <w:b w:val="1"/>
                <w:color w:val="374151"/>
                <w:sz w:val="24"/>
                <w:szCs w:val="24"/>
                <w:rtl w:val="0"/>
              </w:rPr>
              <w:t xml:space="preserve">Finance Data SES Forecast</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A6">
            <w:pPr>
              <w:spacing w:after="480" w:before="480" w:line="240" w:lineRule="auto"/>
              <w:jc w:val="center"/>
              <w:rPr>
                <w:b w:val="1"/>
                <w:color w:val="374151"/>
                <w:sz w:val="24"/>
                <w:szCs w:val="24"/>
              </w:rPr>
            </w:pPr>
            <w:r w:rsidDel="00000000" w:rsidR="00000000" w:rsidRPr="00000000">
              <w:rPr>
                <w:b w:val="1"/>
                <w:color w:val="374151"/>
                <w:sz w:val="24"/>
                <w:szCs w:val="24"/>
                <w:rtl w:val="0"/>
              </w:rPr>
              <w:t xml:space="preserve">Finance Data HLT Forecast</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A7">
            <w:pPr>
              <w:spacing w:after="480" w:before="480" w:line="240" w:lineRule="auto"/>
              <w:jc w:val="center"/>
              <w:rPr>
                <w:b w:val="1"/>
                <w:color w:val="374151"/>
                <w:sz w:val="24"/>
                <w:szCs w:val="24"/>
              </w:rPr>
            </w:pPr>
            <w:r w:rsidDel="00000000" w:rsidR="00000000" w:rsidRPr="00000000">
              <w:rPr>
                <w:b w:val="1"/>
                <w:color w:val="374151"/>
                <w:sz w:val="24"/>
                <w:szCs w:val="24"/>
                <w:rtl w:val="0"/>
              </w:rPr>
              <w:t xml:space="preserve">Finance Data HWS Forecast</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A8">
            <w:pPr>
              <w:spacing w:after="480" w:before="480" w:line="240" w:lineRule="auto"/>
              <w:jc w:val="center"/>
              <w:rPr>
                <w:b w:val="1"/>
                <w:color w:val="374151"/>
                <w:sz w:val="24"/>
                <w:szCs w:val="24"/>
              </w:rPr>
            </w:pPr>
            <w:r w:rsidDel="00000000" w:rsidR="00000000" w:rsidRPr="00000000">
              <w:rPr>
                <w:b w:val="1"/>
                <w:color w:val="374151"/>
                <w:sz w:val="24"/>
                <w:szCs w:val="24"/>
                <w:rtl w:val="0"/>
              </w:rPr>
              <w:t xml:space="preserve">Energy Data SES Forecast</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A9">
            <w:pPr>
              <w:spacing w:after="480" w:before="480" w:line="240" w:lineRule="auto"/>
              <w:jc w:val="center"/>
              <w:rPr>
                <w:b w:val="1"/>
                <w:color w:val="374151"/>
                <w:sz w:val="24"/>
                <w:szCs w:val="24"/>
              </w:rPr>
            </w:pPr>
            <w:r w:rsidDel="00000000" w:rsidR="00000000" w:rsidRPr="00000000">
              <w:rPr>
                <w:b w:val="1"/>
                <w:color w:val="374151"/>
                <w:sz w:val="24"/>
                <w:szCs w:val="24"/>
                <w:rtl w:val="0"/>
              </w:rPr>
              <w:t xml:space="preserve">Energy Data HLT Forecast</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AA">
            <w:pPr>
              <w:spacing w:after="480" w:before="480" w:line="240" w:lineRule="auto"/>
              <w:jc w:val="center"/>
              <w:rPr>
                <w:b w:val="1"/>
                <w:color w:val="374151"/>
                <w:sz w:val="24"/>
                <w:szCs w:val="24"/>
              </w:rPr>
            </w:pPr>
            <w:r w:rsidDel="00000000" w:rsidR="00000000" w:rsidRPr="00000000">
              <w:rPr>
                <w:b w:val="1"/>
                <w:color w:val="374151"/>
                <w:sz w:val="24"/>
                <w:szCs w:val="24"/>
                <w:rtl w:val="0"/>
              </w:rPr>
              <w:t xml:space="preserve">Energy Data HWS Forecast</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AB">
            <w:pPr>
              <w:spacing w:after="480" w:before="480" w:line="240" w:lineRule="auto"/>
              <w:jc w:val="center"/>
              <w:rPr>
                <w:b w:val="1"/>
                <w:color w:val="374151"/>
                <w:sz w:val="24"/>
                <w:szCs w:val="24"/>
              </w:rPr>
            </w:pPr>
            <w:r w:rsidDel="00000000" w:rsidR="00000000" w:rsidRPr="00000000">
              <w:rPr>
                <w:b w:val="1"/>
                <w:color w:val="374151"/>
                <w:sz w:val="24"/>
                <w:szCs w:val="24"/>
                <w:rtl w:val="0"/>
              </w:rPr>
              <w:t xml:space="preserve">CO2 Data SES Forecast</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AC">
            <w:pPr>
              <w:spacing w:after="480" w:before="480" w:line="240" w:lineRule="auto"/>
              <w:jc w:val="center"/>
              <w:rPr>
                <w:b w:val="1"/>
                <w:color w:val="374151"/>
                <w:sz w:val="24"/>
                <w:szCs w:val="24"/>
              </w:rPr>
            </w:pPr>
            <w:r w:rsidDel="00000000" w:rsidR="00000000" w:rsidRPr="00000000">
              <w:rPr>
                <w:b w:val="1"/>
                <w:color w:val="374151"/>
                <w:sz w:val="24"/>
                <w:szCs w:val="24"/>
                <w:rtl w:val="0"/>
              </w:rPr>
              <w:t xml:space="preserve">CO2 Data HLT Forecast</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0.0" w:type="dxa"/>
            </w:tcMar>
            <w:vAlign w:val="bottom"/>
          </w:tcPr>
          <w:p w:rsidR="00000000" w:rsidDel="00000000" w:rsidP="00000000" w:rsidRDefault="00000000" w:rsidRPr="00000000" w14:paraId="000000AD">
            <w:pPr>
              <w:spacing w:after="480" w:before="480" w:line="240" w:lineRule="auto"/>
              <w:jc w:val="center"/>
              <w:rPr>
                <w:b w:val="1"/>
                <w:color w:val="374151"/>
                <w:sz w:val="24"/>
                <w:szCs w:val="24"/>
              </w:rPr>
            </w:pPr>
            <w:r w:rsidDel="00000000" w:rsidR="00000000" w:rsidRPr="00000000">
              <w:rPr>
                <w:b w:val="1"/>
                <w:color w:val="374151"/>
                <w:sz w:val="24"/>
                <w:szCs w:val="24"/>
                <w:rtl w:val="0"/>
              </w:rPr>
              <w:t xml:space="preserve">CO2 Data HWS Forecast</w:t>
            </w:r>
          </w:p>
        </w:tc>
      </w:tr>
      <w:tr>
        <w:trPr>
          <w:cantSplit w:val="0"/>
          <w:trHeight w:val="867"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AE">
            <w:pPr>
              <w:spacing w:after="480" w:before="480" w:line="240" w:lineRule="auto"/>
              <w:rPr>
                <w:rFonts w:ascii="Arial" w:cs="Arial" w:eastAsia="Arial" w:hAnsi="Arial"/>
                <w:color w:val="374151"/>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AF">
            <w:pPr>
              <w:spacing w:after="480" w:before="480" w:line="240" w:lineRule="auto"/>
              <w:jc w:val="center"/>
              <w:rPr>
                <w:color w:val="374151"/>
                <w:sz w:val="24"/>
                <w:szCs w:val="24"/>
              </w:rPr>
            </w:pPr>
            <w:r w:rsidDel="00000000" w:rsidR="00000000" w:rsidRPr="00000000">
              <w:rPr>
                <w:color w:val="374151"/>
                <w:sz w:val="24"/>
                <w:szCs w:val="24"/>
                <w:rtl w:val="0"/>
              </w:rPr>
              <w:t xml:space="preserve">0.744189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0">
            <w:pPr>
              <w:spacing w:after="480" w:before="480" w:line="240" w:lineRule="auto"/>
              <w:jc w:val="center"/>
              <w:rPr>
                <w:color w:val="374151"/>
                <w:sz w:val="24"/>
                <w:szCs w:val="24"/>
              </w:rPr>
            </w:pPr>
            <w:r w:rsidDel="00000000" w:rsidR="00000000" w:rsidRPr="00000000">
              <w:rPr>
                <w:color w:val="374151"/>
                <w:sz w:val="24"/>
                <w:szCs w:val="24"/>
                <w:rtl w:val="0"/>
              </w:rPr>
              <w:t xml:space="preserve">0.747663</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1">
            <w:pPr>
              <w:spacing w:after="480" w:before="480" w:line="240" w:lineRule="auto"/>
              <w:jc w:val="center"/>
              <w:rPr>
                <w:color w:val="374151"/>
                <w:sz w:val="24"/>
                <w:szCs w:val="24"/>
              </w:rPr>
            </w:pPr>
            <w:r w:rsidDel="00000000" w:rsidR="00000000" w:rsidRPr="00000000">
              <w:rPr>
                <w:color w:val="374151"/>
                <w:sz w:val="24"/>
                <w:szCs w:val="24"/>
                <w:rtl w:val="0"/>
              </w:rPr>
              <w:t xml:space="preserve">0.744136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2">
            <w:pPr>
              <w:spacing w:after="480" w:before="480" w:line="240" w:lineRule="auto"/>
              <w:jc w:val="center"/>
              <w:rPr>
                <w:color w:val="374151"/>
                <w:sz w:val="24"/>
                <w:szCs w:val="24"/>
              </w:rPr>
            </w:pPr>
            <w:r w:rsidDel="00000000" w:rsidR="00000000" w:rsidRPr="00000000">
              <w:rPr>
                <w:color w:val="374151"/>
                <w:sz w:val="24"/>
                <w:szCs w:val="24"/>
                <w:rtl w:val="0"/>
              </w:rPr>
              <w:t xml:space="preserve">-0.048186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3">
            <w:pPr>
              <w:spacing w:after="480" w:before="480" w:line="240" w:lineRule="auto"/>
              <w:jc w:val="center"/>
              <w:rPr>
                <w:color w:val="374151"/>
                <w:sz w:val="24"/>
                <w:szCs w:val="24"/>
              </w:rPr>
            </w:pPr>
            <w:r w:rsidDel="00000000" w:rsidR="00000000" w:rsidRPr="00000000">
              <w:rPr>
                <w:color w:val="374151"/>
                <w:sz w:val="24"/>
                <w:szCs w:val="24"/>
                <w:rtl w:val="0"/>
              </w:rPr>
              <w:t xml:space="preserve">-0.013377</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4">
            <w:pPr>
              <w:spacing w:after="480" w:before="480" w:line="240" w:lineRule="auto"/>
              <w:jc w:val="center"/>
              <w:rPr>
                <w:color w:val="374151"/>
                <w:sz w:val="24"/>
                <w:szCs w:val="24"/>
              </w:rPr>
            </w:pPr>
            <w:r w:rsidDel="00000000" w:rsidR="00000000" w:rsidRPr="00000000">
              <w:rPr>
                <w:color w:val="374151"/>
                <w:sz w:val="24"/>
                <w:szCs w:val="24"/>
                <w:rtl w:val="0"/>
              </w:rPr>
              <w:t xml:space="preserve">-0.048163</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5">
            <w:pPr>
              <w:spacing w:after="480" w:before="480" w:line="240" w:lineRule="auto"/>
              <w:jc w:val="center"/>
              <w:rPr>
                <w:color w:val="374151"/>
                <w:sz w:val="24"/>
                <w:szCs w:val="24"/>
              </w:rPr>
            </w:pPr>
            <w:r w:rsidDel="00000000" w:rsidR="00000000" w:rsidRPr="00000000">
              <w:rPr>
                <w:color w:val="374151"/>
                <w:sz w:val="24"/>
                <w:szCs w:val="24"/>
                <w:rtl w:val="0"/>
              </w:rPr>
              <w:t xml:space="preserve">-0.633355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6">
            <w:pPr>
              <w:spacing w:after="480" w:before="480" w:line="240" w:lineRule="auto"/>
              <w:jc w:val="center"/>
              <w:rPr>
                <w:color w:val="374151"/>
                <w:sz w:val="24"/>
                <w:szCs w:val="24"/>
              </w:rPr>
            </w:pPr>
            <w:r w:rsidDel="00000000" w:rsidR="00000000" w:rsidRPr="00000000">
              <w:rPr>
                <w:color w:val="374151"/>
                <w:sz w:val="24"/>
                <w:szCs w:val="24"/>
                <w:rtl w:val="0"/>
              </w:rPr>
              <w:t xml:space="preserve">-0.654094</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B7">
            <w:pPr>
              <w:spacing w:after="480" w:before="480" w:line="240" w:lineRule="auto"/>
              <w:jc w:val="center"/>
              <w:rPr>
                <w:color w:val="374151"/>
                <w:sz w:val="24"/>
                <w:szCs w:val="24"/>
              </w:rPr>
            </w:pPr>
            <w:r w:rsidDel="00000000" w:rsidR="00000000" w:rsidRPr="00000000">
              <w:rPr>
                <w:color w:val="374151"/>
                <w:sz w:val="24"/>
                <w:szCs w:val="24"/>
                <w:rtl w:val="0"/>
              </w:rPr>
              <w:t xml:space="preserve">-0.633599</w:t>
            </w:r>
          </w:p>
        </w:tc>
      </w:tr>
      <w:tr>
        <w:trPr>
          <w:cantSplit w:val="0"/>
          <w:trHeight w:val="858"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B8">
            <w:pPr>
              <w:spacing w:after="480" w:before="480" w:line="240" w:lineRule="auto"/>
              <w:rPr>
                <w:rFonts w:ascii="Arial" w:cs="Arial" w:eastAsia="Arial" w:hAnsi="Arial"/>
                <w:color w:val="374151"/>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9">
            <w:pPr>
              <w:spacing w:after="480" w:before="480" w:line="240" w:lineRule="auto"/>
              <w:jc w:val="center"/>
              <w:rPr>
                <w:color w:val="374151"/>
                <w:sz w:val="24"/>
                <w:szCs w:val="24"/>
              </w:rPr>
            </w:pPr>
            <w:r w:rsidDel="00000000" w:rsidR="00000000" w:rsidRPr="00000000">
              <w:rPr>
                <w:color w:val="374151"/>
                <w:sz w:val="24"/>
                <w:szCs w:val="24"/>
                <w:rtl w:val="0"/>
              </w:rPr>
              <w:t xml:space="preserve">0.744189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A">
            <w:pPr>
              <w:spacing w:after="480" w:before="480" w:line="240" w:lineRule="auto"/>
              <w:jc w:val="center"/>
              <w:rPr>
                <w:color w:val="374151"/>
                <w:sz w:val="24"/>
                <w:szCs w:val="24"/>
              </w:rPr>
            </w:pPr>
            <w:r w:rsidDel="00000000" w:rsidR="00000000" w:rsidRPr="00000000">
              <w:rPr>
                <w:color w:val="374151"/>
                <w:sz w:val="24"/>
                <w:szCs w:val="24"/>
                <w:rtl w:val="0"/>
              </w:rPr>
              <w:t xml:space="preserve">0.749658</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B">
            <w:pPr>
              <w:spacing w:after="480" w:before="480" w:line="240" w:lineRule="auto"/>
              <w:jc w:val="center"/>
              <w:rPr>
                <w:color w:val="374151"/>
                <w:sz w:val="24"/>
                <w:szCs w:val="24"/>
              </w:rPr>
            </w:pPr>
            <w:r w:rsidDel="00000000" w:rsidR="00000000" w:rsidRPr="00000000">
              <w:rPr>
                <w:color w:val="374151"/>
                <w:sz w:val="24"/>
                <w:szCs w:val="24"/>
                <w:rtl w:val="0"/>
              </w:rPr>
              <w:t xml:space="preserve">0.744136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C">
            <w:pPr>
              <w:spacing w:after="480" w:before="480" w:line="240" w:lineRule="auto"/>
              <w:jc w:val="center"/>
              <w:rPr>
                <w:color w:val="374151"/>
                <w:sz w:val="24"/>
                <w:szCs w:val="24"/>
              </w:rPr>
            </w:pPr>
            <w:r w:rsidDel="00000000" w:rsidR="00000000" w:rsidRPr="00000000">
              <w:rPr>
                <w:color w:val="374151"/>
                <w:sz w:val="24"/>
                <w:szCs w:val="24"/>
                <w:rtl w:val="0"/>
              </w:rPr>
              <w:t xml:space="preserve">-0.048186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D">
            <w:pPr>
              <w:spacing w:after="480" w:before="480" w:line="240" w:lineRule="auto"/>
              <w:jc w:val="center"/>
              <w:rPr>
                <w:color w:val="374151"/>
                <w:sz w:val="24"/>
                <w:szCs w:val="24"/>
              </w:rPr>
            </w:pPr>
            <w:r w:rsidDel="00000000" w:rsidR="00000000" w:rsidRPr="00000000">
              <w:rPr>
                <w:color w:val="374151"/>
                <w:sz w:val="24"/>
                <w:szCs w:val="24"/>
                <w:rtl w:val="0"/>
              </w:rPr>
              <w:t xml:space="preserve">0.015902</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E">
            <w:pPr>
              <w:spacing w:after="480" w:before="480" w:line="240" w:lineRule="auto"/>
              <w:jc w:val="center"/>
              <w:rPr>
                <w:color w:val="374151"/>
                <w:sz w:val="24"/>
                <w:szCs w:val="24"/>
              </w:rPr>
            </w:pPr>
            <w:r w:rsidDel="00000000" w:rsidR="00000000" w:rsidRPr="00000000">
              <w:rPr>
                <w:color w:val="374151"/>
                <w:sz w:val="24"/>
                <w:szCs w:val="24"/>
                <w:rtl w:val="0"/>
              </w:rPr>
              <w:t xml:space="preserve">-0.048163</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BF">
            <w:pPr>
              <w:spacing w:after="480" w:before="480" w:line="240" w:lineRule="auto"/>
              <w:jc w:val="center"/>
              <w:rPr>
                <w:color w:val="374151"/>
                <w:sz w:val="24"/>
                <w:szCs w:val="24"/>
              </w:rPr>
            </w:pPr>
            <w:r w:rsidDel="00000000" w:rsidR="00000000" w:rsidRPr="00000000">
              <w:rPr>
                <w:color w:val="374151"/>
                <w:sz w:val="24"/>
                <w:szCs w:val="24"/>
                <w:rtl w:val="0"/>
              </w:rPr>
              <w:t xml:space="preserve">-0.633355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C0">
            <w:pPr>
              <w:spacing w:after="480" w:before="480" w:line="240" w:lineRule="auto"/>
              <w:jc w:val="center"/>
              <w:rPr>
                <w:color w:val="374151"/>
                <w:sz w:val="24"/>
                <w:szCs w:val="24"/>
              </w:rPr>
            </w:pPr>
            <w:r w:rsidDel="00000000" w:rsidR="00000000" w:rsidRPr="00000000">
              <w:rPr>
                <w:color w:val="374151"/>
                <w:sz w:val="24"/>
                <w:szCs w:val="24"/>
                <w:rtl w:val="0"/>
              </w:rPr>
              <w:t xml:space="preserve">-0.655989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C1">
            <w:pPr>
              <w:spacing w:after="480" w:before="480" w:line="240" w:lineRule="auto"/>
              <w:jc w:val="center"/>
              <w:rPr>
                <w:color w:val="374151"/>
                <w:sz w:val="24"/>
                <w:szCs w:val="24"/>
              </w:rPr>
            </w:pPr>
            <w:r w:rsidDel="00000000" w:rsidR="00000000" w:rsidRPr="00000000">
              <w:rPr>
                <w:color w:val="374151"/>
                <w:sz w:val="24"/>
                <w:szCs w:val="24"/>
                <w:rtl w:val="0"/>
              </w:rPr>
              <w:t xml:space="preserve">-0.633599</w:t>
            </w:r>
          </w:p>
        </w:tc>
      </w:tr>
      <w:tr>
        <w:trPr>
          <w:cantSplit w:val="0"/>
          <w:trHeight w:val="14" w:hRule="atLeast"/>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C2">
            <w:pPr>
              <w:spacing w:after="480" w:before="480" w:line="240" w:lineRule="auto"/>
              <w:rPr>
                <w:rFonts w:ascii="Arial" w:cs="Arial" w:eastAsia="Arial" w:hAnsi="Arial"/>
                <w:color w:val="374151"/>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C3">
            <w:pPr>
              <w:spacing w:after="480" w:before="480" w:line="240" w:lineRule="auto"/>
              <w:jc w:val="center"/>
              <w:rPr>
                <w:color w:val="374151"/>
                <w:sz w:val="24"/>
                <w:szCs w:val="24"/>
              </w:rPr>
            </w:pPr>
            <w:r w:rsidDel="00000000" w:rsidR="00000000" w:rsidRPr="00000000">
              <w:rPr>
                <w:color w:val="374151"/>
                <w:sz w:val="24"/>
                <w:szCs w:val="24"/>
                <w:rtl w:val="0"/>
              </w:rPr>
              <w:t xml:space="preserve">0.744189</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C4">
            <w:pPr>
              <w:spacing w:after="480" w:before="480" w:line="240" w:lineRule="auto"/>
              <w:jc w:val="center"/>
              <w:rPr>
                <w:color w:val="374151"/>
                <w:sz w:val="24"/>
                <w:szCs w:val="24"/>
              </w:rPr>
            </w:pPr>
            <w:r w:rsidDel="00000000" w:rsidR="00000000" w:rsidRPr="00000000">
              <w:rPr>
                <w:color w:val="374151"/>
                <w:sz w:val="24"/>
                <w:szCs w:val="24"/>
                <w:rtl w:val="0"/>
              </w:rPr>
              <w:t xml:space="preserve">0.751653</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C5">
            <w:pPr>
              <w:spacing w:after="480" w:before="480" w:line="240" w:lineRule="auto"/>
              <w:jc w:val="center"/>
              <w:rPr>
                <w:color w:val="374151"/>
                <w:sz w:val="24"/>
                <w:szCs w:val="24"/>
              </w:rPr>
            </w:pPr>
            <w:r w:rsidDel="00000000" w:rsidR="00000000" w:rsidRPr="00000000">
              <w:rPr>
                <w:color w:val="374151"/>
                <w:sz w:val="24"/>
                <w:szCs w:val="24"/>
                <w:rtl w:val="0"/>
              </w:rPr>
              <w:t xml:space="preserve">0.744136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C6">
            <w:pPr>
              <w:spacing w:after="480" w:before="480" w:line="240" w:lineRule="auto"/>
              <w:jc w:val="center"/>
              <w:rPr>
                <w:color w:val="374151"/>
                <w:sz w:val="24"/>
                <w:szCs w:val="24"/>
              </w:rPr>
            </w:pPr>
            <w:r w:rsidDel="00000000" w:rsidR="00000000" w:rsidRPr="00000000">
              <w:rPr>
                <w:color w:val="374151"/>
                <w:sz w:val="24"/>
                <w:szCs w:val="24"/>
                <w:rtl w:val="0"/>
              </w:rPr>
              <w:t xml:space="preserve">-0.048186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C7">
            <w:pPr>
              <w:spacing w:after="480" w:before="480" w:line="240" w:lineRule="auto"/>
              <w:jc w:val="center"/>
              <w:rPr>
                <w:color w:val="374151"/>
                <w:sz w:val="24"/>
                <w:szCs w:val="24"/>
              </w:rPr>
            </w:pPr>
            <w:r w:rsidDel="00000000" w:rsidR="00000000" w:rsidRPr="00000000">
              <w:rPr>
                <w:color w:val="374151"/>
                <w:sz w:val="24"/>
                <w:szCs w:val="24"/>
                <w:rtl w:val="0"/>
              </w:rPr>
              <w:t xml:space="preserve">0.045181</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C8">
            <w:pPr>
              <w:spacing w:after="480" w:before="480" w:line="240" w:lineRule="auto"/>
              <w:jc w:val="center"/>
              <w:rPr>
                <w:color w:val="374151"/>
                <w:sz w:val="24"/>
                <w:szCs w:val="24"/>
              </w:rPr>
            </w:pPr>
            <w:r w:rsidDel="00000000" w:rsidR="00000000" w:rsidRPr="00000000">
              <w:rPr>
                <w:color w:val="374151"/>
                <w:sz w:val="24"/>
                <w:szCs w:val="24"/>
                <w:rtl w:val="0"/>
              </w:rPr>
              <w:t xml:space="preserve">-0.048163</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C9">
            <w:pPr>
              <w:spacing w:after="480" w:before="480" w:line="240" w:lineRule="auto"/>
              <w:jc w:val="center"/>
              <w:rPr>
                <w:color w:val="374151"/>
                <w:sz w:val="24"/>
                <w:szCs w:val="24"/>
              </w:rPr>
            </w:pPr>
            <w:r w:rsidDel="00000000" w:rsidR="00000000" w:rsidRPr="00000000">
              <w:rPr>
                <w:color w:val="374151"/>
                <w:sz w:val="24"/>
                <w:szCs w:val="24"/>
                <w:rtl w:val="0"/>
              </w:rPr>
              <w:t xml:space="preserve">-0.633355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CA">
            <w:pPr>
              <w:spacing w:after="480" w:before="480" w:line="240" w:lineRule="auto"/>
              <w:jc w:val="center"/>
              <w:rPr>
                <w:color w:val="374151"/>
                <w:sz w:val="24"/>
                <w:szCs w:val="24"/>
              </w:rPr>
            </w:pPr>
            <w:r w:rsidDel="00000000" w:rsidR="00000000" w:rsidRPr="00000000">
              <w:rPr>
                <w:color w:val="374151"/>
                <w:sz w:val="24"/>
                <w:szCs w:val="24"/>
                <w:rtl w:val="0"/>
              </w:rPr>
              <w:t xml:space="preserve">-0.65788</w:t>
            </w:r>
          </w:p>
        </w:tc>
        <w:tc>
          <w:tcPr>
            <w:vAlign w:val="center"/>
          </w:tcPr>
          <w:p w:rsidR="00000000" w:rsidDel="00000000" w:rsidP="00000000" w:rsidRDefault="00000000" w:rsidRPr="00000000" w14:paraId="000000CB">
            <w:pPr>
              <w:spacing w:after="480" w:before="480" w:line="240" w:lineRule="auto"/>
              <w:jc w:val="center"/>
              <w:rPr>
                <w:sz w:val="24"/>
                <w:szCs w:val="24"/>
              </w:rPr>
            </w:pPr>
            <w:r w:rsidDel="00000000" w:rsidR="00000000" w:rsidRPr="00000000">
              <w:rPr>
                <w:rtl w:val="0"/>
              </w:rPr>
            </w:r>
          </w:p>
        </w:tc>
      </w:tr>
    </w:tbl>
    <w:p w:rsidR="00000000" w:rsidDel="00000000" w:rsidP="00000000" w:rsidRDefault="00000000" w:rsidRPr="00000000" w14:paraId="000000C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D">
      <w:pPr>
        <w:numPr>
          <w:ilvl w:val="0"/>
          <w:numId w:val="1"/>
        </w:numPr>
        <w:spacing w:line="360" w:lineRule="auto"/>
        <w:ind w:left="720" w:hanging="360"/>
        <w:jc w:val="both"/>
        <w:rPr/>
      </w:pPr>
      <w:r w:rsidDel="00000000" w:rsidR="00000000" w:rsidRPr="00000000">
        <w:rPr>
          <w:b w:val="1"/>
          <w:sz w:val="24"/>
          <w:szCs w:val="24"/>
          <w:rtl w:val="0"/>
        </w:rPr>
        <w:t xml:space="preserve">Finance Data:</w:t>
      </w:r>
      <w:r w:rsidDel="00000000" w:rsidR="00000000" w:rsidRPr="00000000">
        <w:rPr>
          <w:sz w:val="24"/>
          <w:szCs w:val="24"/>
          <w:rtl w:val="0"/>
        </w:rPr>
        <w:t xml:space="preserve"> The SES forecast for finance data is a constant value of 0.7442, while the HLT forecast is a linear trend with a slope of 0.0025. The HWS forecast is a seasonal trend with a period of 1 and a constant value of 0.7441.</w:t>
      </w:r>
    </w:p>
    <w:p w:rsidR="00000000" w:rsidDel="00000000" w:rsidP="00000000" w:rsidRDefault="00000000" w:rsidRPr="00000000" w14:paraId="000000CE">
      <w:pPr>
        <w:numPr>
          <w:ilvl w:val="0"/>
          <w:numId w:val="1"/>
        </w:numPr>
        <w:spacing w:line="360" w:lineRule="auto"/>
        <w:ind w:left="720" w:hanging="360"/>
        <w:jc w:val="both"/>
        <w:rPr/>
      </w:pPr>
      <w:r w:rsidDel="00000000" w:rsidR="00000000" w:rsidRPr="00000000">
        <w:rPr>
          <w:b w:val="1"/>
          <w:sz w:val="24"/>
          <w:szCs w:val="24"/>
          <w:rtl w:val="0"/>
        </w:rPr>
        <w:t xml:space="preserve">Energy Data:</w:t>
      </w:r>
      <w:r w:rsidDel="00000000" w:rsidR="00000000" w:rsidRPr="00000000">
        <w:rPr>
          <w:sz w:val="24"/>
          <w:szCs w:val="24"/>
          <w:rtl w:val="0"/>
        </w:rPr>
        <w:t xml:space="preserve"> The SES forecast for energy data is a constant value of -0.0482, while the HLT forecast is a linear trend with a slope of 0.0286. The HWS forecast is a seasonal trend with a period of 1 and a constant value of -0.0482.</w:t>
      </w:r>
    </w:p>
    <w:p w:rsidR="00000000" w:rsidDel="00000000" w:rsidP="00000000" w:rsidRDefault="00000000" w:rsidRPr="00000000" w14:paraId="000000CF">
      <w:pPr>
        <w:numPr>
          <w:ilvl w:val="0"/>
          <w:numId w:val="1"/>
        </w:numPr>
        <w:spacing w:line="360" w:lineRule="auto"/>
        <w:ind w:left="720" w:hanging="360"/>
        <w:jc w:val="both"/>
        <w:rPr/>
      </w:pPr>
      <w:r w:rsidDel="00000000" w:rsidR="00000000" w:rsidRPr="00000000">
        <w:rPr>
          <w:b w:val="1"/>
          <w:sz w:val="24"/>
          <w:szCs w:val="24"/>
          <w:rtl w:val="0"/>
        </w:rPr>
        <w:t xml:space="preserve">CO2 Data:</w:t>
      </w:r>
      <w:r w:rsidDel="00000000" w:rsidR="00000000" w:rsidRPr="00000000">
        <w:rPr>
          <w:sz w:val="24"/>
          <w:szCs w:val="24"/>
          <w:rtl w:val="0"/>
        </w:rPr>
        <w:t xml:space="preserve"> The SES forecast for CO2 data is a constant value of -0.6334, while the HLT forecast is a linear trend with a slope of -0.0018. The HWS forecast is a seasonal trend with a period of 1 and a constant value of -0.6336.</w:t>
      </w:r>
    </w:p>
    <w:p w:rsidR="00000000" w:rsidDel="00000000" w:rsidP="00000000" w:rsidRDefault="00000000" w:rsidRPr="00000000" w14:paraId="000000D0">
      <w:pPr>
        <w:pStyle w:val="Heading1"/>
        <w:rPr/>
      </w:pPr>
      <w:r w:rsidDel="00000000" w:rsidR="00000000" w:rsidRPr="00000000">
        <w:rPr>
          <w:rtl w:val="0"/>
        </w:rPr>
        <w:t xml:space="preserve">Prophet:</w:t>
      </w:r>
    </w:p>
    <w:p w:rsidR="00000000" w:rsidDel="00000000" w:rsidP="00000000" w:rsidRDefault="00000000" w:rsidRPr="00000000" w14:paraId="000000D1">
      <w:pPr>
        <w:spacing w:line="360" w:lineRule="auto"/>
        <w:jc w:val="both"/>
        <w:rPr>
          <w:color w:val="374151"/>
          <w:sz w:val="24"/>
          <w:szCs w:val="24"/>
        </w:rPr>
      </w:pPr>
      <w:r w:rsidDel="00000000" w:rsidR="00000000" w:rsidRPr="00000000">
        <w:rPr>
          <w:color w:val="374151"/>
          <w:sz w:val="24"/>
          <w:szCs w:val="24"/>
          <w:rtl w:val="0"/>
        </w:rPr>
        <w:t xml:space="preserve">Prophet is a popular open-source forecasting library developed by Facebook's Data Science team. Prophet uses a decomposable time series model that separates the data into trend, seasonality, and holiday components. In Finance Data there is not too much variation but in Energy Data and Co2 Data there is a significant variation. </w:t>
        <w:tab/>
      </w:r>
    </w:p>
    <w:p w:rsidR="00000000" w:rsidDel="00000000" w:rsidP="00000000" w:rsidRDefault="00000000" w:rsidRPr="00000000" w14:paraId="000000D2">
      <w:pPr>
        <w:pStyle w:val="Heading1"/>
        <w:rPr>
          <w:sz w:val="24"/>
          <w:szCs w:val="24"/>
        </w:rPr>
      </w:pPr>
      <w:r w:rsidDel="00000000" w:rsidR="00000000" w:rsidRPr="00000000">
        <w:rPr>
          <w:rtl w:val="0"/>
        </w:rPr>
        <w:t xml:space="preserve">SVR Model:</w:t>
      </w:r>
      <w:r w:rsidDel="00000000" w:rsidR="00000000" w:rsidRPr="00000000">
        <w:rPr>
          <w:rtl w:val="0"/>
        </w:rPr>
      </w:r>
    </w:p>
    <w:tbl>
      <w:tblPr>
        <w:tblStyle w:val="Table5"/>
        <w:tblW w:w="102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360"/>
        <w:gridCol w:w="7888"/>
        <w:tblGridChange w:id="0">
          <w:tblGrid>
            <w:gridCol w:w="2360"/>
            <w:gridCol w:w="788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15.0" w:type="dxa"/>
              <w:left w:w="0.0" w:type="dxa"/>
              <w:bottom w:w="137.0" w:type="dxa"/>
              <w:right w:w="137.0" w:type="dxa"/>
            </w:tcMar>
            <w:vAlign w:val="bottom"/>
          </w:tcPr>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Data</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0.0" w:type="dxa"/>
            </w:tcMar>
            <w:vAlign w:val="bottom"/>
          </w:tcPr>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Mean Squared Error (SVR)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D5">
            <w:pPr>
              <w:rPr>
                <w:sz w:val="24"/>
                <w:szCs w:val="24"/>
              </w:rPr>
            </w:pPr>
            <w:r w:rsidDel="00000000" w:rsidR="00000000" w:rsidRPr="00000000">
              <w:rPr>
                <w:sz w:val="24"/>
                <w:szCs w:val="24"/>
                <w:rtl w:val="0"/>
              </w:rPr>
              <w:t xml:space="preserve">Finance</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D6">
            <w:pPr>
              <w:rPr>
                <w:sz w:val="24"/>
                <w:szCs w:val="24"/>
              </w:rPr>
            </w:pPr>
            <w:r w:rsidDel="00000000" w:rsidR="00000000" w:rsidRPr="00000000">
              <w:rPr>
                <w:sz w:val="24"/>
                <w:szCs w:val="24"/>
                <w:rtl w:val="0"/>
              </w:rPr>
              <w:t xml:space="preserve">0.11881131585220461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D7">
            <w:pPr>
              <w:rPr>
                <w:sz w:val="24"/>
                <w:szCs w:val="24"/>
              </w:rPr>
            </w:pPr>
            <w:r w:rsidDel="00000000" w:rsidR="00000000" w:rsidRPr="00000000">
              <w:rPr>
                <w:sz w:val="24"/>
                <w:szCs w:val="24"/>
                <w:rtl w:val="0"/>
              </w:rPr>
              <w:t xml:space="preserve">Energy</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D8">
            <w:pPr>
              <w:rPr>
                <w:sz w:val="24"/>
                <w:szCs w:val="24"/>
              </w:rPr>
            </w:pPr>
            <w:r w:rsidDel="00000000" w:rsidR="00000000" w:rsidRPr="00000000">
              <w:rPr>
                <w:sz w:val="24"/>
                <w:szCs w:val="24"/>
                <w:rtl w:val="0"/>
              </w:rPr>
              <w:t xml:space="preserve">0.9121434135215962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D9">
            <w:pPr>
              <w:rPr>
                <w:sz w:val="24"/>
                <w:szCs w:val="24"/>
              </w:rPr>
            </w:pPr>
            <w:r w:rsidDel="00000000" w:rsidR="00000000" w:rsidRPr="00000000">
              <w:rPr>
                <w:sz w:val="24"/>
                <w:szCs w:val="24"/>
                <w:rtl w:val="0"/>
              </w:rPr>
              <w:t xml:space="preserve">CO2</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DA">
            <w:pPr>
              <w:rPr>
                <w:sz w:val="24"/>
                <w:szCs w:val="24"/>
              </w:rPr>
            </w:pPr>
            <w:r w:rsidDel="00000000" w:rsidR="00000000" w:rsidRPr="00000000">
              <w:rPr>
                <w:sz w:val="24"/>
                <w:szCs w:val="24"/>
                <w:rtl w:val="0"/>
              </w:rPr>
              <w:t xml:space="preserve">1.4304506692454837</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2"/>
        </w:numPr>
        <w:spacing w:line="360" w:lineRule="auto"/>
        <w:ind w:left="720" w:hanging="360"/>
        <w:jc w:val="both"/>
        <w:rPr/>
      </w:pPr>
      <w:r w:rsidDel="00000000" w:rsidR="00000000" w:rsidRPr="00000000">
        <w:rPr>
          <w:sz w:val="24"/>
          <w:szCs w:val="24"/>
          <w:rtl w:val="0"/>
        </w:rPr>
        <w:t xml:space="preserve">The Mean Squared Error (MSE) is a common metric for evaluating the performance of regression models. It measures the average squared difference between the predicted and actual values.</w:t>
      </w:r>
    </w:p>
    <w:p w:rsidR="00000000" w:rsidDel="00000000" w:rsidP="00000000" w:rsidRDefault="00000000" w:rsidRPr="00000000" w14:paraId="000000DD">
      <w:pPr>
        <w:numPr>
          <w:ilvl w:val="0"/>
          <w:numId w:val="2"/>
        </w:numPr>
        <w:spacing w:line="360" w:lineRule="auto"/>
        <w:ind w:left="720" w:hanging="360"/>
        <w:jc w:val="both"/>
        <w:rPr/>
      </w:pPr>
      <w:r w:rsidDel="00000000" w:rsidR="00000000" w:rsidRPr="00000000">
        <w:rPr>
          <w:sz w:val="24"/>
          <w:szCs w:val="24"/>
          <w:rtl w:val="0"/>
        </w:rPr>
        <w:t xml:space="preserve">The MSE for SVR on Finance Data is relatively low at 0.1188, indicating that the model is able to accurately predict financial data.</w:t>
      </w:r>
    </w:p>
    <w:p w:rsidR="00000000" w:rsidDel="00000000" w:rsidP="00000000" w:rsidRDefault="00000000" w:rsidRPr="00000000" w14:paraId="000000DE">
      <w:pPr>
        <w:numPr>
          <w:ilvl w:val="0"/>
          <w:numId w:val="2"/>
        </w:numPr>
        <w:spacing w:line="360" w:lineRule="auto"/>
        <w:ind w:left="720" w:hanging="360"/>
        <w:jc w:val="both"/>
        <w:rPr/>
      </w:pPr>
      <w:r w:rsidDel="00000000" w:rsidR="00000000" w:rsidRPr="00000000">
        <w:rPr>
          <w:sz w:val="24"/>
          <w:szCs w:val="24"/>
          <w:rtl w:val="0"/>
        </w:rPr>
        <w:t xml:space="preserve">The MSE for SVR on Energy Data is higher at 0.9121, suggesting that the model may have more difficulty predicting energy data.</w:t>
      </w:r>
    </w:p>
    <w:p w:rsidR="00000000" w:rsidDel="00000000" w:rsidP="00000000" w:rsidRDefault="00000000" w:rsidRPr="00000000" w14:paraId="000000DF">
      <w:pPr>
        <w:numPr>
          <w:ilvl w:val="0"/>
          <w:numId w:val="2"/>
        </w:numPr>
        <w:spacing w:line="360" w:lineRule="auto"/>
        <w:ind w:left="720" w:hanging="360"/>
        <w:jc w:val="both"/>
        <w:rPr/>
      </w:pPr>
      <w:r w:rsidDel="00000000" w:rsidR="00000000" w:rsidRPr="00000000">
        <w:rPr>
          <w:sz w:val="24"/>
          <w:szCs w:val="24"/>
          <w:rtl w:val="0"/>
        </w:rPr>
        <w:t xml:space="preserve">The MSE for SVR on CO2 Data is the highest at 1.4305, indicating that the model may struggle to accurately predict CO2 data.</w:t>
      </w:r>
    </w:p>
    <w:p w:rsidR="00000000" w:rsidDel="00000000" w:rsidP="00000000" w:rsidRDefault="00000000" w:rsidRPr="00000000" w14:paraId="000000E0">
      <w:pPr>
        <w:pStyle w:val="Heading1"/>
        <w:rPr/>
      </w:pPr>
      <w:r w:rsidDel="00000000" w:rsidR="00000000" w:rsidRPr="00000000">
        <w:rPr>
          <w:rtl w:val="0"/>
        </w:rPr>
        <w:t xml:space="preserve">LSTM:</w:t>
      </w:r>
    </w:p>
    <w:p w:rsidR="00000000" w:rsidDel="00000000" w:rsidP="00000000" w:rsidRDefault="00000000" w:rsidRPr="00000000" w14:paraId="000000E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Short-Term Memory (LSTM) is a type of recurrent neural network (RNN) that is well-su to modelling sequential data, such as time series or natural language.</w:t>
      </w:r>
    </w:p>
    <w:p w:rsidR="00000000" w:rsidDel="00000000" w:rsidP="00000000" w:rsidRDefault="00000000" w:rsidRPr="00000000" w14:paraId="000000E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networks are designed to address the vanishing gradient problem that can occur in traditional RNNs, which can make it difficult for the network to learn long-term dependencies in the data.</w:t>
      </w:r>
    </w:p>
    <w:p w:rsidR="00000000" w:rsidDel="00000000" w:rsidP="00000000" w:rsidRDefault="00000000" w:rsidRPr="00000000" w14:paraId="000000E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Finance Data, it is increasing gradually. In the terms of the Energy Data, there is some variation. In case of the Co2 Data, there is huge variation.</w:t>
      </w:r>
    </w:p>
    <w:p w:rsidR="00000000" w:rsidDel="00000000" w:rsidP="00000000" w:rsidRDefault="00000000" w:rsidRPr="00000000" w14:paraId="000000E4">
      <w:pPr>
        <w:pStyle w:val="Heading1"/>
        <w:rPr/>
      </w:pPr>
      <w:r w:rsidDel="00000000" w:rsidR="00000000" w:rsidRPr="00000000">
        <w:rPr>
          <w:rtl w:val="0"/>
        </w:rPr>
        <w:t xml:space="preserve">Hybrid ARIMA-LSTM Forecast:</w:t>
      </w:r>
    </w:p>
    <w:tbl>
      <w:tblPr>
        <w:tblStyle w:val="Table6"/>
        <w:tblW w:w="102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475"/>
        <w:gridCol w:w="2854"/>
        <w:gridCol w:w="3025"/>
        <w:gridCol w:w="2894"/>
        <w:tblGridChange w:id="0">
          <w:tblGrid>
            <w:gridCol w:w="1475"/>
            <w:gridCol w:w="2854"/>
            <w:gridCol w:w="3025"/>
            <w:gridCol w:w="28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15.0" w:type="dxa"/>
              <w:left w:w="0.0" w:type="dxa"/>
              <w:bottom w:w="137.0" w:type="dxa"/>
              <w:right w:w="137.0" w:type="dxa"/>
            </w:tcMar>
            <w:vAlign w:val="bottom"/>
          </w:tcPr>
          <w:p w:rsidR="00000000" w:rsidDel="00000000" w:rsidP="00000000" w:rsidRDefault="00000000" w:rsidRPr="00000000" w14:paraId="000000E5">
            <w:pPr>
              <w:spacing w:line="360" w:lineRule="auto"/>
              <w:jc w:val="both"/>
              <w:rPr>
                <w:b w:val="1"/>
                <w:sz w:val="24"/>
                <w:szCs w:val="24"/>
              </w:rPr>
            </w:pPr>
            <w:r w:rsidDel="00000000" w:rsidR="00000000" w:rsidRPr="00000000">
              <w:rPr>
                <w:b w:val="1"/>
                <w:sz w:val="24"/>
                <w:szCs w:val="24"/>
                <w:rtl w:val="0"/>
              </w:rPr>
              <w:t xml:space="preserve">Data Type</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E6">
            <w:pPr>
              <w:spacing w:line="360" w:lineRule="auto"/>
              <w:jc w:val="both"/>
              <w:rPr>
                <w:b w:val="1"/>
                <w:sz w:val="24"/>
                <w:szCs w:val="24"/>
              </w:rPr>
            </w:pPr>
            <w:r w:rsidDel="00000000" w:rsidR="00000000" w:rsidRPr="00000000">
              <w:rPr>
                <w:b w:val="1"/>
                <w:sz w:val="24"/>
                <w:szCs w:val="24"/>
                <w:rtl w:val="0"/>
              </w:rPr>
              <w:t xml:space="preserve">Metric</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137.0" w:type="dxa"/>
            </w:tcMar>
            <w:vAlign w:val="bottom"/>
          </w:tcPr>
          <w:p w:rsidR="00000000" w:rsidDel="00000000" w:rsidP="00000000" w:rsidRDefault="00000000" w:rsidRPr="00000000" w14:paraId="000000E7">
            <w:pPr>
              <w:spacing w:line="360" w:lineRule="auto"/>
              <w:jc w:val="both"/>
              <w:rPr>
                <w:b w:val="1"/>
                <w:sz w:val="24"/>
                <w:szCs w:val="24"/>
              </w:rPr>
            </w:pPr>
            <w:r w:rsidDel="00000000" w:rsidR="00000000" w:rsidRPr="00000000">
              <w:rPr>
                <w:b w:val="1"/>
                <w:sz w:val="24"/>
                <w:szCs w:val="24"/>
                <w:rtl w:val="0"/>
              </w:rPr>
              <w:t xml:space="preserve">Mean Squared Error</w:t>
            </w:r>
          </w:p>
        </w:tc>
        <w:tc>
          <w:tcPr>
            <w:tcBorders>
              <w:top w:color="000000" w:space="0" w:sz="4" w:val="single"/>
              <w:left w:color="000000" w:space="0" w:sz="4" w:val="single"/>
              <w:bottom w:color="000000" w:space="0" w:sz="4" w:val="single"/>
              <w:right w:color="000000" w:space="0" w:sz="4" w:val="single"/>
            </w:tcBorders>
            <w:tcMar>
              <w:top w:w="15.0" w:type="dxa"/>
              <w:left w:w="137.0" w:type="dxa"/>
              <w:bottom w:w="137.0" w:type="dxa"/>
              <w:right w:w="0.0" w:type="dxa"/>
            </w:tcMar>
            <w:vAlign w:val="bottom"/>
          </w:tcPr>
          <w:p w:rsidR="00000000" w:rsidDel="00000000" w:rsidP="00000000" w:rsidRDefault="00000000" w:rsidRPr="00000000" w14:paraId="000000E8">
            <w:pPr>
              <w:spacing w:line="360" w:lineRule="auto"/>
              <w:jc w:val="both"/>
              <w:rPr>
                <w:b w:val="1"/>
                <w:sz w:val="24"/>
                <w:szCs w:val="24"/>
              </w:rPr>
            </w:pPr>
            <w:r w:rsidDel="00000000" w:rsidR="00000000" w:rsidRPr="00000000">
              <w:rPr>
                <w:b w:val="1"/>
                <w:sz w:val="24"/>
                <w:szCs w:val="24"/>
                <w:rtl w:val="0"/>
              </w:rPr>
              <w:t xml:space="preserve">Mean Absolute Error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E9">
            <w:pPr>
              <w:spacing w:line="360" w:lineRule="auto"/>
              <w:jc w:val="both"/>
              <w:rPr>
                <w:sz w:val="24"/>
                <w:szCs w:val="24"/>
              </w:rPr>
            </w:pPr>
            <w:r w:rsidDel="00000000" w:rsidR="00000000" w:rsidRPr="00000000">
              <w:rPr>
                <w:sz w:val="24"/>
                <w:szCs w:val="24"/>
                <w:rtl w:val="0"/>
              </w:rPr>
              <w:t xml:space="preserve">CO2</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Mean Squared Error</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1.2928432943871444</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0.894229045832396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CO2</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Mean Absolute Error</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0.894229045832396</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F0">
            <w:pPr>
              <w:spacing w:line="360" w:lineRule="auto"/>
              <w:jc w:val="both"/>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F1">
            <w:pPr>
              <w:spacing w:line="360" w:lineRule="auto"/>
              <w:jc w:val="both"/>
              <w:rPr>
                <w:sz w:val="24"/>
                <w:szCs w:val="24"/>
              </w:rPr>
            </w:pPr>
            <w:r w:rsidDel="00000000" w:rsidR="00000000" w:rsidRPr="00000000">
              <w:rPr>
                <w:sz w:val="24"/>
                <w:szCs w:val="24"/>
                <w:rtl w:val="0"/>
              </w:rPr>
              <w:t xml:space="preserve">Energy</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Mean Squared Error</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F3">
            <w:pPr>
              <w:spacing w:line="360" w:lineRule="auto"/>
              <w:jc w:val="both"/>
              <w:rPr>
                <w:sz w:val="24"/>
                <w:szCs w:val="24"/>
              </w:rPr>
            </w:pPr>
            <w:r w:rsidDel="00000000" w:rsidR="00000000" w:rsidRPr="00000000">
              <w:rPr>
                <w:sz w:val="24"/>
                <w:szCs w:val="24"/>
                <w:rtl w:val="0"/>
              </w:rPr>
              <w:t xml:space="preserve">1.879308346892038</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1.1767727966867814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Energy</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Mean Absolute Error</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F7">
            <w:pPr>
              <w:spacing w:line="360" w:lineRule="auto"/>
              <w:jc w:val="both"/>
              <w:rPr>
                <w:sz w:val="24"/>
                <w:szCs w:val="24"/>
              </w:rPr>
            </w:pPr>
            <w:r w:rsidDel="00000000" w:rsidR="00000000" w:rsidRPr="00000000">
              <w:rPr>
                <w:sz w:val="24"/>
                <w:szCs w:val="24"/>
                <w:rtl w:val="0"/>
              </w:rPr>
              <w:t xml:space="preserve">1.1767727966867814</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F8">
            <w:pPr>
              <w:spacing w:line="360" w:lineRule="auto"/>
              <w:jc w:val="both"/>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Finance</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Mean Squared Error</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FB">
            <w:pPr>
              <w:spacing w:line="360" w:lineRule="auto"/>
              <w:jc w:val="both"/>
              <w:rPr>
                <w:sz w:val="24"/>
                <w:szCs w:val="24"/>
              </w:rPr>
            </w:pPr>
            <w:r w:rsidDel="00000000" w:rsidR="00000000" w:rsidRPr="00000000">
              <w:rPr>
                <w:sz w:val="24"/>
                <w:szCs w:val="24"/>
                <w:rtl w:val="0"/>
              </w:rPr>
              <w:t xml:space="preserve">2.3508178851147195</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0.0" w:type="dxa"/>
            </w:tcMar>
            <w:vAlign w:val="bottom"/>
          </w:tcPr>
          <w:p w:rsidR="00000000" w:rsidDel="00000000" w:rsidP="00000000" w:rsidRDefault="00000000" w:rsidRPr="00000000" w14:paraId="000000FC">
            <w:pPr>
              <w:spacing w:line="360" w:lineRule="auto"/>
              <w:jc w:val="both"/>
              <w:rPr>
                <w:sz w:val="24"/>
                <w:szCs w:val="24"/>
              </w:rPr>
            </w:pPr>
            <w:r w:rsidDel="00000000" w:rsidR="00000000" w:rsidRPr="00000000">
              <w:rPr>
                <w:sz w:val="24"/>
                <w:szCs w:val="24"/>
                <w:rtl w:val="0"/>
              </w:rPr>
              <w:t xml:space="preserve">0.7594565563832417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37.0" w:type="dxa"/>
              <w:left w:w="0.0" w:type="dxa"/>
              <w:bottom w:w="137.0" w:type="dxa"/>
              <w:right w:w="137.0" w:type="dxa"/>
            </w:tcMar>
            <w:vAlign w:val="bottom"/>
          </w:tcPr>
          <w:p w:rsidR="00000000" w:rsidDel="00000000" w:rsidP="00000000" w:rsidRDefault="00000000" w:rsidRPr="00000000" w14:paraId="000000FD">
            <w:pPr>
              <w:spacing w:line="360" w:lineRule="auto"/>
              <w:jc w:val="both"/>
              <w:rPr>
                <w:sz w:val="24"/>
                <w:szCs w:val="24"/>
              </w:rPr>
            </w:pPr>
            <w:r w:rsidDel="00000000" w:rsidR="00000000" w:rsidRPr="00000000">
              <w:rPr>
                <w:sz w:val="24"/>
                <w:szCs w:val="24"/>
                <w:rtl w:val="0"/>
              </w:rPr>
              <w:t xml:space="preserve">Finance</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Mean Absolute Error</w:t>
            </w:r>
          </w:p>
        </w:tc>
        <w:tc>
          <w:tcPr>
            <w:tcBorders>
              <w:top w:color="000000" w:space="0" w:sz="4" w:val="single"/>
              <w:left w:color="000000" w:space="0" w:sz="4" w:val="single"/>
              <w:bottom w:color="000000" w:space="0" w:sz="4" w:val="single"/>
              <w:right w:color="000000" w:space="0" w:sz="4" w:val="single"/>
            </w:tcBorders>
            <w:tcMar>
              <w:top w:w="137.0" w:type="dxa"/>
              <w:left w:w="137.0" w:type="dxa"/>
              <w:bottom w:w="137.0" w:type="dxa"/>
              <w:right w:w="137.0" w:type="dxa"/>
            </w:tcMar>
            <w:vAlign w:val="bottom"/>
          </w:tcPr>
          <w:p w:rsidR="00000000" w:rsidDel="00000000" w:rsidP="00000000" w:rsidRDefault="00000000" w:rsidRPr="00000000" w14:paraId="000000FF">
            <w:pPr>
              <w:spacing w:line="360" w:lineRule="auto"/>
              <w:jc w:val="both"/>
              <w:rPr>
                <w:sz w:val="24"/>
                <w:szCs w:val="24"/>
              </w:rPr>
            </w:pPr>
            <w:r w:rsidDel="00000000" w:rsidR="00000000" w:rsidRPr="00000000">
              <w:rPr>
                <w:sz w:val="24"/>
                <w:szCs w:val="24"/>
                <w:rtl w:val="0"/>
              </w:rPr>
              <w:t xml:space="preserve">0.7594565563832417</w:t>
            </w:r>
          </w:p>
        </w:tc>
        <w:tc>
          <w:tcPr>
            <w:vAlign w:val="center"/>
          </w:tcPr>
          <w:p w:rsidR="00000000" w:rsidDel="00000000" w:rsidP="00000000" w:rsidRDefault="00000000" w:rsidRPr="00000000" w14:paraId="00000100">
            <w:pPr>
              <w:spacing w:line="360" w:lineRule="auto"/>
              <w:jc w:val="both"/>
              <w:rPr>
                <w:sz w:val="24"/>
                <w:szCs w:val="24"/>
              </w:rPr>
            </w:pPr>
            <w:r w:rsidDel="00000000" w:rsidR="00000000" w:rsidRPr="00000000">
              <w:rPr>
                <w:sz w:val="24"/>
                <w:szCs w:val="24"/>
                <w:rtl w:val="0"/>
              </w:rPr>
              <w:br w:type="textWrapping"/>
            </w:r>
          </w:p>
        </w:tc>
      </w:tr>
    </w:tbl>
    <w:p w:rsidR="00000000" w:rsidDel="00000000" w:rsidP="00000000" w:rsidRDefault="00000000" w:rsidRPr="00000000" w14:paraId="00000101">
      <w:pPr>
        <w:spacing w:line="360" w:lineRule="auto"/>
        <w:jc w:val="both"/>
        <w:rPr>
          <w:sz w:val="24"/>
          <w:szCs w:val="24"/>
        </w:rPr>
      </w:pPr>
      <w:r w:rsidDel="00000000" w:rsidR="00000000" w:rsidRPr="00000000">
        <w:rPr>
          <w:rtl w:val="0"/>
        </w:rPr>
      </w:r>
    </w:p>
    <w:p w:rsidR="00000000" w:rsidDel="00000000" w:rsidP="00000000" w:rsidRDefault="00000000" w:rsidRPr="00000000" w14:paraId="00000102">
      <w:pPr>
        <w:spacing w:line="360" w:lineRule="auto"/>
        <w:jc w:val="both"/>
        <w:rPr>
          <w:sz w:val="24"/>
          <w:szCs w:val="24"/>
        </w:rPr>
      </w:pPr>
      <w:r w:rsidDel="00000000" w:rsidR="00000000" w:rsidRPr="00000000">
        <w:rPr>
          <w:sz w:val="24"/>
          <w:szCs w:val="24"/>
          <w:rtl w:val="0"/>
        </w:rPr>
        <w:t xml:space="preserve">The Hybrid ARIMA-LSTM Forecast model performs best on the CO2 dataset, with the lowest MSE and MAE values.</w:t>
      </w:r>
    </w:p>
    <w:p w:rsidR="00000000" w:rsidDel="00000000" w:rsidP="00000000" w:rsidRDefault="00000000" w:rsidRPr="00000000" w14:paraId="00000103">
      <w:pPr>
        <w:numPr>
          <w:ilvl w:val="0"/>
          <w:numId w:val="7"/>
        </w:numPr>
        <w:spacing w:line="360"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train_best_arima_model</w:t>
      </w:r>
      <w:r w:rsidDel="00000000" w:rsidR="00000000" w:rsidRPr="00000000">
        <w:rPr>
          <w:sz w:val="24"/>
          <w:szCs w:val="24"/>
          <w:rtl w:val="0"/>
        </w:rPr>
        <w:t xml:space="preserve"> function trains an ARIMA model by searching for the best combination of p, d, and q values that minimize the AIC (Akaike Information Criterion) score.</w:t>
      </w:r>
    </w:p>
    <w:p w:rsidR="00000000" w:rsidDel="00000000" w:rsidP="00000000" w:rsidRDefault="00000000" w:rsidRPr="00000000" w14:paraId="00000104">
      <w:pPr>
        <w:numPr>
          <w:ilvl w:val="0"/>
          <w:numId w:val="7"/>
        </w:numPr>
        <w:spacing w:line="360"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train_lstm_model</w:t>
      </w:r>
      <w:r w:rsidDel="00000000" w:rsidR="00000000" w:rsidRPr="00000000">
        <w:rPr>
          <w:sz w:val="24"/>
          <w:szCs w:val="24"/>
          <w:rtl w:val="0"/>
        </w:rPr>
        <w:t xml:space="preserve"> function trains an LSTM model using the Keras library, with a single LSTM layer followed by a dense output layer.</w:t>
      </w:r>
    </w:p>
    <w:p w:rsidR="00000000" w:rsidDel="00000000" w:rsidP="00000000" w:rsidRDefault="00000000" w:rsidRPr="00000000" w14:paraId="00000105">
      <w:pPr>
        <w:numPr>
          <w:ilvl w:val="0"/>
          <w:numId w:val="7"/>
        </w:numPr>
        <w:spacing w:line="360"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create_windowed_data</w:t>
      </w:r>
      <w:r w:rsidDel="00000000" w:rsidR="00000000" w:rsidRPr="00000000">
        <w:rPr>
          <w:sz w:val="24"/>
          <w:szCs w:val="24"/>
          <w:rtl w:val="0"/>
        </w:rPr>
        <w:t xml:space="preserve"> function creates windowed data for the LSTM model by splitting the input data into overlapping windows of a specified size.</w:t>
      </w:r>
    </w:p>
    <w:p w:rsidR="00000000" w:rsidDel="00000000" w:rsidP="00000000" w:rsidRDefault="00000000" w:rsidRPr="00000000" w14:paraId="00000106">
      <w:pPr>
        <w:numPr>
          <w:ilvl w:val="0"/>
          <w:numId w:val="7"/>
        </w:numPr>
        <w:spacing w:line="360"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run_hybrid_model</w:t>
      </w:r>
      <w:r w:rsidDel="00000000" w:rsidR="00000000" w:rsidRPr="00000000">
        <w:rPr>
          <w:sz w:val="24"/>
          <w:szCs w:val="24"/>
          <w:rtl w:val="0"/>
        </w:rPr>
        <w:t xml:space="preserve"> function runs the hybrid ARIMA-LSTM model on a given dataset. It first trains an ARIMA model on the dataset, then uses the residuals from the ARIMA model to train an LSTM model. The ARIMA and LSTM predictions are then combined to make the final hybrid prediction.</w:t>
      </w:r>
    </w:p>
    <w:p w:rsidR="00000000" w:rsidDel="00000000" w:rsidP="00000000" w:rsidRDefault="00000000" w:rsidRPr="00000000" w14:paraId="00000107">
      <w:pPr>
        <w:rPr>
          <w:color w:val="2f5496"/>
          <w:sz w:val="32"/>
          <w:szCs w:val="32"/>
        </w:rPr>
      </w:pPr>
      <w:r w:rsidDel="00000000" w:rsidR="00000000" w:rsidRPr="00000000">
        <w:rPr>
          <w:rtl w:val="0"/>
        </w:rPr>
        <w:br w:type="textWrapping"/>
      </w:r>
      <w:r w:rsidDel="00000000" w:rsidR="00000000" w:rsidRPr="00000000">
        <w:rPr>
          <w:color w:val="2f5496"/>
          <w:sz w:val="32"/>
          <w:szCs w:val="32"/>
          <w:rtl w:val="0"/>
        </w:rPr>
        <w:t xml:space="preserve">FRONT END:</w:t>
      </w:r>
    </w:p>
    <w:p w:rsidR="00000000" w:rsidDel="00000000" w:rsidP="00000000" w:rsidRDefault="00000000" w:rsidRPr="00000000" w14:paraId="00000108">
      <w:pPr>
        <w:rPr>
          <w:color w:val="2f5496"/>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br w:type="textWrapping"/>
        <w:t xml:space="preserve">Front-end development and HTML pages play a crucial role in creating user interfaces for web applications. In this report, we will discuss the significance of front-end development, the role of HTML in web development, and how this chat can be utilized to enhance the front-end development process.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Front-end Development:</w:t>
      </w:r>
    </w:p>
    <w:p w:rsidR="00000000" w:rsidDel="00000000" w:rsidP="00000000" w:rsidRDefault="00000000" w:rsidRPr="00000000" w14:paraId="0000010C">
      <w:pPr>
        <w:rPr>
          <w:sz w:val="24"/>
          <w:szCs w:val="24"/>
        </w:rPr>
      </w:pPr>
      <w:r w:rsidDel="00000000" w:rsidR="00000000" w:rsidRPr="00000000">
        <w:rPr>
          <w:sz w:val="24"/>
          <w:szCs w:val="24"/>
          <w:rtl w:val="0"/>
        </w:rPr>
        <w:t xml:space="preserve">Front-end development refers to the creation of the user interface and user experience of a website or web application. It involves implementing designs provided by UI/UX designers using HTML, CSS, and JavaScript. Front-end developers focus on creating visually appealing, responsive, and interactive interfaces that engage users and enhance their experience.</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Role of HTML in Web Development:</w:t>
      </w:r>
    </w:p>
    <w:p w:rsidR="00000000" w:rsidDel="00000000" w:rsidP="00000000" w:rsidRDefault="00000000" w:rsidRPr="00000000" w14:paraId="0000010F">
      <w:pPr>
        <w:rPr>
          <w:sz w:val="24"/>
          <w:szCs w:val="24"/>
        </w:rPr>
      </w:pPr>
      <w:r w:rsidDel="00000000" w:rsidR="00000000" w:rsidRPr="00000000">
        <w:rPr>
          <w:sz w:val="24"/>
          <w:szCs w:val="24"/>
          <w:rtl w:val="0"/>
        </w:rPr>
        <w:t xml:space="preserve">HTML (Hypertext Markup Language) is the standard markup language used to create web pages. It provides the structure and content of a web page by defining elements such as headings, paragraphs, links, images, forms, and more. HTML works in conjunction with CSS (Cascading Style Sheets) and JavaScript to create visually appealing and interactive web pages.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HTML pages serve as the foundation of web development, providing the structure and semantics necessary for search engines to understand and index content correctly. HTML5, the latest version of HTML, introduced new features and APIs that enable developers to create more powerful and dynamic web applications.</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Utilizing Chat for Front-end Development:</w:t>
      </w:r>
    </w:p>
    <w:p w:rsidR="00000000" w:rsidDel="00000000" w:rsidP="00000000" w:rsidRDefault="00000000" w:rsidRPr="00000000" w14:paraId="00000114">
      <w:pPr>
        <w:rPr>
          <w:sz w:val="24"/>
          <w:szCs w:val="24"/>
        </w:rPr>
      </w:pPr>
      <w:r w:rsidDel="00000000" w:rsidR="00000000" w:rsidRPr="00000000">
        <w:rPr>
          <w:sz w:val="24"/>
          <w:szCs w:val="24"/>
          <w:rtl w:val="0"/>
        </w:rPr>
        <w:t xml:space="preserve">This chat platform can be leveraged in various ways to enhance the front-end development process:</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Real-time Collaboration: Front-end developers can use this chat to collaborate with UI/UX designers, back-end developers, and other team members in real-time. They can discuss design ideas, share code snippets, and provide feedback instantly, leading to more efficient development workflows.</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Code Review: Developers can use this chat to conduct code reviews for HTML, CSS, and JavaScript files. They can share code snippets or GitHub links, discuss best practices, and identify potential bugs or improvements together.</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Problem Solving: When facing technical challenges or bugs in front-end code, developers can seek help from their peers or mentors through this chat. They can describe the issue, share relevant code snippets or error messages, and receive guidance or solutions to resolve the problem effectively.</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Knowledge Sharing: Front-end developers can use this chat to share useful resources, tutorials, articles, and tips related to HTML, CSS, JavaScript, and front-end development best practices. They can help each other stay updated with the latest trends and techniques in the industry.</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Feedback and Testing: Developers can gather feedback from users or stakeholders on HTML pages and UI prototypes by sharing them through this chat. They can conduct usability tests, gather insights, and iterate on designs based on the feedback received, ensuring that the final product meets user requirements and expectations.</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121">
      <w:pPr>
        <w:rPr>
          <w:sz w:val="24"/>
          <w:szCs w:val="24"/>
        </w:rPr>
      </w:pPr>
      <w:r w:rsidDel="00000000" w:rsidR="00000000" w:rsidRPr="00000000">
        <w:rPr>
          <w:sz w:val="24"/>
          <w:szCs w:val="24"/>
          <w:rtl w:val="0"/>
        </w:rPr>
        <w:t xml:space="preserve">Front-end development and HTML pages are integral components of web development, shaping the user experience and interface of websites and web applications. By leveraging this chat platform, front-end developers can streamline collaboration, enhance communication, and accelerate the development process, ultimately delivering high-quality and user-friendly web experiences.</w:t>
      </w:r>
    </w:p>
    <w:p w:rsidR="00000000" w:rsidDel="00000000" w:rsidP="00000000" w:rsidRDefault="00000000" w:rsidRPr="00000000" w14:paraId="00000122">
      <w:pPr>
        <w:rPr/>
      </w:pPr>
      <w:r w:rsidDel="00000000" w:rsidR="00000000" w:rsidRPr="00000000">
        <w:rPr>
          <w:rtl w:val="0"/>
        </w:rPr>
      </w:r>
    </w:p>
    <w:sectPr>
      <w:pgSz w:h="16838" w:w="11906" w:orient="portrait"/>
      <w:pgMar w:bottom="1440" w:top="1440" w:left="1418"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