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left"/>
      </w:pPr>
      <w:r>
        <w:rPr>
          <w:b/>
          <w:color w:val="5894A7"/>
          <w:sz w:val="22"/>
        </w:rPr>
        <w:t>Guía de uso</w:t>
      </w:r>
    </w:p>
    <w:p>
      <w:pPr>
        <w:spacing w:line="276" w:lineRule="auto"/>
        <w:jc w:val="left"/>
      </w:pPr>
      <w:r>
        <w:rPr>
          <w:b/>
          <w:color w:val="0D313F"/>
          <w:sz w:val="40"/>
        </w:rPr>
        <w:t>Registro de desvíos en la gestión de residuos</w:t>
      </w:r>
    </w:p>
    <w:p>
      <w:pPr>
        <w:jc w:val="left"/>
      </w:pPr>
      <w:r>
        <w:rPr>
          <w:sz w:val="22"/>
        </w:rPr>
        <w:t>Para el referente del Hospital Subzonal Santa Teresita (HSST, Rawson): internación, servicios y CAPS.</w:t>
      </w:r>
    </w:p>
    <w:p>
      <w:pPr>
        <w:spacing w:after="200"/>
        <w:jc w:val="left"/>
      </w:pPr>
      <w:r>
        <w:rPr>
          <w:color w:val="6B7780"/>
          <w:sz w:val="18"/>
        </w:rPr>
        <w:t>Servicio de Higiene y Seguridad Laboral · Complementa y no reemplaza al Servicio de Higiene y Seguridad del establecimiento.</w:t>
      </w:r>
    </w:p>
    <w:p>
      <w:pPr>
        <w:pStyle w:val="Heading1"/>
      </w:pPr>
      <w:r>
        <w:t>1. Para qué sirve</w:t>
      </w:r>
    </w:p>
    <w:p>
      <w:r>
        <w:t>Para dejar registrado lo que se ve mal con los residuos en la internación, en los servicios y en los CAPS: bolsas en el piso o del color equivocado, cortopunzantes sueltos, contenedores llenos o depósitos desordenados. No es para buscar culpables: cada registro es una oportunidad de mejora.</w:t>
      </w:r>
    </w:p>
    <w:p>
      <w:r>
        <w:t>No se mandan correos. Lo cargado queda en el sistema: Higiene y Seguridad lo revisa y el referente lo ve en «Mi establecimiento».</w:t>
      </w:r>
    </w:p>
    <w:p>
      <w:pPr>
        <w:pStyle w:val="Heading1"/>
      </w:pPr>
      <w:r>
        <w:t>2. Cómo entrar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Desde «Mi establecimiento» </w:t>
      </w:r>
      <w:r>
        <w:rPr>
          <w:rFonts w:ascii="Plus Jakarta Sans" w:hAnsi="Plus Jakarta Sans"/>
          <w:color w:val="3D4A52"/>
        </w:rPr>
        <w:t>› 1 · Residuos › «Cargar un desvío».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Escaneando el QR </w:t>
      </w:r>
      <w:r>
        <w:rPr>
          <w:rFonts w:ascii="Plus Jakarta Sans" w:hAnsi="Plus Jakarta Sans"/>
          <w:color w:val="3D4A52"/>
        </w:rPr>
        <w:t>pegado en cada servicio o CAPS: la página abre con el lugar ya elegido.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Desde el enlace </w:t>
      </w:r>
      <w:r>
        <w:rPr>
          <w:rFonts w:ascii="Plus Jakarta Sans" w:hAnsi="Plus Jakarta Sans"/>
          <w:color w:val="3D4A52"/>
        </w:rPr>
        <w:t>hyslhmh-sudo.github.io/manifiestos/desvios/?e=HSST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Consejo: </w:t>
      </w:r>
      <w:r>
        <w:rPr>
          <w:rFonts w:ascii="Plus Jakarta Sans" w:hAnsi="Plus Jakarta Sans"/>
          <w:color w:val="3D4A52"/>
        </w:rPr>
        <w:t>en el celular, tocá los tres puntitos del navegador y «Agregar a la pantalla de inicio».</w:t>
      </w:r>
    </w:p>
    <w:p>
      <w:pPr>
        <w:pStyle w:val="Heading1"/>
      </w:pPr>
      <w:r>
        <w:t>3. Paso a paso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Quién carga. </w:t>
      </w:r>
      <w:r>
        <w:rPr>
          <w:rFonts w:ascii="Plus Jakarta Sans" w:hAnsi="Plus Jakarta Sans"/>
          <w:color w:val="3D4A52"/>
        </w:rPr>
        <w:t>La primera vez elegí tu nombre y escribí los 3 últimos números de tu DNI. El teléfono te recuerda para la próxima.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Dónde. </w:t>
      </w:r>
      <w:r>
        <w:rPr>
          <w:rFonts w:ascii="Plus Jakarta Sans" w:hAnsi="Plus Jakarta Sans"/>
          <w:color w:val="3D4A52"/>
        </w:rPr>
        <w:t>Si entraste por el QR, el lugar ya está elegido. Si no, elegí Internación, Servicios o CAPS y tocá el lugar. Podés agregar más precisión (por ejemplo, «habitación 4», «depósito del fondo»).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Antes se registró en este lugar. </w:t>
      </w:r>
      <w:r>
        <w:rPr>
          <w:rFonts w:ascii="Plus Jakarta Sans" w:hAnsi="Plus Jakarta Sans"/>
          <w:color w:val="3D4A52"/>
        </w:rPr>
        <w:t>Si Higiene y Seguridad ya tomó una medida por un desvío de ese lugar, la página lo muestra: marcá «Sigue igual» o «Ya está corregido».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Qué viste. </w:t>
      </w:r>
      <w:r>
        <w:rPr>
          <w:rFonts w:ascii="Plus Jakarta Sans" w:hAnsi="Plus Jakarta Sans"/>
          <w:color w:val="3D4A52"/>
        </w:rPr>
        <w:t>Marcá una o varias opciones. Las de cortopunzantes se ven en rojo porque quedan como urgentes.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Por qué pasó. </w:t>
      </w:r>
      <w:r>
        <w:rPr>
          <w:rFonts w:ascii="Plus Jakarta Sans" w:hAnsi="Plus Jakarta Sans"/>
          <w:color w:val="3D4A52"/>
        </w:rPr>
        <w:t>En «Contenedor lleno» o «Residuo fuera de contenedor», mirá todos los contenedores: si no había lugar en ninguno, el problema es que faltan contenedores.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Aislamientos. </w:t>
      </w:r>
      <w:r>
        <w:rPr>
          <w:rFonts w:ascii="Plus Jakarta Sans" w:hAnsi="Plus Jakarta Sans"/>
          <w:color w:val="3D4A52"/>
        </w:rPr>
        <w:t>Todo lo que sale de un aislamiento por enfermedad infectocontagiosa, incluida la comida, va en bolsa roja: no es un error.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Fotos. </w:t>
      </w:r>
      <w:r>
        <w:rPr>
          <w:rFonts w:ascii="Plus Jakarta Sans" w:hAnsi="Plus Jakarta Sans"/>
          <w:color w:val="3D4A52"/>
        </w:rPr>
        <w:t>Hasta 5, sacadas en el momento o elegidas del teléfono. Que no aparezcan pacientes ni personas.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Enviar. </w:t>
      </w:r>
      <w:r>
        <w:rPr>
          <w:rFonts w:ascii="Plus Jakarta Sans" w:hAnsi="Plus Jakarta Sans"/>
          <w:color w:val="3D4A52"/>
        </w:rPr>
        <w:t>Aparece el número de registro. La fecha y la hora se guardan solas.</w:t>
      </w:r>
    </w:p>
    <w:p>
      <w:pPr>
        <w:pStyle w:val="Heading1"/>
      </w:pPr>
      <w:r>
        <w:t>4. Ver lo cargado y verificar</w:t>
      </w:r>
    </w:p>
    <w:p>
      <w:r>
        <w:t>En «Mi establecimiento» › 1 · Residuos › «Mis desvíos» están todos los registros, lo que revisó Higiene y Seguridad y lo que hay que verificar en el lugar. Cuando pases por el lugar, tocá «Corregido» o «Sigue igual».</w:t>
      </w:r>
    </w:p>
    <w:p>
      <w:pPr>
        <w:pStyle w:val="Heading1"/>
      </w:pPr>
      <w:r>
        <w:t>5. Si alguien se lastimó</w:t>
      </w:r>
    </w:p>
    <w:p>
      <w:r>
        <w:t>Marcá «Sí» en «¿Alguien se lastimó?» y contá qué pasó. Además, la persona tiene que ir a la guardia en el momento; si es un pinchazo o corte con material usado, no hay que esperar.</w:t>
      </w:r>
    </w:p>
    <w:p>
      <w:pPr>
        <w:pStyle w:val="Heading1"/>
      </w:pPr>
      <w:r>
        <w:t>6. Sin señal</w:t>
      </w:r>
    </w:p>
    <w:p>
      <w:r>
        <w:t>La carga queda guardada en el teléfono y se manda sola cuando vuelve la conexión. No la cargues de nuevo.</w:t>
      </w:r>
    </w:p>
    <w:p>
      <w:pPr>
        <w:pStyle w:val="Heading1"/>
      </w:pPr>
      <w:r>
        <w:t>7. Cuidados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Mirá sin tocar. </w:t>
      </w:r>
      <w:r>
        <w:rPr>
          <w:rFonts w:ascii="Plus Jakarta Sans" w:hAnsi="Plus Jakarta Sans"/>
          <w:color w:val="3D4A52"/>
        </w:rPr>
        <w:t>Nunca abras una bolsa cerrada.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>No levantes cortopunzantes con la mano.</w:t>
      </w:r>
      <w:r>
        <w:rPr>
          <w:rFonts w:ascii="Plus Jakarta Sans" w:hAnsi="Plus Jakarta Sans"/>
          <w:color w:val="3D4A52"/>
        </w:rPr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>Primero la seguridad, después la foto.</w:t>
      </w:r>
      <w:r>
        <w:rPr>
          <w:rFonts w:ascii="Plus Jakarta Sans" w:hAnsi="Plus Jakarta Sans"/>
          <w:color w:val="3D4A52"/>
        </w:rPr>
      </w:r>
    </w:p>
    <w:p>
      <w:pPr>
        <w:pStyle w:val="Heading1"/>
      </w:pPr>
      <w:r>
        <w:t>8. Marco</w:t>
      </w:r>
    </w:p>
    <w:p>
      <w:r>
        <w:t>Este registro forma parte de la gestión interna de residuos del establecimiento y de las tareas de prevención en Higiene y Seguridad (Ley N.º 19.587 y Decreto N.º 351/79; Ley N.º 24.051 de residuos peligrosos y Ley XI N.º 35 de la Provincia del Chubut).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320000" cy="388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ys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0" cy="3888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780"/>
        <w:sz w:val="16"/>
      </w:rPr>
      <w:t xml:space="preserve">Página </w:t>
    </w:r>
    <w:r>
      <w:rPr>
        <w:color w:val="6B7780"/>
        <w:sz w:val="16"/>
      </w:rPr>
      <w:fldChar w:fldCharType="begin"/>
      <w:instrText xml:space="preserve">PAGE</w:instrText>
      <w:fldChar w:fldCharType="end"/>
    </w:r>
    <w:r>
      <w:rPr>
        <w:color w:val="6B7780"/>
        <w:sz w:val="16"/>
      </w:rPr>
      <w:t xml:space="preserve"> de </w:t>
    </w:r>
    <w:r>
      <w:rPr>
        <w:color w:val="6B77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36000" cy="93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-hs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93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780"/>
        <w:sz w:val="17"/>
      </w:rPr>
      <w:tab/>
      <w:t>Servicio de Higiene y Seguridad Laboral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jc w:val="both"/>
    </w:pPr>
    <w:rPr>
      <w:rFonts w:ascii="Plus Jakarta Sans" w:hAnsi="Plus Jakarta Sans" w:eastAsia="Plus Jakarta Sans"/>
      <w:color w:val="3D4A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jc w:val="left"/>
      <w:outlineLvl w:val="0"/>
    </w:pPr>
    <w:rPr>
      <w:rFonts w:asciiTheme="" w:eastAsiaTheme="majorEastAsia" w:hAnsiTheme="majorHAnsi" w:cstheme="majorBidi" w:ascii="Plus Jakarta Sans" w:hAnsi="Plus Jakarta Sans"/>
      <w:b/>
      <w:bCs/>
      <w:color w:val="0D31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" w:eastAsiaTheme="majorEastAsia" w:hAnsiTheme="majorHAnsi" w:cstheme="majorBidi" w:ascii="Plus Jakarta Sans" w:hAnsi="Plus Jakarta Sans"/>
      <w:b/>
      <w:bCs/>
      <w:color w:val="0D31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