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/>
        <w:jc w:val="left"/>
      </w:pPr>
      <w:r>
        <w:rPr>
          <w:b/>
          <w:color w:val="5894A7"/>
          <w:sz w:val="22"/>
        </w:rPr>
        <w:t>Guía de uso</w:t>
      </w:r>
    </w:p>
    <w:p>
      <w:pPr>
        <w:spacing w:line="276" w:lineRule="auto"/>
        <w:jc w:val="left"/>
      </w:pPr>
      <w:r>
        <w:rPr>
          <w:b/>
          <w:color w:val="0D313F"/>
          <w:sz w:val="40"/>
        </w:rPr>
        <w:t>Registro de desvíos en el recorrido de retiro de residuos</w:t>
      </w:r>
    </w:p>
    <w:p>
      <w:pPr>
        <w:jc w:val="left"/>
      </w:pPr>
      <w:r>
        <w:rPr>
          <w:sz w:val="22"/>
        </w:rPr>
        <w:t>Para los operarios de Star Union que hacen el traslado interno de residuos en el Hospital María Humphreys (HMH).</w:t>
      </w:r>
    </w:p>
    <w:p>
      <w:pPr>
        <w:spacing w:after="200"/>
        <w:jc w:val="left"/>
      </w:pPr>
      <w:r>
        <w:rPr>
          <w:color w:val="6B7780"/>
          <w:sz w:val="18"/>
        </w:rPr>
        <w:t>Versión 0 (actualizada el 22/10/2026) · Servicio de Higiene y Seguridad Laboral HZT / HMH</w:t>
      </w:r>
    </w:p>
    <w:p>
      <w:pPr>
        <w:pStyle w:val="Heading1"/>
      </w:pPr>
      <w:r>
        <w:t>1. Para qué sirve</w:t>
      </w:r>
    </w:p>
    <w:p>
      <w:r>
        <w:t>En cada recorrido ustedes ven antes que nadie lo que está mal en la gestión de residuos: bolsas en el piso, bolsas del color equivocado, agujas o vidrios sueltos, contenedores llenos o depósitos desordenados. Este registro sirve para que eso llegue en el momento a Higiene y Seguridad, con lugar, hora y foto, y se pueda corregir en el servicio que lo genera.</w:t>
      </w:r>
    </w:p>
    <w:p>
      <w:r>
        <w:t>No es para buscar culpables. Cada registro es una oportunidad de mejora y ayuda a cuidar a quien manipula los residuos después.</w:t>
      </w:r>
    </w:p>
    <w:p>
      <w:pPr>
        <w:pStyle w:val="Heading1"/>
      </w:pPr>
      <w:r>
        <w:t>2. Cómo entrar</w:t>
      </w:r>
    </w:p>
    <w:p>
      <w:pPr>
        <w:pStyle w:val="ListBullet"/>
        <w:spacing w:line="312" w:lineRule="auto"/>
        <w:jc w:val="left"/>
      </w:pPr>
      <w:r>
        <w:rPr>
          <w:rFonts w:ascii="Plus Jakarta Sans" w:hAnsi="Plus Jakarta Sans"/>
          <w:b/>
          <w:color w:val="3D4A52"/>
        </w:rPr>
        <w:t xml:space="preserve">Escaneando el QR </w:t>
      </w:r>
      <w:r>
        <w:rPr>
          <w:rFonts w:ascii="Plus Jakarta Sans" w:hAnsi="Plus Jakarta Sans"/>
          <w:color w:val="3D4A52"/>
        </w:rPr>
        <w:t>pegado en el punto del recorrido: la página abre con el lugar ya elegido.</w:t>
      </w:r>
    </w:p>
    <w:p>
      <w:pPr>
        <w:pStyle w:val="ListBullet"/>
        <w:spacing w:line="312" w:lineRule="auto"/>
        <w:jc w:val="left"/>
      </w:pPr>
      <w:r>
        <w:rPr>
          <w:rFonts w:ascii="Plus Jakarta Sans" w:hAnsi="Plus Jakarta Sans"/>
          <w:b/>
          <w:color w:val="3D4A52"/>
        </w:rPr>
        <w:t xml:space="preserve">Desde el enlace </w:t>
      </w:r>
      <w:r>
        <w:rPr>
          <w:rFonts w:ascii="Plus Jakarta Sans" w:hAnsi="Plus Jakarta Sans"/>
          <w:color w:val="3D4A52"/>
        </w:rPr>
        <w:t>hyslhmh-sudo.github.io/manifiestos/desvios (sirve para cualquier lugar).</w:t>
      </w:r>
    </w:p>
    <w:p>
      <w:pPr>
        <w:pStyle w:val="ListBullet"/>
        <w:spacing w:line="312" w:lineRule="auto"/>
        <w:jc w:val="left"/>
      </w:pPr>
      <w:r>
        <w:rPr>
          <w:rFonts w:ascii="Plus Jakarta Sans" w:hAnsi="Plus Jakarta Sans"/>
          <w:b/>
          <w:color w:val="3D4A52"/>
        </w:rPr>
        <w:t xml:space="preserve">Consejo: </w:t>
      </w:r>
      <w:r>
        <w:rPr>
          <w:rFonts w:ascii="Plus Jakarta Sans" w:hAnsi="Plus Jakarta Sans"/>
          <w:color w:val="3D4A52"/>
        </w:rPr>
        <w:t>en el celular, tocá los tres puntitos del navegador y «Agregar a la pantalla de inicio». Queda como una aplicación más.</w:t>
      </w:r>
    </w:p>
    <w:p>
      <w:pPr>
        <w:pStyle w:val="Heading1"/>
      </w:pPr>
      <w:r>
        <w:t>3. Paso a paso</w:t>
      </w:r>
    </w:p>
    <w:p>
      <w:pPr>
        <w:pStyle w:val="ListNumber"/>
        <w:spacing w:line="312" w:lineRule="auto"/>
        <w:jc w:val="left"/>
      </w:pPr>
      <w:r>
        <w:rPr>
          <w:rFonts w:ascii="Plus Jakarta Sans" w:hAnsi="Plus Jakarta Sans"/>
          <w:b/>
          <w:color w:val="3D4A52"/>
        </w:rPr>
        <w:t xml:space="preserve">Quién carga. </w:t>
      </w:r>
      <w:r>
        <w:rPr>
          <w:rFonts w:ascii="Plus Jakarta Sans" w:hAnsi="Plus Jakarta Sans"/>
          <w:color w:val="3D4A52"/>
        </w:rPr>
        <w:t>La primera vez elegí tu nombre y escribí los 3 últimos números de tu DNI. El teléfono te recuerda para la próxima. Si usás un celular compartido, tocá «No soy yo» y elegí tu nombre.</w:t>
      </w:r>
    </w:p>
    <w:p>
      <w:pPr>
        <w:pStyle w:val="ListNumber"/>
        <w:spacing w:line="312" w:lineRule="auto"/>
        <w:jc w:val="left"/>
      </w:pPr>
      <w:r>
        <w:rPr>
          <w:rFonts w:ascii="Plus Jakarta Sans" w:hAnsi="Plus Jakarta Sans"/>
          <w:b/>
          <w:color w:val="3D4A52"/>
        </w:rPr>
        <w:t xml:space="preserve">Dónde. </w:t>
      </w:r>
      <w:r>
        <w:rPr>
          <w:rFonts w:ascii="Plus Jakarta Sans" w:hAnsi="Plus Jakarta Sans"/>
          <w:color w:val="3D4A52"/>
        </w:rPr>
        <w:t>Si entraste por el QR, el lugar ya está elegido. Si no, elegí planta baja o planta alta y tocá el lugar. Si querés, agregá más precisión (por ejemplo, «tacho del fondo, al lado del ascensor»).</w:t>
      </w:r>
    </w:p>
    <w:p>
      <w:pPr>
        <w:pStyle w:val="ListNumber"/>
        <w:spacing w:line="312" w:lineRule="auto"/>
        <w:jc w:val="left"/>
      </w:pPr>
      <w:r>
        <w:rPr>
          <w:rFonts w:ascii="Plus Jakarta Sans" w:hAnsi="Plus Jakarta Sans"/>
          <w:b/>
          <w:color w:val="3D4A52"/>
        </w:rPr>
        <w:t xml:space="preserve">Qué viste. </w:t>
      </w:r>
      <w:r>
        <w:rPr>
          <w:rFonts w:ascii="Plus Jakarta Sans" w:hAnsi="Plus Jakarta Sans"/>
          <w:color w:val="3D4A52"/>
        </w:rPr>
        <w:t>Marcá una o varias opciones. Las de cortopunzantes se ven en rojo porque llegan como urgentes.</w:t>
      </w:r>
    </w:p>
    <w:p>
      <w:pPr>
        <w:pStyle w:val="ListNumber"/>
        <w:spacing w:line="312" w:lineRule="auto"/>
        <w:jc w:val="left"/>
      </w:pPr>
      <w:r>
        <w:rPr>
          <w:rFonts w:ascii="Plus Jakarta Sans" w:hAnsi="Plus Jakarta Sans"/>
          <w:b/>
          <w:color w:val="3D4A52"/>
        </w:rPr>
        <w:t xml:space="preserve">Por qué pasó. </w:t>
      </w:r>
      <w:r>
        <w:rPr>
          <w:rFonts w:ascii="Plus Jakarta Sans" w:hAnsi="Plus Jakarta Sans"/>
          <w:color w:val="3D4A52"/>
        </w:rPr>
        <w:t>Si marcaste «Contenedor lleno» o «Residuo fuera de contenedor», la página pregunta por qué. Mirá todos los contenedores del lugar: si no había lugar en ninguno, marcá «No había lugar: todos los contenedores estaban llenos». Así se sabe que faltan contenedores y no que el servicio los dejó mal. Si podés, anotá cuántos contenedores hay y cuántos estaban llenos.</w:t>
      </w:r>
    </w:p>
    <w:p>
      <w:pPr>
        <w:pStyle w:val="ListNumber"/>
        <w:spacing w:line="312" w:lineRule="auto"/>
        <w:jc w:val="left"/>
      </w:pPr>
      <w:r>
        <w:rPr>
          <w:rFonts w:ascii="Plus Jakarta Sans" w:hAnsi="Plus Jakarta Sans"/>
          <w:b/>
          <w:color w:val="3D4A52"/>
        </w:rPr>
        <w:t xml:space="preserve">Qué residuo es </w:t>
      </w:r>
      <w:r>
        <w:rPr>
          <w:rFonts w:ascii="Plus Jakarta Sans" w:hAnsi="Plus Jakarta Sans"/>
          <w:color w:val="3D4A52"/>
        </w:rPr>
        <w:t>y si había residuos mezclados.</w:t>
      </w:r>
    </w:p>
    <w:p>
      <w:pPr>
        <w:pStyle w:val="ListNumber"/>
        <w:spacing w:line="312" w:lineRule="auto"/>
        <w:jc w:val="left"/>
      </w:pPr>
      <w:r>
        <w:rPr>
          <w:rFonts w:ascii="Plus Jakarta Sans" w:hAnsi="Plus Jakarta Sans"/>
          <w:b/>
          <w:color w:val="3D4A52"/>
        </w:rPr>
        <w:t xml:space="preserve">Contalo en pocas palabras. </w:t>
      </w:r>
      <w:r>
        <w:rPr>
          <w:rFonts w:ascii="Plus Jakarta Sans" w:hAnsi="Plus Jakarta Sans"/>
          <w:color w:val="3D4A52"/>
        </w:rPr>
        <w:t>Por ejemplo: «bolsa roja abierta en el piso del depósito, tacho vacío al lado».</w:t>
      </w:r>
    </w:p>
    <w:p>
      <w:pPr>
        <w:pStyle w:val="ListNumber"/>
        <w:spacing w:line="312" w:lineRule="auto"/>
        <w:jc w:val="left"/>
      </w:pPr>
      <w:r>
        <w:rPr>
          <w:rFonts w:ascii="Plus Jakarta Sans" w:hAnsi="Plus Jakarta Sans"/>
          <w:b/>
          <w:color w:val="3D4A52"/>
        </w:rPr>
        <w:t xml:space="preserve">Fotos. </w:t>
      </w:r>
      <w:r>
        <w:rPr>
          <w:rFonts w:ascii="Plus Jakarta Sans" w:hAnsi="Plus Jakarta Sans"/>
          <w:color w:val="3D4A52"/>
        </w:rPr>
        <w:t>Podés sacar hasta 5. Que no aparezcan pacientes ni personas.</w:t>
      </w:r>
    </w:p>
    <w:p>
      <w:pPr>
        <w:pStyle w:val="ListNumber"/>
        <w:spacing w:line="312" w:lineRule="auto"/>
        <w:jc w:val="left"/>
      </w:pPr>
      <w:r>
        <w:rPr>
          <w:rFonts w:ascii="Plus Jakarta Sans" w:hAnsi="Plus Jakarta Sans"/>
          <w:b/>
          <w:color w:val="3D4A52"/>
        </w:rPr>
        <w:t xml:space="preserve">Gravedad y lesión. </w:t>
      </w:r>
      <w:r>
        <w:rPr>
          <w:rFonts w:ascii="Plus Jakarta Sans" w:hAnsi="Plus Jakarta Sans"/>
          <w:color w:val="3D4A52"/>
        </w:rPr>
        <w:t>Marcá qué tan grave te parece y si alguien se lastimó.</w:t>
      </w:r>
    </w:p>
    <w:p>
      <w:pPr>
        <w:pStyle w:val="ListNumber"/>
        <w:spacing w:line="312" w:lineRule="auto"/>
        <w:jc w:val="left"/>
      </w:pPr>
      <w:r>
        <w:rPr>
          <w:rFonts w:ascii="Plus Jakarta Sans" w:hAnsi="Plus Jakarta Sans"/>
          <w:b/>
          <w:color w:val="3D4A52"/>
        </w:rPr>
        <w:t xml:space="preserve">Enviar. </w:t>
      </w:r>
      <w:r>
        <w:rPr>
          <w:rFonts w:ascii="Plus Jakarta Sans" w:hAnsi="Plus Jakarta Sans"/>
          <w:color w:val="3D4A52"/>
        </w:rPr>
        <w:t>Aparece el número de registro (por ejemplo, DR-0042). La fecha y la hora se guardan solas.</w:t>
      </w:r>
    </w:p>
    <w:p>
      <w:pPr>
        <w:pStyle w:val="Heading1"/>
      </w:pPr>
      <w:r>
        <w:t>4. Qué marcar en «¿Qué viste?»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3515"/>
            <w:shd w:val="clear" w:color="auto" w:fill="0D313F"/>
          </w:tcPr>
          <w:p>
            <w:pPr>
              <w:spacing w:line="264" w:lineRule="auto" w:after="40"/>
              <w:jc w:val="left"/>
            </w:pPr>
            <w:r>
              <w:rPr>
                <w:rFonts w:ascii="Plus Jakarta Sans" w:hAnsi="Plus Jakarta Sans"/>
                <w:b/>
                <w:color w:val="FFFFFF"/>
                <w:sz w:val="19"/>
              </w:rPr>
              <w:t>Opción</w:t>
            </w:r>
          </w:p>
        </w:tc>
        <w:tc>
          <w:tcPr>
            <w:tcW w:type="dxa" w:w="5896"/>
            <w:shd w:val="clear" w:color="auto" w:fill="0D313F"/>
          </w:tcPr>
          <w:p>
            <w:pPr>
              <w:spacing w:line="264" w:lineRule="auto" w:after="40"/>
              <w:jc w:val="left"/>
            </w:pPr>
            <w:r>
              <w:rPr>
                <w:rFonts w:ascii="Plus Jakarta Sans" w:hAnsi="Plus Jakarta Sans"/>
                <w:b/>
                <w:color w:val="FFFFFF"/>
                <w:sz w:val="19"/>
              </w:rPr>
              <w:t>Ejemplo</w:t>
            </w:r>
          </w:p>
        </w:tc>
      </w:tr>
      <w:tr>
        <w:tc>
          <w:tcPr>
            <w:tcW w:type="dxa" w:w="3515"/>
          </w:tcPr>
          <w:p>
            <w:pPr>
              <w:spacing w:line="264" w:lineRule="auto" w:after="40"/>
              <w:jc w:val="left"/>
            </w:pPr>
            <w:r>
              <w:rPr>
                <w:rFonts w:ascii="Plus Jakarta Sans" w:hAnsi="Plus Jakarta Sans"/>
                <w:b w:val="0"/>
                <w:color w:val="3D4A52"/>
                <w:sz w:val="19"/>
              </w:rPr>
              <w:t>Residuo fuera de contenedor</w:t>
            </w:r>
          </w:p>
        </w:tc>
        <w:tc>
          <w:tcPr>
            <w:tcW w:type="dxa" w:w="5896"/>
          </w:tcPr>
          <w:p>
            <w:pPr>
              <w:spacing w:line="264" w:lineRule="auto" w:after="40"/>
              <w:jc w:val="left"/>
            </w:pPr>
            <w:r>
              <w:rPr>
                <w:rFonts w:ascii="Plus Jakarta Sans" w:hAnsi="Plus Jakarta Sans"/>
                <w:b w:val="0"/>
                <w:color w:val="3D4A52"/>
                <w:sz w:val="19"/>
              </w:rPr>
              <w:t>Bolsas rojas o negras en el piso o encima de los tachos; tacho vacío y bolsa al lado. También se pregunta por qué pasó.</w:t>
            </w:r>
          </w:p>
        </w:tc>
      </w:tr>
      <w:tr>
        <w:tc>
          <w:tcPr>
            <w:tcW w:type="dxa" w:w="3515"/>
          </w:tcPr>
          <w:p>
            <w:pPr>
              <w:spacing w:line="264" w:lineRule="auto" w:after="40"/>
              <w:jc w:val="left"/>
            </w:pPr>
            <w:r>
              <w:rPr>
                <w:rFonts w:ascii="Plus Jakarta Sans" w:hAnsi="Plus Jakarta Sans"/>
                <w:b w:val="0"/>
                <w:color w:val="3D4A52"/>
                <w:sz w:val="19"/>
              </w:rPr>
              <w:t>Bolsa incorrecta / Segregación incorrecta</w:t>
            </w:r>
          </w:p>
        </w:tc>
        <w:tc>
          <w:tcPr>
            <w:tcW w:type="dxa" w:w="5896"/>
          </w:tcPr>
          <w:p>
            <w:pPr>
              <w:spacing w:line="264" w:lineRule="auto" w:after="40"/>
              <w:jc w:val="left"/>
            </w:pPr>
            <w:r>
              <w:rPr>
                <w:rFonts w:ascii="Plus Jakarta Sans" w:hAnsi="Plus Jakarta Sans"/>
                <w:b w:val="0"/>
                <w:color w:val="3D4A52"/>
                <w:sz w:val="19"/>
              </w:rPr>
              <w:t>Bandejas de comida en bolsa roja; residuo con sangre en bolsa negra.</w:t>
            </w:r>
          </w:p>
        </w:tc>
      </w:tr>
      <w:tr>
        <w:tc>
          <w:tcPr>
            <w:tcW w:type="dxa" w:w="3515"/>
          </w:tcPr>
          <w:p>
            <w:pPr>
              <w:spacing w:line="264" w:lineRule="auto" w:after="40"/>
              <w:jc w:val="left"/>
            </w:pPr>
            <w:r>
              <w:rPr>
                <w:rFonts w:ascii="Plus Jakarta Sans" w:hAnsi="Plus Jakarta Sans"/>
                <w:b w:val="0"/>
                <w:color w:val="3D4A52"/>
                <w:sz w:val="19"/>
              </w:rPr>
              <w:t>Bolsa abierta / sin cerrar · Falta de bolsa</w:t>
            </w:r>
          </w:p>
        </w:tc>
        <w:tc>
          <w:tcPr>
            <w:tcW w:type="dxa" w:w="5896"/>
          </w:tcPr>
          <w:p>
            <w:pPr>
              <w:spacing w:line="264" w:lineRule="auto" w:after="40"/>
              <w:jc w:val="left"/>
            </w:pPr>
            <w:r>
              <w:rPr>
                <w:rFonts w:ascii="Plus Jakarta Sans" w:hAnsi="Plus Jakarta Sans"/>
                <w:b w:val="0"/>
                <w:color w:val="3D4A52"/>
                <w:sz w:val="19"/>
              </w:rPr>
              <w:t>Bolsa roja sin cerrar; tacho sin bolsa.</w:t>
            </w:r>
          </w:p>
        </w:tc>
      </w:tr>
      <w:tr>
        <w:tc>
          <w:tcPr>
            <w:tcW w:type="dxa" w:w="3515"/>
          </w:tcPr>
          <w:p>
            <w:pPr>
              <w:spacing w:line="264" w:lineRule="auto" w:after="40"/>
              <w:jc w:val="left"/>
            </w:pPr>
            <w:r>
              <w:rPr>
                <w:rFonts w:ascii="Plus Jakarta Sans" w:hAnsi="Plus Jakarta Sans"/>
                <w:b w:val="0"/>
                <w:color w:val="3D4A52"/>
                <w:sz w:val="19"/>
              </w:rPr>
              <w:t>Contenedor lleno / desbordado · Contenedor inadecuado</w:t>
            </w:r>
          </w:p>
        </w:tc>
        <w:tc>
          <w:tcPr>
            <w:tcW w:type="dxa" w:w="5896"/>
          </w:tcPr>
          <w:p>
            <w:pPr>
              <w:spacing w:line="264" w:lineRule="auto" w:after="40"/>
              <w:jc w:val="left"/>
            </w:pPr>
            <w:r>
              <w:rPr>
                <w:rFonts w:ascii="Plus Jakarta Sans" w:hAnsi="Plus Jakarta Sans"/>
                <w:b w:val="0"/>
                <w:color w:val="3D4A52"/>
                <w:sz w:val="19"/>
              </w:rPr>
              <w:t>Tacho rebalsado; cajas de cartón usadas como contenedor. En «lleno» se pregunta por qué: no había lugar en ningún contenedor, había lugar y no se usó, contenedor roto o sin bolsa, o el retiro se demoró.</w:t>
            </w:r>
          </w:p>
        </w:tc>
      </w:tr>
      <w:tr>
        <w:tc>
          <w:tcPr>
            <w:tcW w:type="dxa" w:w="3515"/>
          </w:tcPr>
          <w:p>
            <w:pPr>
              <w:spacing w:line="264" w:lineRule="auto" w:after="40"/>
              <w:jc w:val="left"/>
            </w:pPr>
            <w:r>
              <w:rPr>
                <w:rFonts w:ascii="Plus Jakarta Sans" w:hAnsi="Plus Jakarta Sans"/>
                <w:b w:val="0"/>
                <w:color w:val="3D4A52"/>
                <w:sz w:val="19"/>
              </w:rPr>
              <w:t>Cortopunzante mal dispuesto</w:t>
            </w:r>
          </w:p>
        </w:tc>
        <w:tc>
          <w:tcPr>
            <w:tcW w:type="dxa" w:w="5896"/>
          </w:tcPr>
          <w:p>
            <w:pPr>
              <w:spacing w:line="264" w:lineRule="auto" w:after="40"/>
              <w:jc w:val="left"/>
            </w:pPr>
            <w:r>
              <w:rPr>
                <w:rFonts w:ascii="Plus Jakarta Sans" w:hAnsi="Plus Jakarta Sans"/>
                <w:b w:val="0"/>
                <w:color w:val="3D4A52"/>
                <w:sz w:val="19"/>
              </w:rPr>
              <w:t>Agujas, ampollas o vidrios sueltos en bolsa o caja (llega como URGENTE).</w:t>
            </w:r>
          </w:p>
        </w:tc>
      </w:tr>
      <w:tr>
        <w:tc>
          <w:tcPr>
            <w:tcW w:type="dxa" w:w="3515"/>
          </w:tcPr>
          <w:p>
            <w:pPr>
              <w:spacing w:line="264" w:lineRule="auto" w:after="40"/>
              <w:jc w:val="left"/>
            </w:pPr>
            <w:r>
              <w:rPr>
                <w:rFonts w:ascii="Plus Jakarta Sans" w:hAnsi="Plus Jakarta Sans"/>
                <w:b w:val="0"/>
                <w:color w:val="3D4A52"/>
                <w:sz w:val="19"/>
              </w:rPr>
              <w:t>Depósito sin condiciones adecuadas</w:t>
            </w:r>
          </w:p>
        </w:tc>
        <w:tc>
          <w:tcPr>
            <w:tcW w:type="dxa" w:w="5896"/>
          </w:tcPr>
          <w:p>
            <w:pPr>
              <w:spacing w:line="264" w:lineRule="auto" w:after="40"/>
              <w:jc w:val="left"/>
            </w:pPr>
            <w:r>
              <w:rPr>
                <w:rFonts w:ascii="Plus Jakarta Sans" w:hAnsi="Plus Jakarta Sans"/>
                <w:b w:val="0"/>
                <w:color w:val="3D4A52"/>
                <w:sz w:val="19"/>
              </w:rPr>
              <w:t>Depósito sucio, desordenado o con cosas que no son residuos.</w:t>
            </w:r>
          </w:p>
        </w:tc>
      </w:tr>
      <w:tr>
        <w:tc>
          <w:tcPr>
            <w:tcW w:type="dxa" w:w="3515"/>
          </w:tcPr>
          <w:p>
            <w:pPr>
              <w:spacing w:line="264" w:lineRule="auto" w:after="40"/>
              <w:jc w:val="left"/>
            </w:pPr>
            <w:r>
              <w:rPr>
                <w:rFonts w:ascii="Plus Jakarta Sans" w:hAnsi="Plus Jakarta Sans"/>
                <w:b w:val="0"/>
                <w:color w:val="3D4A52"/>
                <w:sz w:val="19"/>
              </w:rPr>
              <w:t>Residuo químico sin identificación · Falta de rotulado</w:t>
            </w:r>
          </w:p>
        </w:tc>
        <w:tc>
          <w:tcPr>
            <w:tcW w:type="dxa" w:w="5896"/>
          </w:tcPr>
          <w:p>
            <w:pPr>
              <w:spacing w:line="264" w:lineRule="auto" w:after="40"/>
              <w:jc w:val="left"/>
            </w:pPr>
            <w:r>
              <w:rPr>
                <w:rFonts w:ascii="Plus Jakarta Sans" w:hAnsi="Plus Jakarta Sans"/>
                <w:b w:val="0"/>
                <w:color w:val="3D4A52"/>
                <w:sz w:val="19"/>
              </w:rPr>
              <w:t>Bidón o frasco sin etiqueta; recipiente sin rótulo.</w:t>
            </w:r>
          </w:p>
        </w:tc>
      </w:tr>
      <w:tr>
        <w:tc>
          <w:tcPr>
            <w:tcW w:type="dxa" w:w="3515"/>
          </w:tcPr>
          <w:p>
            <w:pPr>
              <w:spacing w:line="264" w:lineRule="auto" w:after="40"/>
              <w:jc w:val="left"/>
            </w:pPr>
            <w:r>
              <w:rPr>
                <w:rFonts w:ascii="Plus Jakarta Sans" w:hAnsi="Plus Jakarta Sans"/>
                <w:b w:val="0"/>
                <w:color w:val="3D4A52"/>
                <w:sz w:val="19"/>
              </w:rPr>
              <w:t>Otro</w:t>
            </w:r>
          </w:p>
        </w:tc>
        <w:tc>
          <w:tcPr>
            <w:tcW w:type="dxa" w:w="5896"/>
          </w:tcPr>
          <w:p>
            <w:pPr>
              <w:spacing w:line="264" w:lineRule="auto" w:after="40"/>
              <w:jc w:val="left"/>
            </w:pPr>
            <w:r>
              <w:rPr>
                <w:rFonts w:ascii="Plus Jakarta Sans" w:hAnsi="Plus Jakarta Sans"/>
                <w:b w:val="0"/>
                <w:color w:val="3D4A52"/>
                <w:sz w:val="19"/>
              </w:rPr>
              <w:t>Cualquier otra cosa: contalo en la descripción.</w:t>
            </w:r>
          </w:p>
        </w:tc>
      </w:tr>
    </w:tbl>
    <w:p>
      <w:pPr>
        <w:spacing w:after="40"/>
      </w:pPr>
    </w:p>
    <w:p>
      <w:pPr>
        <w:pStyle w:val="Heading1"/>
      </w:pPr>
      <w:r>
        <w:t>5. Si alguien se lastimó</w:t>
      </w:r>
    </w:p>
    <w:p>
      <w:r>
        <w:t>Marcá «Sí» en «¿Alguien se lastimó?» y contá qué pasó. La carga llega como URGENTE a Higiene y Seguridad. Además:</w:t>
      </w:r>
    </w:p>
    <w:p>
      <w:pPr>
        <w:pStyle w:val="ListBullet"/>
        <w:spacing w:line="312" w:lineRule="auto"/>
        <w:jc w:val="left"/>
      </w:pPr>
      <w:r>
        <w:rPr>
          <w:rFonts w:ascii="Plus Jakarta Sans" w:hAnsi="Plus Jakarta Sans"/>
          <w:color w:val="3D4A52"/>
        </w:rPr>
        <w:t>Avisá en el momento a tu supervisor de Star Union.</w:t>
      </w:r>
    </w:p>
    <w:p>
      <w:pPr>
        <w:pStyle w:val="ListBullet"/>
        <w:spacing w:line="312" w:lineRule="auto"/>
        <w:jc w:val="left"/>
      </w:pPr>
      <w:r>
        <w:rPr>
          <w:rFonts w:ascii="Plus Jakarta Sans" w:hAnsi="Plus Jakarta Sans"/>
          <w:color w:val="3D4A52"/>
        </w:rPr>
        <w:t>Andá a la guardia para la atención y para que quede registrado.</w:t>
      </w:r>
    </w:p>
    <w:p>
      <w:pPr>
        <w:pStyle w:val="ListBullet"/>
        <w:spacing w:line="312" w:lineRule="auto"/>
        <w:jc w:val="left"/>
      </w:pPr>
      <w:r>
        <w:rPr>
          <w:rFonts w:ascii="Plus Jakarta Sans" w:hAnsi="Plus Jakarta Sans"/>
          <w:color w:val="3D4A52"/>
        </w:rPr>
        <w:t>Si es un pinchazo o corte con material usado, no esperes: la atención en las primeras horas es importante.</w:t>
      </w:r>
    </w:p>
    <w:p>
      <w:pPr>
        <w:pStyle w:val="Heading1"/>
      </w:pPr>
      <w:r>
        <w:t>6. Sin señal</w:t>
      </w:r>
    </w:p>
    <w:p>
      <w:r>
        <w:t>Si no hay señal, la carga queda guardada en el teléfono y se manda sola cuando vuelve la conexión. Arriba a la derecha aparece «Sin señal · 1 sin enviar». No la cargues de nuevo.</w:t>
      </w:r>
    </w:p>
    <w:p>
      <w:pPr>
        <w:pStyle w:val="Heading1"/>
      </w:pPr>
      <w:r>
        <w:t>7. Cuidados durante el registro</w:t>
      </w:r>
    </w:p>
    <w:p>
      <w:pPr>
        <w:pStyle w:val="ListBullet"/>
        <w:spacing w:line="312" w:lineRule="auto"/>
        <w:jc w:val="left"/>
      </w:pPr>
      <w:r>
        <w:rPr>
          <w:rFonts w:ascii="Plus Jakarta Sans" w:hAnsi="Plus Jakarta Sans"/>
          <w:b/>
          <w:color w:val="3D4A52"/>
        </w:rPr>
        <w:t xml:space="preserve">Mirá sin tocar. </w:t>
      </w:r>
      <w:r>
        <w:rPr>
          <w:rFonts w:ascii="Plus Jakarta Sans" w:hAnsi="Plus Jakarta Sans"/>
          <w:color w:val="3D4A52"/>
        </w:rPr>
        <w:t>Nunca abras una bolsa cerrada para ver qué tiene.</w:t>
      </w:r>
    </w:p>
    <w:p>
      <w:pPr>
        <w:pStyle w:val="ListBullet"/>
        <w:spacing w:line="312" w:lineRule="auto"/>
        <w:jc w:val="left"/>
      </w:pPr>
      <w:r>
        <w:rPr>
          <w:rFonts w:ascii="Plus Jakarta Sans" w:hAnsi="Plus Jakarta Sans"/>
          <w:b/>
          <w:color w:val="3D4A52"/>
        </w:rPr>
        <w:t xml:space="preserve">No levantes cortopunzantes con la mano. </w:t>
      </w:r>
      <w:r>
        <w:rPr>
          <w:rFonts w:ascii="Plus Jakarta Sans" w:hAnsi="Plus Jakarta Sans"/>
          <w:color w:val="3D4A52"/>
        </w:rPr>
        <w:t>Usá los elementos de protección y el descartador.</w:t>
      </w:r>
    </w:p>
    <w:p>
      <w:pPr>
        <w:pStyle w:val="ListBullet"/>
        <w:spacing w:line="312" w:lineRule="auto"/>
        <w:jc w:val="left"/>
      </w:pPr>
      <w:r>
        <w:rPr>
          <w:rFonts w:ascii="Plus Jakarta Sans" w:hAnsi="Plus Jakarta Sans"/>
          <w:b/>
          <w:color w:val="3D4A52"/>
        </w:rPr>
        <w:t xml:space="preserve">Primero la seguridad, después la foto. </w:t>
      </w:r>
      <w:r>
        <w:rPr>
          <w:rFonts w:ascii="Plus Jakarta Sans" w:hAnsi="Plus Jakarta Sans"/>
          <w:color w:val="3D4A52"/>
        </w:rPr>
        <w:t>Si algo es peligroso (derrame, agujas sueltas), avisá en el momento a tu supervisor.</w:t>
      </w:r>
    </w:p>
    <w:p>
      <w:pPr>
        <w:pStyle w:val="Heading1"/>
      </w:pPr>
      <w:r>
        <w:t>8. Preguntas frecuentes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3515"/>
            <w:shd w:val="clear" w:color="auto" w:fill="0D313F"/>
          </w:tcPr>
          <w:p>
            <w:pPr>
              <w:spacing w:line="264" w:lineRule="auto" w:after="40"/>
              <w:jc w:val="left"/>
            </w:pPr>
            <w:r>
              <w:rPr>
                <w:rFonts w:ascii="Plus Jakarta Sans" w:hAnsi="Plus Jakarta Sans"/>
                <w:b/>
                <w:color w:val="FFFFFF"/>
                <w:sz w:val="19"/>
              </w:rPr>
              <w:t>Pregunta</w:t>
            </w:r>
          </w:p>
        </w:tc>
        <w:tc>
          <w:tcPr>
            <w:tcW w:type="dxa" w:w="5896"/>
            <w:shd w:val="clear" w:color="auto" w:fill="0D313F"/>
          </w:tcPr>
          <w:p>
            <w:pPr>
              <w:spacing w:line="264" w:lineRule="auto" w:after="40"/>
              <w:jc w:val="left"/>
            </w:pPr>
            <w:r>
              <w:rPr>
                <w:rFonts w:ascii="Plus Jakarta Sans" w:hAnsi="Plus Jakarta Sans"/>
                <w:b/>
                <w:color w:val="FFFFFF"/>
                <w:sz w:val="19"/>
              </w:rPr>
              <w:t>Respuesta</w:t>
            </w:r>
          </w:p>
        </w:tc>
      </w:tr>
      <w:tr>
        <w:tc>
          <w:tcPr>
            <w:tcW w:type="dxa" w:w="3515"/>
          </w:tcPr>
          <w:p>
            <w:pPr>
              <w:spacing w:line="264" w:lineRule="auto" w:after="40"/>
              <w:jc w:val="left"/>
            </w:pPr>
            <w:r>
              <w:rPr>
                <w:rFonts w:ascii="Plus Jakarta Sans" w:hAnsi="Plus Jakarta Sans"/>
                <w:b w:val="0"/>
                <w:color w:val="3D4A52"/>
                <w:sz w:val="19"/>
              </w:rPr>
              <w:t>Mi nombre no aparece.</w:t>
            </w:r>
          </w:p>
        </w:tc>
        <w:tc>
          <w:tcPr>
            <w:tcW w:type="dxa" w:w="5896"/>
          </w:tcPr>
          <w:p>
            <w:pPr>
              <w:spacing w:line="264" w:lineRule="auto" w:after="40"/>
              <w:jc w:val="left"/>
            </w:pPr>
            <w:r>
              <w:rPr>
                <w:rFonts w:ascii="Plus Jakarta Sans" w:hAnsi="Plus Jakarta Sans"/>
                <w:b w:val="0"/>
                <w:color w:val="3D4A52"/>
                <w:sz w:val="19"/>
              </w:rPr>
              <w:t>Avisale a tu supervisor o a Higiene y Seguridad para que te agreguen.</w:t>
            </w:r>
          </w:p>
        </w:tc>
      </w:tr>
      <w:tr>
        <w:tc>
          <w:tcPr>
            <w:tcW w:type="dxa" w:w="3515"/>
          </w:tcPr>
          <w:p>
            <w:pPr>
              <w:spacing w:line="264" w:lineRule="auto" w:after="40"/>
              <w:jc w:val="left"/>
            </w:pPr>
            <w:r>
              <w:rPr>
                <w:rFonts w:ascii="Plus Jakarta Sans" w:hAnsi="Plus Jakarta Sans"/>
                <w:b w:val="0"/>
                <w:color w:val="3D4A52"/>
                <w:sz w:val="19"/>
              </w:rPr>
              <w:t>Me dice que el DNI no coincide.</w:t>
            </w:r>
          </w:p>
        </w:tc>
        <w:tc>
          <w:tcPr>
            <w:tcW w:type="dxa" w:w="5896"/>
          </w:tcPr>
          <w:p>
            <w:pPr>
              <w:spacing w:line="264" w:lineRule="auto" w:after="40"/>
              <w:jc w:val="left"/>
            </w:pPr>
            <w:r>
              <w:rPr>
                <w:rFonts w:ascii="Plus Jakarta Sans" w:hAnsi="Plus Jakarta Sans"/>
                <w:b w:val="0"/>
                <w:color w:val="3D4A52"/>
                <w:sz w:val="19"/>
              </w:rPr>
              <w:t>Revisá los 3 últimos números. Si sigue sin andar, avisá a Higiene y Seguridad.</w:t>
            </w:r>
          </w:p>
        </w:tc>
      </w:tr>
      <w:tr>
        <w:tc>
          <w:tcPr>
            <w:tcW w:type="dxa" w:w="3515"/>
          </w:tcPr>
          <w:p>
            <w:pPr>
              <w:spacing w:line="264" w:lineRule="auto" w:after="40"/>
              <w:jc w:val="left"/>
            </w:pPr>
            <w:r>
              <w:rPr>
                <w:rFonts w:ascii="Plus Jakarta Sans" w:hAnsi="Plus Jakarta Sans"/>
                <w:b w:val="0"/>
                <w:color w:val="3D4A52"/>
                <w:sz w:val="19"/>
              </w:rPr>
              <w:t>Me equivoqué en una carga.</w:t>
            </w:r>
          </w:p>
        </w:tc>
        <w:tc>
          <w:tcPr>
            <w:tcW w:type="dxa" w:w="5896"/>
          </w:tcPr>
          <w:p>
            <w:pPr>
              <w:spacing w:line="264" w:lineRule="auto" w:after="40"/>
              <w:jc w:val="left"/>
            </w:pPr>
            <w:r>
              <w:rPr>
                <w:rFonts w:ascii="Plus Jakarta Sans" w:hAnsi="Plus Jakarta Sans"/>
                <w:b w:val="0"/>
                <w:color w:val="3D4A52"/>
                <w:sz w:val="19"/>
              </w:rPr>
              <w:t>Hacé una carga nueva aclarando en «Algo más» qué corregís, o avisá a Higiene y Seguridad.</w:t>
            </w:r>
          </w:p>
        </w:tc>
      </w:tr>
      <w:tr>
        <w:tc>
          <w:tcPr>
            <w:tcW w:type="dxa" w:w="3515"/>
          </w:tcPr>
          <w:p>
            <w:pPr>
              <w:spacing w:line="264" w:lineRule="auto" w:after="40"/>
              <w:jc w:val="left"/>
            </w:pPr>
            <w:r>
              <w:rPr>
                <w:rFonts w:ascii="Plus Jakarta Sans" w:hAnsi="Plus Jakarta Sans"/>
                <w:b w:val="0"/>
                <w:color w:val="3D4A52"/>
                <w:sz w:val="19"/>
              </w:rPr>
              <w:t>La página no abre.</w:t>
            </w:r>
          </w:p>
        </w:tc>
        <w:tc>
          <w:tcPr>
            <w:tcW w:type="dxa" w:w="5896"/>
          </w:tcPr>
          <w:p>
            <w:pPr>
              <w:spacing w:line="264" w:lineRule="auto" w:after="40"/>
              <w:jc w:val="left"/>
            </w:pPr>
            <w:r>
              <w:rPr>
                <w:rFonts w:ascii="Plus Jakarta Sans" w:hAnsi="Plus Jakarta Sans"/>
                <w:b w:val="0"/>
                <w:color w:val="3D4A52"/>
                <w:sz w:val="19"/>
              </w:rPr>
              <w:t>Probá de nuevo con señal. Higiene y Seguridad tiene una dirección de respaldo.</w:t>
            </w:r>
          </w:p>
        </w:tc>
      </w:tr>
      <w:tr>
        <w:tc>
          <w:tcPr>
            <w:tcW w:type="dxa" w:w="3515"/>
          </w:tcPr>
          <w:p>
            <w:pPr>
              <w:spacing w:line="264" w:lineRule="auto" w:after="40"/>
              <w:jc w:val="left"/>
            </w:pPr>
            <w:r>
              <w:rPr>
                <w:rFonts w:ascii="Plus Jakarta Sans" w:hAnsi="Plus Jakarta Sans"/>
                <w:b w:val="0"/>
                <w:color w:val="3D4A52"/>
                <w:sz w:val="19"/>
              </w:rPr>
              <w:t>¿Quién ve lo que cargo?</w:t>
            </w:r>
          </w:p>
        </w:tc>
        <w:tc>
          <w:tcPr>
            <w:tcW w:type="dxa" w:w="5896"/>
          </w:tcPr>
          <w:p>
            <w:pPr>
              <w:spacing w:line="264" w:lineRule="auto" w:after="40"/>
              <w:jc w:val="left"/>
            </w:pPr>
            <w:r>
              <w:rPr>
                <w:rFonts w:ascii="Plus Jakarta Sans" w:hAnsi="Plus Jakarta Sans"/>
                <w:b w:val="0"/>
                <w:color w:val="3D4A52"/>
                <w:sz w:val="19"/>
              </w:rPr>
              <w:t>Higiene y Seguridad y su secretaría. Se usa para mejorar la gestión de residuos de los servicios.</w:t>
            </w:r>
          </w:p>
        </w:tc>
      </w:tr>
    </w:tbl>
    <w:p>
      <w:pPr>
        <w:spacing w:after="40"/>
      </w:pPr>
    </w:p>
    <w:p>
      <w:pPr>
        <w:pStyle w:val="Heading1"/>
      </w:pPr>
      <w:r>
        <w:t>9. Marco</w:t>
      </w:r>
    </w:p>
    <w:p>
      <w:r>
        <w:rPr>
          <w:color w:val="6B7780"/>
          <w:sz w:val="19"/>
        </w:rPr>
        <w:t>Este registro forma parte de la gestión interna de residuos del HMH y de las tareas de prevención del Servicio de Higiene y Seguridad Laboral (Ley N.º 19.587 y Decreto N.º 351/79; Ley N.º 24.051 de residuos peligrosos y Ley XI N.º 35 de la Provincia del Chubut).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61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4320000" cy="3888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hys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320000" cy="388800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center"/>
    </w:pPr>
    <w:r>
      <w:rPr>
        <w:color w:val="6B7780"/>
        <w:sz w:val="16"/>
      </w:rPr>
      <w:t xml:space="preserve">Página </w:t>
    </w:r>
    <w:r>
      <w:rPr>
        <w:color w:val="6B7780"/>
        <w:sz w:val="16"/>
      </w:rPr>
      <w:fldChar w:fldCharType="begin"/>
      <w:instrText xml:space="preserve">PAGE</w:instrText>
      <w:fldChar w:fldCharType="end"/>
    </w:r>
    <w:r>
      <w:rPr>
        <w:color w:val="6B7780"/>
        <w:sz w:val="16"/>
      </w:rPr>
      <w:t xml:space="preserve"> de </w:t>
    </w:r>
    <w:r>
      <w:rPr>
        <w:color w:val="6B7780"/>
        <w:sz w:val="16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728000" cy="28418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mh-000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28000" cy="284180"/>
                  </a:xfrm>
                  <a:prstGeom prst="rect"/>
                </pic:spPr>
              </pic:pic>
            </a:graphicData>
          </a:graphic>
        </wp:inline>
      </w:drawing>
    </w:r>
    <w:r>
      <w:rPr>
        <w:color w:val="6B7780"/>
        <w:sz w:val="17"/>
      </w:rPr>
      <w:tab/>
      <w:t>Servicio de Higiene y Seguridad Laboral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  <w:jc w:val="both"/>
    </w:pPr>
    <w:rPr>
      <w:rFonts w:ascii="Plus Jakarta Sans" w:hAnsi="Plus Jakarta Sans" w:eastAsia="Plus Jakarta Sans"/>
      <w:color w:val="3D4A5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jc w:val="left"/>
      <w:outlineLvl w:val="0"/>
    </w:pPr>
    <w:rPr>
      <w:rFonts w:asciiTheme="" w:eastAsiaTheme="majorEastAsia" w:hAnsiTheme="majorHAnsi" w:cstheme="majorBidi" w:ascii="Plus Jakarta Sans" w:hAnsi="Plus Jakarta Sans"/>
      <w:b/>
      <w:bCs/>
      <w:color w:val="0D313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jc w:val="left"/>
      <w:outlineLvl w:val="1"/>
    </w:pPr>
    <w:rPr>
      <w:rFonts w:asciiTheme="" w:eastAsiaTheme="majorEastAsia" w:hAnsiTheme="majorHAnsi" w:cstheme="majorBidi" w:ascii="Plus Jakarta Sans" w:hAnsi="Plus Jakarta Sans"/>
      <w:b/>
      <w:bCs/>
      <w:color w:val="0D313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