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spacing w:after="360"/>
        <w:jc w:val="center"/>
      </w:pPr>
      <w:r>
        <w:t>Báo cáo thiết kế cơ sở dữ liệu</w:t>
      </w:r>
    </w:p>
    <w:p>
      <w:pPr>
        <w:spacing w:after="240"/>
        <w:jc w:val="center"/>
      </w:pPr>
      <w:r>
        <w:rPr>
          <w:rFonts w:ascii="Arial" w:hAnsi="Arial" w:eastAsia="Arial"/>
          <w:b/>
          <w:sz w:val="36"/>
        </w:rPr>
        <w:t>Medication Safety Assistant</w:t>
      </w:r>
    </w:p>
    <w:p>
      <w:pPr>
        <w:jc w:val="center"/>
      </w:pPr>
      <w:r>
        <w:rPr>
          <w:rFonts w:ascii="Arial" w:hAnsi="Arial" w:eastAsia="Arial"/>
          <w:color w:val="595959"/>
          <w:sz w:val="23"/>
        </w:rPr>
        <w:t>Mô hình dữ liệu thống nhất, module nghiệp vụ và quy trình kiểm soát dữ liệu thuốc</w:t>
      </w:r>
    </w:p>
    <w:p>
      <w:pPr>
        <w:spacing w:after="3100"/>
      </w:pPr>
    </w:p>
    <w:p>
      <w:pPr>
        <w:jc w:val="center"/>
      </w:pPr>
      <w:r>
        <w:rPr>
          <w:rFonts w:ascii="Arial" w:hAnsi="Arial" w:eastAsia="Arial"/>
          <w:color w:val="595959"/>
          <w:sz w:val="21"/>
        </w:rPr>
        <w:t>Project Assessment 2</w:t>
        <w:br/>
        <w:t>29 October 2026</w:t>
      </w:r>
    </w:p>
    <w:p>
      <w:r>
        <w:br w:type="page"/>
      </w:r>
    </w:p>
    <w:p>
      <w:pPr>
        <w:pStyle w:val="Heading1"/>
        <w:keepNext/>
        <w:spacing w:before="200" w:after="100"/>
      </w:pPr>
      <w:r>
        <w:t>Tóm tắt điều hành</w:t>
      </w:r>
    </w:p>
    <w:p>
      <w:pPr>
        <w:spacing w:after="140" w:line="276" w:lineRule="auto"/>
      </w:pPr>
      <w:r>
        <w:rPr>
          <w:rFonts w:ascii="Arial" w:hAnsi="Arial" w:eastAsia="Arial"/>
          <w:sz w:val="21"/>
        </w:rPr>
        <w:t>Thiết kế đề xuất sử dụng một cơ sở dữ liệu quan hệ làm nguồn sự thật cho toàn bộ vòng đời dữ liệu: tiếp nhận thuốc từ người dùng, nhận diện sản phẩm, đánh giá tương tác, HCP review, lịch nhắc và hỗ trợ kỹ thuật. Mô hình hiện có 64 bảng. Các file ERD theo module và theo domain chỉ là các góc nhìn nhỏ của cùng một mô hình, không tạo thêm bảng vật lý.</w:t>
      </w:r>
    </w:p>
    <w:p>
      <w:pPr>
        <w:spacing w:after="140" w:line="276" w:lineRule="auto"/>
      </w:pPr>
      <w:r>
        <w:rPr>
          <w:rFonts w:ascii="Arial" w:hAnsi="Arial" w:eastAsia="Arial"/>
          <w:sz w:val="21"/>
        </w:rPr>
        <w:t>Điểm kiểm soát quan trọng nhất là tách dữ liệu tham chiếu đang được xây dựng khỏi dữ liệu đã phát hành. Sáu CSV hiện có chứa catalog candidate; các ánh xạ DDInter và indication chưa được duyệt để dùng trong kết luận lâm sàng. Vì vậy, dữ liệu phải đi qua dataset version, import batch, validation, medical review và dataset release trước khi các module nghiệp vụ được phép sử dụng.</w:t>
      </w:r>
    </w:p>
    <w:p>
      <w:pPr>
        <w:spacing w:after="140" w:line="276" w:lineRule="auto"/>
      </w:pPr>
      <w:r>
        <w:rPr>
          <w:rFonts w:ascii="Arial" w:hAnsi="Arial" w:eastAsia="Arial"/>
          <w:sz w:val="21"/>
        </w:rPr>
        <w:t>Đối với tra cứu tương tác thuốc, vector embedding không nên là cơ chế chính. Việc đối chiếu phải dựa trên identifier đã được duyệt và các quan hệ chính xác trong DRUG_INTERACTIONS. Embedding chỉ nên là công cụ phụ trợ để tạo candidate trong nhận diện OCR hoặc tìm kiếm ngữ nghĩa, không được thay thế evidence và quyết định của reviewer.</w:t>
      </w:r>
    </w:p>
    <w:p>
      <w:pPr>
        <w:pStyle w:val="Heading1"/>
        <w:keepNext/>
        <w:spacing w:before="200" w:after="100"/>
      </w:pPr>
      <w:r>
        <w:t>Nội dung báo cáo</w:t>
      </w:r>
    </w:p>
    <w:p>
      <w:pPr>
        <w:pStyle w:val="ListNumber"/>
        <w:spacing w:after="80" w:line="264" w:lineRule="auto"/>
      </w:pPr>
      <w:r>
        <w:rPr>
          <w:rFonts w:ascii="Arial" w:hAnsi="Arial" w:eastAsia="Arial"/>
          <w:sz w:val="20"/>
        </w:rPr>
        <w:t>Phạm vi, mục tiêu và nguyên tắc thiết kế.</w:t>
      </w:r>
    </w:p>
    <w:p>
      <w:pPr>
        <w:pStyle w:val="ListNumber"/>
        <w:spacing w:after="80" w:line="264" w:lineRule="auto"/>
      </w:pPr>
      <w:r>
        <w:rPr>
          <w:rFonts w:ascii="Arial" w:hAnsi="Arial" w:eastAsia="Arial"/>
          <w:sz w:val="20"/>
        </w:rPr>
        <w:t>Kiến trúc dữ liệu thống nhất và 5 domain dùng chung.</w:t>
      </w:r>
    </w:p>
    <w:p>
      <w:pPr>
        <w:pStyle w:val="ListNumber"/>
        <w:spacing w:after="80" w:line="264" w:lineRule="auto"/>
      </w:pPr>
      <w:r>
        <w:rPr>
          <w:rFonts w:ascii="Arial" w:hAnsi="Arial" w:eastAsia="Arial"/>
          <w:sz w:val="20"/>
        </w:rPr>
        <w:t>Thiết kế dữ liệu cho 5 module nghiệp vụ.</w:t>
      </w:r>
    </w:p>
    <w:p>
      <w:pPr>
        <w:pStyle w:val="ListNumber"/>
        <w:spacing w:after="80" w:line="264" w:lineRule="auto"/>
      </w:pPr>
      <w:r>
        <w:rPr>
          <w:rFonts w:ascii="Arial" w:hAnsi="Arial" w:eastAsia="Arial"/>
          <w:sz w:val="20"/>
        </w:rPr>
        <w:t>Ánh xạ dữ liệu từ 6 file CSV vào database.</w:t>
      </w:r>
    </w:p>
    <w:p>
      <w:pPr>
        <w:pStyle w:val="ListNumber"/>
        <w:spacing w:after="80" w:line="264" w:lineRule="auto"/>
      </w:pPr>
      <w:r>
        <w:rPr>
          <w:rFonts w:ascii="Arial" w:hAnsi="Arial" w:eastAsia="Arial"/>
          <w:sz w:val="20"/>
        </w:rPr>
        <w:t>Ràng buộc toàn vẹn, phân quyền, audit và versioning.</w:t>
      </w:r>
    </w:p>
    <w:p>
      <w:pPr>
        <w:pStyle w:val="ListNumber"/>
        <w:spacing w:after="80" w:line="264" w:lineRule="auto"/>
      </w:pPr>
      <w:r>
        <w:rPr>
          <w:rFonts w:ascii="Arial" w:hAnsi="Arial" w:eastAsia="Arial"/>
          <w:sz w:val="20"/>
        </w:rPr>
        <w:t>Khuyến nghị physical database và lộ trình triển khai.</w:t>
      </w:r>
    </w:p>
    <w:p>
      <w:pPr>
        <w:pStyle w:val="Heading1"/>
        <w:keepNext/>
        <w:spacing w:before="200" w:after="100"/>
      </w:pPr>
      <w:r>
        <w:t>1 Phạm vi và nguyên tắc thiết kế</w:t>
      </w:r>
    </w:p>
    <w:p>
      <w:pPr>
        <w:spacing w:after="140" w:line="276" w:lineRule="auto"/>
      </w:pPr>
      <w:r>
        <w:rPr>
          <w:rFonts w:ascii="Arial" w:hAnsi="Arial" w:eastAsia="Arial"/>
          <w:sz w:val="21"/>
        </w:rPr>
        <w:t>Báo cáo mô tả logical database design dựa trên ERD hiện tại. Các entity chỉ hiển thị khóa chính và khóa ngoại quan trọng; kiểu dữ liệu chi tiết, index, check constraint, partition và migration sẽ được chốt trong physical design.</w:t>
      </w:r>
    </w:p>
    <w:p>
      <w:pPr>
        <w:pStyle w:val="ListBullet"/>
        <w:spacing w:after="60" w:line="264" w:lineRule="auto"/>
      </w:pPr>
      <w:r>
        <w:rPr>
          <w:rFonts w:ascii="Arial" w:hAnsi="Arial" w:eastAsia="Arial"/>
          <w:sz w:val="20"/>
        </w:rPr>
        <w:t>Một nguồn sự thật: mọi module dùng chung entity và khóa, tránh sao chép bảng theo module.</w:t>
      </w:r>
    </w:p>
    <w:p>
      <w:pPr>
        <w:pStyle w:val="ListBullet"/>
        <w:spacing w:after="60" w:line="264" w:lineRule="auto"/>
      </w:pPr>
      <w:r>
        <w:rPr>
          <w:rFonts w:ascii="Arial" w:hAnsi="Arial" w:eastAsia="Arial"/>
          <w:sz w:val="20"/>
        </w:rPr>
        <w:t>Truy vết được: kết quả nhận diện và đánh giá phải gắn với dataset release, source record và evidence.</w:t>
      </w:r>
    </w:p>
    <w:p>
      <w:pPr>
        <w:pStyle w:val="ListBullet"/>
        <w:spacing w:after="60" w:line="264" w:lineRule="auto"/>
      </w:pPr>
      <w:r>
        <w:rPr>
          <w:rFonts w:ascii="Arial" w:hAnsi="Arial" w:eastAsia="Arial"/>
          <w:sz w:val="20"/>
        </w:rPr>
        <w:t>An toàn theo trạng thái: candidate, accepted, operative và released là các trạng thái khác nhau.</w:t>
      </w:r>
    </w:p>
    <w:p>
      <w:pPr>
        <w:pStyle w:val="ListBullet"/>
        <w:spacing w:after="60" w:line="264" w:lineRule="auto"/>
      </w:pPr>
      <w:r>
        <w:rPr>
          <w:rFonts w:ascii="Arial" w:hAnsi="Arial" w:eastAsia="Arial"/>
          <w:sz w:val="20"/>
        </w:rPr>
        <w:t>Tối thiểu quyền: role cung cấp nhóm quyền; care relationship và assignment giới hạn phạm vi bản ghi.</w:t>
      </w:r>
    </w:p>
    <w:p>
      <w:pPr>
        <w:pStyle w:val="ListBullet"/>
        <w:spacing w:after="60" w:line="264" w:lineRule="auto"/>
      </w:pPr>
      <w:r>
        <w:rPr>
          <w:rFonts w:ascii="Arial" w:hAnsi="Arial" w:eastAsia="Arial"/>
          <w:sz w:val="20"/>
        </w:rPr>
        <w:t>Không suy diễn từ dữ liệu thiếu: không tìm thấy interaction không đồng nghĩa không có tương tác.</w:t>
      </w:r>
    </w:p>
    <w:p>
      <w:pPr>
        <w:pStyle w:val="ListBullet"/>
        <w:spacing w:after="60" w:line="264" w:lineRule="auto"/>
      </w:pPr>
      <w:r>
        <w:rPr>
          <w:rFonts w:ascii="Arial" w:hAnsi="Arial" w:eastAsia="Arial"/>
          <w:sz w:val="20"/>
        </w:rPr>
        <w:t>Dữ liệu sự kiện bất biến: extraction run, confirmation, assessment, review và reminder event được lưu lịch sử.</w:t>
      </w:r>
    </w:p>
    <w:p>
      <w:pPr>
        <w:pStyle w:val="Heading1"/>
        <w:keepNext/>
        <w:spacing w:before="200" w:after="100"/>
      </w:pPr>
      <w:r>
        <w:t>2 Kiến trúc dữ liệu thống nhất</w:t>
      </w:r>
    </w:p>
    <w:p>
      <w:pPr>
        <w:spacing w:after="140" w:line="276" w:lineRule="auto"/>
      </w:pPr>
      <w:r>
        <w:rPr>
          <w:rFonts w:ascii="Arial" w:hAnsi="Arial" w:eastAsia="Arial"/>
          <w:sz w:val="21"/>
        </w:rPr>
        <w:t>Mô hình thống nhất chia dữ liệu thành bốn lớp chức năng: identity và access; dữ liệu tham chiếu thuốc; dữ liệu nghiệp vụ theo patient; và dữ liệu vận hành. Các lớp liên kết qua khóa ngoại rõ ràng nhưng có vòng đời độc lập. Dữ liệu tham chiếu được version hóa, trong khi dữ liệu patient lưu release đã sử dụng để có thể tái hiện kết quả tại một thời điểm.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08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Lớp dữ liệu</w:t>
            </w:r>
          </w:p>
        </w:tc>
        <w:tc>
          <w:tcPr>
            <w:tcW w:type="dxa" w:w="381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Mục đích</w:t>
            </w:r>
          </w:p>
        </w:tc>
        <w:tc>
          <w:tcPr>
            <w:tcW w:type="dxa" w:w="417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Đối tượng tiêu biểu</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Identity và access</w:t>
            </w:r>
          </w:p>
        </w:tc>
        <w:tc>
          <w:tcPr>
            <w:tcW w:type="dxa" w:w="3816"/>
            <w:vAlign w:val="center"/>
            <w:tcMar>
              <w:top w:w="100" w:type="dxa"/>
              <w:start w:w="120" w:type="dxa"/>
              <w:bottom w:w="100" w:type="dxa"/>
              <w:end w:w="120" w:type="dxa"/>
            </w:tcMar>
          </w:tcPr>
          <w:p>
            <w:pPr>
              <w:spacing w:after="0" w:line="252" w:lineRule="auto"/>
              <w:jc w:val="left"/>
            </w:pPr>
            <w:r/>
            <w:r>
              <w:rPr>
                <w:rFonts w:ascii="Arial" w:hAnsi="Arial" w:eastAsia="Arial"/>
                <w:b w:val="0"/>
                <w:sz w:val="19"/>
              </w:rPr>
              <w:t>Tài khoản, role, permission và phạm vi chăm sóc</w:t>
            </w:r>
          </w:p>
        </w:tc>
        <w:tc>
          <w:tcPr>
            <w:tcW w:type="dxa" w:w="4176"/>
            <w:vAlign w:val="center"/>
            <w:tcMar>
              <w:top w:w="100" w:type="dxa"/>
              <w:start w:w="120" w:type="dxa"/>
              <w:bottom w:w="100" w:type="dxa"/>
              <w:end w:w="120" w:type="dxa"/>
            </w:tcMar>
          </w:tcPr>
          <w:p>
            <w:pPr>
              <w:spacing w:after="0" w:line="252" w:lineRule="auto"/>
              <w:jc w:val="left"/>
            </w:pPr>
            <w:r/>
            <w:r>
              <w:rPr>
                <w:rFonts w:ascii="Arial" w:hAnsi="Arial" w:eastAsia="Arial"/>
                <w:b w:val="0"/>
                <w:sz w:val="19"/>
              </w:rPr>
              <w:t>USERS, USER_ROLES, CARE_RELATIONSHIPS</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Reference catalog</w:t>
            </w:r>
          </w:p>
        </w:tc>
        <w:tc>
          <w:tcPr>
            <w:tcW w:type="dxa" w:w="381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Danh mục thuốc, ingredient, indication, interaction và evidence</w:t>
            </w:r>
          </w:p>
        </w:tc>
        <w:tc>
          <w:tcPr>
            <w:tcW w:type="dxa" w:w="41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 INGREDIENTS, DRUG_INTERACTIONS</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Patient workflow</w:t>
            </w:r>
          </w:p>
        </w:tc>
        <w:tc>
          <w:tcPr>
            <w:tcW w:type="dxa" w:w="3816"/>
            <w:vAlign w:val="center"/>
            <w:tcMar>
              <w:top w:w="100" w:type="dxa"/>
              <w:start w:w="120" w:type="dxa"/>
              <w:bottom w:w="100" w:type="dxa"/>
              <w:end w:w="120" w:type="dxa"/>
            </w:tcMar>
          </w:tcPr>
          <w:p>
            <w:pPr>
              <w:spacing w:after="0" w:line="252" w:lineRule="auto"/>
              <w:jc w:val="left"/>
            </w:pPr>
            <w:r/>
            <w:r>
              <w:rPr>
                <w:rFonts w:ascii="Arial" w:hAnsi="Arial" w:eastAsia="Arial"/>
                <w:b w:val="0"/>
                <w:sz w:val="19"/>
              </w:rPr>
              <w:t>Intake, medication list, assessment, review và reminder</w:t>
            </w:r>
          </w:p>
        </w:tc>
        <w:tc>
          <w:tcPr>
            <w:tcW w:type="dxa" w:w="4176"/>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MEDICATION_ENTRIES, SAFETY_ASSESSMENTS, HCP_REVIEWS</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Operations</w:t>
            </w:r>
          </w:p>
        </w:tc>
        <w:tc>
          <w:tcPr>
            <w:tcW w:type="dxa" w:w="381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Import, audit, support và notification</w:t>
            </w:r>
          </w:p>
        </w:tc>
        <w:tc>
          <w:tcPr>
            <w:tcW w:type="dxa" w:w="41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IMPORT_BATCHES, AUDIT_LOGS, SUPPORT_TICKETS</w:t>
            </w:r>
          </w:p>
        </w:tc>
      </w:tr>
    </w:tbl>
    <w:p>
      <w:pPr>
        <w:spacing w:after="0"/>
      </w:pPr>
    </w:p>
    <w:p>
      <w:pPr>
        <w:sectPr>
          <w:headerReference w:type="default" r:id="rId9"/>
          <w:footerReference w:type="default" r:id="rId10"/>
          <w:pgSz w:w="12240" w:h="15840"/>
          <w:pgMar w:top="1152" w:right="1152" w:bottom="1152" w:left="1152" w:header="432" w:footer="432" w:gutter="0"/>
          <w:cols w:space="720"/>
          <w:titlePg/>
          <w:docGrid w:linePitch="360"/>
        </w:sectPr>
      </w:pPr>
    </w:p>
    <w:p>
      <w:pPr>
        <w:keepNext/>
        <w:spacing w:after="100"/>
        <w:jc w:val="left"/>
      </w:pPr>
      <w:r>
        <w:rPr>
          <w:rFonts w:ascii="Arial" w:hAnsi="Arial" w:eastAsia="Arial"/>
          <w:b/>
          <w:sz w:val="26"/>
        </w:rPr>
        <w:t>Hình 1. ERD tổng của hệ thống</w:t>
      </w:r>
    </w:p>
    <w:p>
      <w:pPr>
        <w:spacing w:after="80"/>
        <w:jc w:val="center"/>
      </w:pPr>
      <w:r>
        <w:drawing>
          <wp:inline xmlns:a="http://schemas.openxmlformats.org/drawingml/2006/main" xmlns:pic="http://schemas.openxmlformats.org/drawingml/2006/picture">
            <wp:extent cx="8823960" cy="3588410"/>
            <wp:docPr id="1" name="Picture 1"/>
            <wp:cNvGraphicFramePr>
              <a:graphicFrameLocks noChangeAspect="1"/>
            </wp:cNvGraphicFramePr>
            <a:graphic>
              <a:graphicData uri="http://schemas.openxmlformats.org/drawingml/2006/picture">
                <pic:pic>
                  <pic:nvPicPr>
                    <pic:cNvPr id="0" name="01-unified-sql-erd.png"/>
                    <pic:cNvPicPr/>
                  </pic:nvPicPr>
                  <pic:blipFill>
                    <a:blip r:embed="rId11"/>
                    <a:stretch>
                      <a:fillRect/>
                    </a:stretch>
                  </pic:blipFill>
                  <pic:spPr>
                    <a:xfrm>
                      <a:off x="0" y="0"/>
                      <a:ext cx="8823960" cy="3588410"/>
                    </a:xfrm>
                    <a:prstGeom prst="rect"/>
                  </pic:spPr>
                </pic:pic>
              </a:graphicData>
            </a:graphic>
          </wp:inline>
        </w:drawing>
      </w:r>
    </w:p>
    <w:p>
      <w:pPr>
        <w:spacing w:before="0" w:after="0"/>
        <w:jc w:val="center"/>
      </w:pPr>
      <w:r>
        <w:rPr>
          <w:rFonts w:ascii="Arial" w:hAnsi="Arial" w:eastAsia="Arial"/>
          <w:i/>
          <w:color w:val="595959"/>
          <w:sz w:val="17"/>
        </w:rPr>
        <w:t>Toàn bộ 64 bảng và các quan hệ chính trong một mô hình thống nhất.</w:t>
      </w:r>
    </w:p>
    <w:p>
      <w:pPr>
        <w:sectPr>
          <w:pgSz w:w="15840" w:h="12240" w:orient="landscape"/>
          <w:pgMar w:top="792" w:right="792" w:bottom="792" w:left="792" w:header="432" w:footer="432" w:gutter="0"/>
          <w:cols w:space="720"/>
          <w:docGrid w:linePitch="360"/>
        </w:sectPr>
      </w:pPr>
    </w:p>
    <w:p>
      <w:pPr>
        <w:pStyle w:val="Heading1"/>
        <w:keepNext/>
        <w:spacing w:before="200" w:after="100"/>
      </w:pPr>
      <w:r>
        <w:t>3 Các domain dùng chung</w:t>
      </w:r>
    </w:p>
    <w:p>
      <w:pPr>
        <w:spacing w:after="140" w:line="276" w:lineRule="auto"/>
      </w:pPr>
      <w:r>
        <w:rPr>
          <w:rFonts w:ascii="Arial" w:hAnsi="Arial" w:eastAsia="Arial"/>
          <w:sz w:val="21"/>
        </w:rPr>
        <w:t>Các domain dưới đây giúp đọc ERD theo từng lĩnh vực. Một bảng có thể xuất hiện trong nhiều hình vì nó phục vụ nhiều luồng, nhưng trong database vẫn chỉ có một bảng vật lý.</w:t>
      </w:r>
    </w:p>
    <w:p>
      <w:pPr>
        <w:pStyle w:val="Heading2"/>
        <w:keepNext/>
        <w:spacing w:before="140" w:after="100"/>
      </w:pPr>
      <w:r>
        <w:t>3.1 Người dùng và kiểm soát truy cập</w:t>
      </w:r>
    </w:p>
    <w:p>
      <w:pPr>
        <w:spacing w:after="140" w:line="276" w:lineRule="auto"/>
      </w:pPr>
      <w:r>
        <w:rPr>
          <w:rFonts w:ascii="Arial" w:hAnsi="Arial" w:eastAsia="Arial"/>
          <w:sz w:val="21"/>
        </w:rPr>
        <w:t>USERS chỉ lưu danh tính tài khoản. Vai trò patient, hcp, admin, technical_support và medical_reviewer được gán qua USER_ROLES; quyền chi tiết đi qua ROLE_PERMISSIONS. Một user có thể có nhiều role, ví dụ một HCP đồng thời được cấp nhiệm vụ medical reviewer.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80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Role</w:t>
            </w:r>
          </w:p>
        </w:tc>
        <w:tc>
          <w:tcPr>
            <w:tcW w:type="dxa" w:w="432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Trách nhiệm chính</w:t>
            </w:r>
          </w:p>
        </w:tc>
        <w:tc>
          <w:tcPr>
            <w:tcW w:type="dxa" w:w="396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Giới hạn quan trọng</w:t>
            </w:r>
          </w:p>
        </w:tc>
      </w:tr>
      <w:tr>
        <w:tc>
          <w:tcPr>
            <w:tcW w:type="dxa" w:w="1800"/>
            <w:vAlign w:val="center"/>
            <w:tcMar>
              <w:top w:w="100" w:type="dxa"/>
              <w:start w:w="120" w:type="dxa"/>
              <w:bottom w:w="100" w:type="dxa"/>
              <w:end w:w="120" w:type="dxa"/>
            </w:tcMar>
          </w:tcPr>
          <w:p>
            <w:pPr>
              <w:spacing w:after="0" w:line="252" w:lineRule="auto"/>
              <w:jc w:val="center"/>
            </w:pPr>
            <w:r/>
            <w:r>
              <w:rPr>
                <w:rFonts w:ascii="Arial" w:hAnsi="Arial" w:eastAsia="Arial"/>
                <w:b w:val="0"/>
                <w:sz w:val="19"/>
              </w:rPr>
              <w:t>patient</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Quản lý thuốc cá nhân, gửi intake, xem kết quả và trao đổi với HCP</w:t>
            </w:r>
          </w:p>
        </w:tc>
        <w:tc>
          <w:tcPr>
            <w:tcW w:type="dxa" w:w="3960"/>
            <w:vAlign w:val="center"/>
            <w:tcMar>
              <w:top w:w="100" w:type="dxa"/>
              <w:start w:w="120" w:type="dxa"/>
              <w:bottom w:w="100" w:type="dxa"/>
              <w:end w:w="120" w:type="dxa"/>
            </w:tcMar>
          </w:tcPr>
          <w:p>
            <w:pPr>
              <w:spacing w:after="0" w:line="252" w:lineRule="auto"/>
              <w:jc w:val="left"/>
            </w:pPr>
            <w:r/>
            <w:r>
              <w:rPr>
                <w:rFonts w:ascii="Arial" w:hAnsi="Arial" w:eastAsia="Arial"/>
                <w:b w:val="0"/>
                <w:sz w:val="19"/>
              </w:rPr>
              <w:t>Chỉ truy cập hồ sơ của mình hoặc phạm vi được cho phép</w:t>
            </w:r>
          </w:p>
        </w:tc>
      </w:tr>
      <w:tr>
        <w:tc>
          <w:tcPr>
            <w:tcW w:type="dxa" w:w="180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hcp</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Chăm sóc patient, review assessment và xác nhận regimen</w:t>
            </w:r>
          </w:p>
        </w:tc>
        <w:tc>
          <w:tcPr>
            <w:tcW w:type="dxa" w:w="396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mặc nhiên được duyệt dữ liệu catalog</w:t>
            </w:r>
          </w:p>
        </w:tc>
      </w:tr>
      <w:tr>
        <w:tc>
          <w:tcPr>
            <w:tcW w:type="dxa" w:w="1800"/>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medical_reviewer</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Duyệt mapping, indication, interaction và evidence dùng chung</w:t>
            </w:r>
          </w:p>
        </w:tc>
        <w:tc>
          <w:tcPr>
            <w:tcW w:type="dxa" w:w="3960"/>
            <w:vAlign w:val="center"/>
            <w:tcMar>
              <w:top w:w="100" w:type="dxa"/>
              <w:start w:w="120" w:type="dxa"/>
              <w:bottom w:w="100" w:type="dxa"/>
              <w:end w:w="120" w:type="dxa"/>
            </w:tcMar>
          </w:tcPr>
          <w:p>
            <w:pPr>
              <w:spacing w:after="0" w:line="252" w:lineRule="auto"/>
              <w:jc w:val="left"/>
            </w:pPr>
            <w:r/>
            <w:r>
              <w:rPr>
                <w:rFonts w:ascii="Arial" w:hAnsi="Arial" w:eastAsia="Arial"/>
                <w:b w:val="0"/>
                <w:sz w:val="19"/>
              </w:rPr>
              <w:t>Phải có chuyên môn và phạm vi nhiệm vụ được cấp</w:t>
            </w:r>
          </w:p>
        </w:tc>
      </w:tr>
      <w:tr>
        <w:tc>
          <w:tcPr>
            <w:tcW w:type="dxa" w:w="1800"/>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admin</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Quản lý tài khoản, role, permission và cấu hình vận hành</w:t>
            </w:r>
          </w:p>
        </w:tc>
        <w:tc>
          <w:tcPr>
            <w:tcW w:type="dxa" w:w="396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tự thay thế quyết định chuyên môn</w:t>
            </w:r>
          </w:p>
        </w:tc>
      </w:tr>
      <w:tr>
        <w:tc>
          <w:tcPr>
            <w:tcW w:type="dxa" w:w="1800"/>
            <w:vAlign w:val="center"/>
            <w:tcMar>
              <w:top w:w="100" w:type="dxa"/>
              <w:start w:w="120" w:type="dxa"/>
              <w:bottom w:w="100" w:type="dxa"/>
              <w:end w:w="120" w:type="dxa"/>
            </w:tcMar>
          </w:tcPr>
          <w:p>
            <w:pPr>
              <w:spacing w:after="0" w:line="252" w:lineRule="auto"/>
              <w:jc w:val="center"/>
            </w:pPr>
            <w:r/>
            <w:r>
              <w:rPr>
                <w:rFonts w:ascii="Arial" w:hAnsi="Arial" w:eastAsia="Arial"/>
                <w:b w:val="0"/>
                <w:sz w:val="19"/>
              </w:rPr>
              <w:t>technical_support</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Xử lý ticket, chẩn đoán lỗi upload, OCR và tác vụ thất bại</w:t>
            </w:r>
          </w:p>
        </w:tc>
        <w:tc>
          <w:tcPr>
            <w:tcW w:type="dxa" w:w="3960"/>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xem hoặc sửa dữ liệu lâm sàng ngoài phạm vi ticket</w:t>
            </w:r>
          </w:p>
        </w:tc>
      </w:tr>
    </w:tbl>
    <w:p>
      <w:pPr>
        <w:spacing w:after="0"/>
      </w:pP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2. Domain người dùng và kiểm soát truy cập</w:t>
      </w:r>
    </w:p>
    <w:p>
      <w:pPr>
        <w:spacing w:after="80"/>
        <w:jc w:val="center"/>
      </w:pPr>
      <w:r>
        <w:drawing>
          <wp:inline xmlns:a="http://schemas.openxmlformats.org/drawingml/2006/main" xmlns:pic="http://schemas.openxmlformats.org/drawingml/2006/picture">
            <wp:extent cx="8823960" cy="4034020"/>
            <wp:docPr id="2" name="Picture 2"/>
            <wp:cNvGraphicFramePr>
              <a:graphicFrameLocks noChangeAspect="1"/>
            </wp:cNvGraphicFramePr>
            <a:graphic>
              <a:graphicData uri="http://schemas.openxmlformats.org/drawingml/2006/picture">
                <pic:pic>
                  <pic:nvPicPr>
                    <pic:cNvPr id="0" name="01-users-access-control.png"/>
                    <pic:cNvPicPr/>
                  </pic:nvPicPr>
                  <pic:blipFill>
                    <a:blip r:embed="rId12"/>
                    <a:stretch>
                      <a:fillRect/>
                    </a:stretch>
                  </pic:blipFill>
                  <pic:spPr>
                    <a:xfrm>
                      <a:off x="0" y="0"/>
                      <a:ext cx="8823960" cy="4034020"/>
                    </a:xfrm>
                    <a:prstGeom prst="rect"/>
                  </pic:spPr>
                </pic:pic>
              </a:graphicData>
            </a:graphic>
          </wp:inline>
        </w:drawing>
      </w:r>
    </w:p>
    <w:p>
      <w:pPr>
        <w:spacing w:before="0" w:after="0"/>
        <w:jc w:val="center"/>
      </w:pPr>
      <w:r>
        <w:rPr>
          <w:rFonts w:ascii="Arial" w:hAnsi="Arial" w:eastAsia="Arial"/>
          <w:i/>
          <w:color w:val="595959"/>
          <w:sz w:val="17"/>
        </w:rPr>
        <w:t>Role được biểu diễn bằng dữ liệu trong ROLES và USER_ROLES, còn permission quyết định thao tác cụ thể.</w:t>
      </w:r>
    </w:p>
    <w:p>
      <w:pPr>
        <w:sectPr>
          <w:pgSz w:w="15840" w:h="12240" w:orient="landscape"/>
          <w:pgMar w:top="792" w:right="792" w:bottom="792" w:left="792" w:header="432" w:footer="432" w:gutter="0"/>
          <w:cols w:space="720"/>
          <w:docGrid w:linePitch="360"/>
        </w:sectPr>
      </w:pPr>
    </w:p>
    <w:p>
      <w:pPr>
        <w:pStyle w:val="Heading2"/>
        <w:keepNext/>
        <w:spacing w:before="140" w:after="100"/>
      </w:pPr>
      <w:r>
        <w:t>3.2 Danh mục thuốc và dữ liệu an toàn</w:t>
      </w:r>
    </w:p>
    <w:p>
      <w:pPr>
        <w:spacing w:after="140" w:line="276" w:lineRule="auto"/>
      </w:pPr>
      <w:r>
        <w:rPr>
          <w:rFonts w:ascii="Arial" w:hAnsi="Arial" w:eastAsia="Arial"/>
          <w:sz w:val="21"/>
        </w:rPr>
        <w:t>MEDICATIONS đại diện sản phẩm thuốc; MEDICATION_COMPONENTS biểu diễn các thành phần và nối tới INGREDIENTS khi danh tính đã được xác minh. COMPONENT_SAFETY_MAPPINGS nối component sang namespace an toàn như DDInter. DRUG_INTERACTIONS giữ cặp tương tác, participant và evidence độc lập với sản phẩm thương mại.</w:t>
      </w:r>
    </w:p>
    <w:p>
      <w:pPr>
        <w:pStyle w:val="ListBullet"/>
        <w:spacing w:after="60" w:line="264" w:lineRule="auto"/>
      </w:pPr>
      <w:r>
        <w:rPr>
          <w:rFonts w:ascii="Arial" w:hAnsi="Arial" w:eastAsia="Arial"/>
          <w:sz w:val="20"/>
        </w:rPr>
        <w:t>Một medication có nhiều component; component có thể tạm thời chưa resolve được ingredient.</w:t>
      </w:r>
    </w:p>
    <w:p>
      <w:pPr>
        <w:pStyle w:val="ListBullet"/>
        <w:spacing w:after="60" w:line="264" w:lineRule="auto"/>
      </w:pPr>
      <w:r>
        <w:rPr>
          <w:rFonts w:ascii="Arial" w:hAnsi="Arial" w:eastAsia="Arial"/>
          <w:sz w:val="20"/>
        </w:rPr>
        <w:t>Mỗi drug interaction phải có đúng hai participant khác nhau và được chuẩn hóa theo thứ tự không quan trọng.</w:t>
      </w:r>
    </w:p>
    <w:p>
      <w:pPr>
        <w:pStyle w:val="ListBullet"/>
        <w:spacing w:after="60" w:line="264" w:lineRule="auto"/>
      </w:pPr>
      <w:r>
        <w:rPr>
          <w:rFonts w:ascii="Arial" w:hAnsi="Arial" w:eastAsia="Arial"/>
          <w:sz w:val="20"/>
        </w:rPr>
        <w:t>Mapping chưa accepted hoặc operative không được tham gia safety assessment.</w:t>
      </w:r>
    </w:p>
    <w:p>
      <w:pPr>
        <w:pStyle w:val="ListBullet"/>
        <w:spacing w:after="60" w:line="264" w:lineRule="auto"/>
      </w:pPr>
      <w:r>
        <w:rPr>
          <w:rFonts w:ascii="Arial" w:hAnsi="Arial" w:eastAsia="Arial"/>
          <w:sz w:val="20"/>
        </w:rPr>
        <w:t>Mỗi interaction dùng trong kết luận phải có ít nhất một evidence source hợp lệ.</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3. Domain danh mục thuốc và dữ liệu an toàn</w:t>
      </w:r>
    </w:p>
    <w:p>
      <w:pPr>
        <w:spacing w:after="80"/>
        <w:jc w:val="center"/>
      </w:pPr>
      <w:r>
        <w:drawing>
          <wp:inline xmlns:a="http://schemas.openxmlformats.org/drawingml/2006/main" xmlns:pic="http://schemas.openxmlformats.org/drawingml/2006/picture">
            <wp:extent cx="8823960" cy="4394332"/>
            <wp:docPr id="3" name="Picture 3"/>
            <wp:cNvGraphicFramePr>
              <a:graphicFrameLocks noChangeAspect="1"/>
            </wp:cNvGraphicFramePr>
            <a:graphic>
              <a:graphicData uri="http://schemas.openxmlformats.org/drawingml/2006/picture">
                <pic:pic>
                  <pic:nvPicPr>
                    <pic:cNvPr id="0" name="02-medication-safety-catalog.png"/>
                    <pic:cNvPicPr/>
                  </pic:nvPicPr>
                  <pic:blipFill>
                    <a:blip r:embed="rId13"/>
                    <a:stretch>
                      <a:fillRect/>
                    </a:stretch>
                  </pic:blipFill>
                  <pic:spPr>
                    <a:xfrm>
                      <a:off x="0" y="0"/>
                      <a:ext cx="8823960" cy="4394332"/>
                    </a:xfrm>
                    <a:prstGeom prst="rect"/>
                  </pic:spPr>
                </pic:pic>
              </a:graphicData>
            </a:graphic>
          </wp:inline>
        </w:drawing>
      </w:r>
    </w:p>
    <w:p>
      <w:pPr>
        <w:spacing w:before="0" w:after="0"/>
        <w:jc w:val="center"/>
      </w:pPr>
      <w:r>
        <w:rPr>
          <w:rFonts w:ascii="Arial" w:hAnsi="Arial" w:eastAsia="Arial"/>
          <w:i/>
          <w:color w:val="595959"/>
          <w:sz w:val="17"/>
        </w:rPr>
        <w:t>Catalog nối sản phẩm thuốc, thành phần, hoạt chất, chỉ định, DDInter entity và bằng chứng tương tác.</w:t>
      </w:r>
    </w:p>
    <w:p>
      <w:pPr>
        <w:sectPr>
          <w:pgSz w:w="15840" w:h="12240" w:orient="landscape"/>
          <w:pgMar w:top="792" w:right="792" w:bottom="792" w:left="792" w:header="432" w:footer="432" w:gutter="0"/>
          <w:cols w:space="720"/>
          <w:docGrid w:linePitch="360"/>
        </w:sectPr>
      </w:pPr>
    </w:p>
    <w:p>
      <w:pPr>
        <w:pStyle w:val="Heading2"/>
        <w:keepNext/>
        <w:spacing w:before="140" w:after="100"/>
      </w:pPr>
      <w:r>
        <w:t>3.3 Nhập dữ liệu, duyệt và phát hành</w:t>
      </w:r>
    </w:p>
    <w:p>
      <w:pPr>
        <w:spacing w:after="140" w:line="276" w:lineRule="auto"/>
      </w:pPr>
      <w:r>
        <w:rPr>
          <w:rFonts w:ascii="Arial" w:hAnsi="Arial" w:eastAsia="Arial"/>
          <w:sz w:val="21"/>
        </w:rPr>
        <w:t>DATASET_VERSIONS là snapshot logic đang được xây dựng. IMPORT_BATCHES ghi từng lần nạp file; SOURCE_RECORDS giữ dòng nguồn; VALIDATION_RESULTS giữ lỗi và cảnh báo. Medical reviewer xử lý DATA_REVIEW_ITEMS và ghi quyết định trong DATA_REVIEW_DECISIONS. Chỉ DATASET_RELEASES đã phát hành mới được module nhận diện và đánh giá sử dụng.</w:t>
      </w:r>
    </w:p>
    <w:p>
      <w:pPr>
        <w:pStyle w:val="ListNumber"/>
        <w:spacing w:after="80" w:line="264" w:lineRule="auto"/>
      </w:pPr>
      <w:r>
        <w:rPr>
          <w:rFonts w:ascii="Arial" w:hAnsi="Arial" w:eastAsia="Arial"/>
          <w:sz w:val="20"/>
        </w:rPr>
        <w:t>Tạo dataset version ở trạng thái DRAFT.</w:t>
      </w:r>
    </w:p>
    <w:p>
      <w:pPr>
        <w:pStyle w:val="ListNumber"/>
        <w:spacing w:after="80" w:line="264" w:lineRule="auto"/>
      </w:pPr>
      <w:r>
        <w:rPr>
          <w:rFonts w:ascii="Arial" w:hAnsi="Arial" w:eastAsia="Arial"/>
          <w:sz w:val="20"/>
        </w:rPr>
        <w:t>Nạp từng file thành import batch và lưu source record bất biến.</w:t>
      </w:r>
    </w:p>
    <w:p>
      <w:pPr>
        <w:pStyle w:val="ListNumber"/>
        <w:spacing w:after="80" w:line="264" w:lineRule="auto"/>
      </w:pPr>
      <w:r>
        <w:rPr>
          <w:rFonts w:ascii="Arial" w:hAnsi="Arial" w:eastAsia="Arial"/>
          <w:sz w:val="20"/>
        </w:rPr>
        <w:t>Chạy validation về schema, khóa tham chiếu, duplicate và quy tắc nghiệp vụ.</w:t>
      </w:r>
    </w:p>
    <w:p>
      <w:pPr>
        <w:pStyle w:val="ListNumber"/>
        <w:spacing w:after="80" w:line="264" w:lineRule="auto"/>
      </w:pPr>
      <w:r>
        <w:rPr>
          <w:rFonts w:ascii="Arial" w:hAnsi="Arial" w:eastAsia="Arial"/>
          <w:sz w:val="20"/>
        </w:rPr>
        <w:t>Tạo review request cho các record có ảnh hưởng lâm sàng hoặc còn mâu thuẫn.</w:t>
      </w:r>
    </w:p>
    <w:p>
      <w:pPr>
        <w:pStyle w:val="ListNumber"/>
        <w:spacing w:after="80" w:line="264" w:lineRule="auto"/>
      </w:pPr>
      <w:r>
        <w:rPr>
          <w:rFonts w:ascii="Arial" w:hAnsi="Arial" w:eastAsia="Arial"/>
          <w:sz w:val="20"/>
        </w:rPr>
        <w:t>Reviewer chấp nhận, từ chối hoặc yêu cầu sửa; mọi quyết định phải có lý do và evidence.</w:t>
      </w:r>
    </w:p>
    <w:p>
      <w:pPr>
        <w:pStyle w:val="ListNumber"/>
        <w:spacing w:after="80" w:line="264" w:lineRule="auto"/>
      </w:pPr>
      <w:r>
        <w:rPr>
          <w:rFonts w:ascii="Arial" w:hAnsi="Arial" w:eastAsia="Arial"/>
          <w:sz w:val="20"/>
        </w:rPr>
        <w:t>Đóng băng version và tạo release; module nghiệp vụ tham chiếu release_id cụ thể.</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4. Domain nhập dữ liệu, duyệt và phát hành</w:t>
      </w:r>
    </w:p>
    <w:p>
      <w:pPr>
        <w:spacing w:after="80"/>
        <w:jc w:val="center"/>
      </w:pPr>
      <w:r>
        <w:drawing>
          <wp:inline xmlns:a="http://schemas.openxmlformats.org/drawingml/2006/main" xmlns:pic="http://schemas.openxmlformats.org/drawingml/2006/picture">
            <wp:extent cx="6400800" cy="6866583"/>
            <wp:docPr id="4" name="Picture 4"/>
            <wp:cNvGraphicFramePr>
              <a:graphicFrameLocks noChangeAspect="1"/>
            </wp:cNvGraphicFramePr>
            <a:graphic>
              <a:graphicData uri="http://schemas.openxmlformats.org/drawingml/2006/picture">
                <pic:pic>
                  <pic:nvPicPr>
                    <pic:cNvPr id="0" name="03-data-import-review-release.png"/>
                    <pic:cNvPicPr/>
                  </pic:nvPicPr>
                  <pic:blipFill>
                    <a:blip r:embed="rId14"/>
                    <a:stretch>
                      <a:fillRect/>
                    </a:stretch>
                  </pic:blipFill>
                  <pic:spPr>
                    <a:xfrm>
                      <a:off x="0" y="0"/>
                      <a:ext cx="6400800" cy="6866583"/>
                    </a:xfrm>
                    <a:prstGeom prst="rect"/>
                  </pic:spPr>
                </pic:pic>
              </a:graphicData>
            </a:graphic>
          </wp:inline>
        </w:drawing>
      </w:r>
    </w:p>
    <w:p>
      <w:pPr>
        <w:spacing w:before="0" w:after="0"/>
        <w:jc w:val="center"/>
      </w:pPr>
      <w:r>
        <w:rPr>
          <w:rFonts w:ascii="Arial" w:hAnsi="Arial" w:eastAsia="Arial"/>
          <w:i/>
          <w:color w:val="595959"/>
          <w:sz w:val="17"/>
        </w:rPr>
        <w:t>Dữ liệu chỉ được dùng trong nghiệp vụ sau khi qua import, validation, review và tạo dataset release.</w:t>
      </w:r>
    </w:p>
    <w:p>
      <w:pPr>
        <w:sectPr>
          <w:pgSz w:w="12240" w:h="15840"/>
          <w:pgMar w:top="792" w:right="792" w:bottom="792" w:left="792" w:header="432" w:footer="432" w:gutter="0"/>
          <w:cols w:space="720"/>
          <w:docGrid w:linePitch="360"/>
        </w:sectPr>
      </w:pPr>
    </w:p>
    <w:p>
      <w:pPr>
        <w:pStyle w:val="Heading2"/>
        <w:keepNext/>
        <w:spacing w:before="140" w:after="100"/>
      </w:pPr>
      <w:r>
        <w:t>3.4 Chăm sóc và quản lý thuốc của bệnh nhân</w:t>
      </w:r>
    </w:p>
    <w:p>
      <w:pPr>
        <w:spacing w:after="140" w:line="276" w:lineRule="auto"/>
      </w:pPr>
      <w:r>
        <w:rPr>
          <w:rFonts w:ascii="Arial" w:hAnsi="Arial" w:eastAsia="Arial"/>
          <w:sz w:val="21"/>
        </w:rPr>
        <w:t>Patient workflow bắt đầu từ prescription hoặc medication intake, sau đó tạo medication entry. Tại thời điểm đánh giá, hệ thống tạo medication list snapshot để đóng băng danh sách thuốc. Assessment và HCP review không thay đổi snapshot cũ; regimen và reminder được tạo từ dữ liệu đã xác nhận.</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5. Domain chăm sóc và quản lý thuốc của bệnh nhân</w:t>
      </w:r>
    </w:p>
    <w:p>
      <w:pPr>
        <w:spacing w:after="80"/>
        <w:jc w:val="center"/>
      </w:pPr>
      <w:r>
        <w:drawing>
          <wp:inline xmlns:a="http://schemas.openxmlformats.org/drawingml/2006/main" xmlns:pic="http://schemas.openxmlformats.org/drawingml/2006/picture">
            <wp:extent cx="6400800" cy="7265380"/>
            <wp:docPr id="5" name="Picture 5"/>
            <wp:cNvGraphicFramePr>
              <a:graphicFrameLocks noChangeAspect="1"/>
            </wp:cNvGraphicFramePr>
            <a:graphic>
              <a:graphicData uri="http://schemas.openxmlformats.org/drawingml/2006/picture">
                <pic:pic>
                  <pic:nvPicPr>
                    <pic:cNvPr id="0" name="04-patient-medication-care.png"/>
                    <pic:cNvPicPr/>
                  </pic:nvPicPr>
                  <pic:blipFill>
                    <a:blip r:embed="rId15"/>
                    <a:stretch>
                      <a:fillRect/>
                    </a:stretch>
                  </pic:blipFill>
                  <pic:spPr>
                    <a:xfrm>
                      <a:off x="0" y="0"/>
                      <a:ext cx="6400800" cy="7265380"/>
                    </a:xfrm>
                    <a:prstGeom prst="rect"/>
                  </pic:spPr>
                </pic:pic>
              </a:graphicData>
            </a:graphic>
          </wp:inline>
        </w:drawing>
      </w:r>
    </w:p>
    <w:p>
      <w:pPr>
        <w:spacing w:before="0" w:after="0"/>
        <w:jc w:val="center"/>
      </w:pPr>
      <w:r>
        <w:rPr>
          <w:rFonts w:ascii="Arial" w:hAnsi="Arial" w:eastAsia="Arial"/>
          <w:i/>
          <w:color w:val="595959"/>
          <w:sz w:val="17"/>
        </w:rPr>
        <w:t>Luồng patient kết nối medication entry, assessment, HCP review, regimen, reminder và adherence.</w:t>
      </w:r>
    </w:p>
    <w:p>
      <w:pPr>
        <w:sectPr>
          <w:pgSz w:w="12240" w:h="15840"/>
          <w:pgMar w:top="792" w:right="792" w:bottom="792" w:left="792" w:header="432" w:footer="432" w:gutter="0"/>
          <w:cols w:space="720"/>
          <w:docGrid w:linePitch="360"/>
        </w:sectPr>
      </w:pPr>
    </w:p>
    <w:p>
      <w:pPr>
        <w:pStyle w:val="Heading2"/>
        <w:keepNext/>
        <w:spacing w:before="140" w:after="100"/>
      </w:pPr>
      <w:r>
        <w:t>3.5 Giao tiếp và hỗ trợ kỹ thuật</w:t>
      </w:r>
    </w:p>
    <w:p>
      <w:pPr>
        <w:spacing w:after="140" w:line="276" w:lineRule="auto"/>
      </w:pPr>
      <w:r>
        <w:rPr>
          <w:rFonts w:ascii="Arial" w:hAnsi="Arial" w:eastAsia="Arial"/>
          <w:sz w:val="21"/>
        </w:rPr>
        <w:t>CONVERSATIONS và MESSAGES phục vụ patient trao đổi trực tiếp với HCP trong một review request. SUPPORT_TICKETS, TICKET_ASSIGNMENTS và SUPPORT_MESSAGES phục vụ lỗi kỹ thuật hoặc vận hành. Technical support không đứng giữa patient và HCP và không được đưa ra kết luận chuyên môn.</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6. Domain giao tiếp và hỗ trợ kỹ thuật</w:t>
      </w:r>
    </w:p>
    <w:p>
      <w:pPr>
        <w:spacing w:after="80"/>
        <w:jc w:val="center"/>
      </w:pPr>
      <w:r>
        <w:drawing>
          <wp:inline xmlns:a="http://schemas.openxmlformats.org/drawingml/2006/main" xmlns:pic="http://schemas.openxmlformats.org/drawingml/2006/picture">
            <wp:extent cx="8823960" cy="5332613"/>
            <wp:docPr id="6" name="Picture 6"/>
            <wp:cNvGraphicFramePr>
              <a:graphicFrameLocks noChangeAspect="1"/>
            </wp:cNvGraphicFramePr>
            <a:graphic>
              <a:graphicData uri="http://schemas.openxmlformats.org/drawingml/2006/picture">
                <pic:pic>
                  <pic:nvPicPr>
                    <pic:cNvPr id="0" name="05-communication-technical-support.png"/>
                    <pic:cNvPicPr/>
                  </pic:nvPicPr>
                  <pic:blipFill>
                    <a:blip r:embed="rId16"/>
                    <a:stretch>
                      <a:fillRect/>
                    </a:stretch>
                  </pic:blipFill>
                  <pic:spPr>
                    <a:xfrm>
                      <a:off x="0" y="0"/>
                      <a:ext cx="8823960" cy="5332613"/>
                    </a:xfrm>
                    <a:prstGeom prst="rect"/>
                  </pic:spPr>
                </pic:pic>
              </a:graphicData>
            </a:graphic>
          </wp:inline>
        </w:drawing>
      </w:r>
    </w:p>
    <w:p>
      <w:pPr>
        <w:spacing w:before="0" w:after="0"/>
        <w:jc w:val="center"/>
      </w:pPr>
      <w:r>
        <w:rPr>
          <w:rFonts w:ascii="Arial" w:hAnsi="Arial" w:eastAsia="Arial"/>
          <w:i/>
          <w:color w:val="595959"/>
          <w:sz w:val="17"/>
        </w:rPr>
        <w:t>Trao đổi chuyên môn với HCP được tách khỏi ticket hỗ trợ kỹ thuật.</w:t>
      </w:r>
    </w:p>
    <w:p>
      <w:pPr>
        <w:sectPr>
          <w:pgSz w:w="15840" w:h="12240" w:orient="landscape"/>
          <w:pgMar w:top="792" w:right="792" w:bottom="792" w:left="792" w:header="432" w:footer="432" w:gutter="0"/>
          <w:cols w:space="720"/>
          <w:docGrid w:linePitch="360"/>
        </w:sectPr>
      </w:pPr>
    </w:p>
    <w:p>
      <w:pPr>
        <w:pStyle w:val="Heading1"/>
        <w:keepNext/>
        <w:spacing w:before="200" w:after="100"/>
      </w:pPr>
      <w:r>
        <w:t>4 Thiết kế theo module nghiệp vụ</w:t>
      </w:r>
    </w:p>
    <w:p>
      <w:pPr>
        <w:pStyle w:val="Heading2"/>
        <w:keepNext/>
        <w:spacing w:before="140" w:after="100"/>
      </w:pPr>
      <w:r>
        <w:t>4.1 Module 1 Medication Intake</w:t>
      </w:r>
    </w:p>
    <w:p>
      <w:pPr>
        <w:spacing w:after="140" w:line="276" w:lineRule="auto"/>
      </w:pPr>
      <w:r>
        <w:rPr>
          <w:rFonts w:ascii="Arial" w:hAnsi="Arial" w:eastAsia="Arial"/>
          <w:sz w:val="21"/>
        </w:rPr>
        <w:t>Module tiếp nhận ảnh, PDF, text, voice hoặc nhập tay. MEDICATION_INTAKES là phiên gửi dữ liệu; INTAKE_DOCUMENTS giữ file; EXTRACTION_RUNS và EXTRACTION_RUN_INPUTS giữ từng lần xử lý. MEDICATION_ENTRIES là kết quả theo dòng và ENTRY_CONFIRMATIONS giữ lịch sử xác nhận của người dùng.</w:t>
      </w:r>
    </w:p>
    <w:p>
      <w:pPr>
        <w:spacing w:after="140" w:line="276" w:lineRule="auto"/>
      </w:pPr>
      <w:r>
        <w:rPr>
          <w:rFonts w:ascii="Arial" w:hAnsi="Arial" w:eastAsia="Arial"/>
          <w:sz w:val="21"/>
        </w:rPr>
        <w:t>Một intake có thể chưa tạo entry khi extraction thất bại. Entry nhập tay không bắt buộc có extraction run; entry ngoài đơn thuốc không bắt buộc có prescription.</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7. Module 1 Medication Intake</w:t>
      </w:r>
    </w:p>
    <w:p>
      <w:pPr>
        <w:spacing w:after="80"/>
        <w:jc w:val="center"/>
      </w:pPr>
      <w:r>
        <w:drawing>
          <wp:inline xmlns:a="http://schemas.openxmlformats.org/drawingml/2006/main" xmlns:pic="http://schemas.openxmlformats.org/drawingml/2006/picture">
            <wp:extent cx="4762538" cy="7818120"/>
            <wp:docPr id="7" name="Picture 7"/>
            <wp:cNvGraphicFramePr>
              <a:graphicFrameLocks noChangeAspect="1"/>
            </wp:cNvGraphicFramePr>
            <a:graphic>
              <a:graphicData uri="http://schemas.openxmlformats.org/drawingml/2006/picture">
                <pic:pic>
                  <pic:nvPicPr>
                    <pic:cNvPr id="0" name="01-medication-intake.png"/>
                    <pic:cNvPicPr/>
                  </pic:nvPicPr>
                  <pic:blipFill>
                    <a:blip r:embed="rId17"/>
                    <a:stretch>
                      <a:fillRect/>
                    </a:stretch>
                  </pic:blipFill>
                  <pic:spPr>
                    <a:xfrm>
                      <a:off x="0" y="0"/>
                      <a:ext cx="4762538" cy="7818120"/>
                    </a:xfrm>
                    <a:prstGeom prst="rect"/>
                  </pic:spPr>
                </pic:pic>
              </a:graphicData>
            </a:graphic>
          </wp:inline>
        </w:drawing>
      </w:r>
    </w:p>
    <w:p>
      <w:pPr>
        <w:spacing w:before="0" w:after="0"/>
        <w:jc w:val="center"/>
      </w:pPr>
      <w:r>
        <w:rPr>
          <w:rFonts w:ascii="Arial" w:hAnsi="Arial" w:eastAsia="Arial"/>
          <w:i/>
          <w:color w:val="595959"/>
          <w:sz w:val="17"/>
        </w:rPr>
        <w:t>Tiếp nhận nhiều loại đầu vào, chạy OCR hoặc extraction và lưu xác nhận từng dòng thuốc.</w:t>
      </w:r>
    </w:p>
    <w:p>
      <w:pPr>
        <w:sectPr>
          <w:pgSz w:w="12240" w:h="15840"/>
          <w:pgMar w:top="792" w:right="792" w:bottom="792" w:left="792" w:header="432" w:footer="432" w:gutter="0"/>
          <w:cols w:space="720"/>
          <w:docGrid w:linePitch="360"/>
        </w:sectPr>
      </w:pPr>
    </w:p>
    <w:p>
      <w:pPr>
        <w:pStyle w:val="Heading2"/>
        <w:keepNext/>
        <w:spacing w:before="140" w:after="100"/>
      </w:pPr>
      <w:r>
        <w:t>4.2 Module 2 Medication Identification and Reference</w:t>
      </w:r>
    </w:p>
    <w:p>
      <w:pPr>
        <w:spacing w:after="140" w:line="276" w:lineRule="auto"/>
      </w:pPr>
      <w:r>
        <w:rPr>
          <w:rFonts w:ascii="Arial" w:hAnsi="Arial" w:eastAsia="Arial"/>
          <w:sz w:val="21"/>
        </w:rPr>
        <w:t>Mỗi lần nhận diện phải lưu release_id để biết catalog nào đã được sử dụng. ENTRY_IDENTIFICATIONS giữ kết quả chung; IDENTIFICATION_CANDIDATES giữ các medication candidate cùng score và trạng thái lựa chọn ở physical design. Việc có candidate không đồng nghĩa đã xác minh đúng sản phẩm.</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8. Module 2 Medication Identification and Reference</w:t>
      </w:r>
    </w:p>
    <w:p>
      <w:pPr>
        <w:spacing w:after="80"/>
        <w:jc w:val="center"/>
      </w:pPr>
      <w:r>
        <w:drawing>
          <wp:inline xmlns:a="http://schemas.openxmlformats.org/drawingml/2006/main" xmlns:pic="http://schemas.openxmlformats.org/drawingml/2006/picture">
            <wp:extent cx="8823960" cy="4973772"/>
            <wp:docPr id="8" name="Picture 8"/>
            <wp:cNvGraphicFramePr>
              <a:graphicFrameLocks noChangeAspect="1"/>
            </wp:cNvGraphicFramePr>
            <a:graphic>
              <a:graphicData uri="http://schemas.openxmlformats.org/drawingml/2006/picture">
                <pic:pic>
                  <pic:nvPicPr>
                    <pic:cNvPr id="0" name="02-medication-identification-reference.png"/>
                    <pic:cNvPicPr/>
                  </pic:nvPicPr>
                  <pic:blipFill>
                    <a:blip r:embed="rId18"/>
                    <a:stretch>
                      <a:fillRect/>
                    </a:stretch>
                  </pic:blipFill>
                  <pic:spPr>
                    <a:xfrm>
                      <a:off x="0" y="0"/>
                      <a:ext cx="8823960" cy="4973772"/>
                    </a:xfrm>
                    <a:prstGeom prst="rect"/>
                  </pic:spPr>
                </pic:pic>
              </a:graphicData>
            </a:graphic>
          </wp:inline>
        </w:drawing>
      </w:r>
    </w:p>
    <w:p>
      <w:pPr>
        <w:spacing w:before="0" w:after="0"/>
        <w:jc w:val="center"/>
      </w:pPr>
      <w:r>
        <w:rPr>
          <w:rFonts w:ascii="Arial" w:hAnsi="Arial" w:eastAsia="Arial"/>
          <w:i/>
          <w:color w:val="595959"/>
          <w:sz w:val="17"/>
        </w:rPr>
        <w:t>Nhận diện medication entry bằng một dataset release và giữ các candidate để truy vết.</w:t>
      </w:r>
    </w:p>
    <w:p>
      <w:pPr>
        <w:sectPr>
          <w:pgSz w:w="15840" w:h="12240" w:orient="landscape"/>
          <w:pgMar w:top="792" w:right="792" w:bottom="792" w:left="792" w:header="432" w:footer="432" w:gutter="0"/>
          <w:cols w:space="720"/>
          <w:docGrid w:linePitch="360"/>
        </w:sectPr>
      </w:pPr>
    </w:p>
    <w:p>
      <w:pPr>
        <w:pStyle w:val="Heading2"/>
        <w:keepNext/>
        <w:spacing w:before="140" w:after="100"/>
      </w:pPr>
      <w:r>
        <w:t>4.3 Module 3 Medication Safety Assessment</w:t>
      </w:r>
    </w:p>
    <w:p>
      <w:pPr>
        <w:spacing w:after="140" w:line="276" w:lineRule="auto"/>
      </w:pPr>
      <w:r>
        <w:rPr>
          <w:rFonts w:ascii="Arial" w:hAnsi="Arial" w:eastAsia="Arial"/>
          <w:sz w:val="21"/>
        </w:rPr>
        <w:t>Module tạo snapshot danh sách thuốc, sinh các cặp không lặp và tra interaction bằng identifier đã được duyệt. ASSESSMENT_PAIR_RESULTS phải lưu cả kết quả MATCHED, NOT_FOUND, UNRESOLVED hoặc NOT_EVALUABLE. SAFETY_FINDINGS chỉ tổng hợp những vấn đề có đủ căn cứ; FINDING_ITEMS nối finding về đúng thuốc liên quan.</w:t>
      </w:r>
    </w:p>
    <w:p>
      <w:pPr>
        <w:spacing w:after="140" w:line="276" w:lineRule="auto"/>
      </w:pPr>
      <w:r>
        <w:rPr>
          <w:rFonts w:ascii="Arial" w:hAnsi="Arial" w:eastAsia="Arial"/>
          <w:sz w:val="21"/>
        </w:rPr>
        <w:t>Không tìm thấy record trong dataset release chỉ có nghĩa nguồn đã tải không có record tương ứng. Hệ thống không được hiển thị kết luận tuyệt đối rằng cặp thuốc an toàn.</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9. Module 3 Medication Safety Assessment</w:t>
      </w:r>
    </w:p>
    <w:p>
      <w:pPr>
        <w:spacing w:after="80"/>
        <w:jc w:val="center"/>
      </w:pPr>
      <w:r>
        <w:drawing>
          <wp:inline xmlns:a="http://schemas.openxmlformats.org/drawingml/2006/main" xmlns:pic="http://schemas.openxmlformats.org/drawingml/2006/picture">
            <wp:extent cx="8823960" cy="4851707"/>
            <wp:docPr id="9" name="Picture 9"/>
            <wp:cNvGraphicFramePr>
              <a:graphicFrameLocks noChangeAspect="1"/>
            </wp:cNvGraphicFramePr>
            <a:graphic>
              <a:graphicData uri="http://schemas.openxmlformats.org/drawingml/2006/picture">
                <pic:pic>
                  <pic:nvPicPr>
                    <pic:cNvPr id="0" name="03-medication-safety-assessment.png"/>
                    <pic:cNvPicPr/>
                  </pic:nvPicPr>
                  <pic:blipFill>
                    <a:blip r:embed="rId19"/>
                    <a:stretch>
                      <a:fillRect/>
                    </a:stretch>
                  </pic:blipFill>
                  <pic:spPr>
                    <a:xfrm>
                      <a:off x="0" y="0"/>
                      <a:ext cx="8823960" cy="4851707"/>
                    </a:xfrm>
                    <a:prstGeom prst="rect"/>
                  </pic:spPr>
                </pic:pic>
              </a:graphicData>
            </a:graphic>
          </wp:inline>
        </w:drawing>
      </w:r>
    </w:p>
    <w:p>
      <w:pPr>
        <w:spacing w:before="0" w:after="0"/>
        <w:jc w:val="center"/>
      </w:pPr>
      <w:r>
        <w:rPr>
          <w:rFonts w:ascii="Arial" w:hAnsi="Arial" w:eastAsia="Arial"/>
          <w:i/>
          <w:color w:val="595959"/>
          <w:sz w:val="17"/>
        </w:rPr>
        <w:t>Đóng băng danh sách thuốc, kiểm tra từng cặp và tạo finding có thể truy ngược về nguồn tương tác.</w:t>
      </w:r>
    </w:p>
    <w:p>
      <w:pPr>
        <w:sectPr>
          <w:pgSz w:w="15840" w:h="12240" w:orient="landscape"/>
          <w:pgMar w:top="792" w:right="792" w:bottom="792" w:left="792" w:header="432" w:footer="432" w:gutter="0"/>
          <w:cols w:space="720"/>
          <w:docGrid w:linePitch="360"/>
        </w:sectPr>
      </w:pPr>
    </w:p>
    <w:p>
      <w:pPr>
        <w:pStyle w:val="Heading2"/>
        <w:keepNext/>
        <w:spacing w:before="140" w:after="100"/>
      </w:pPr>
      <w:r>
        <w:t>4.4 Module 4 HCP Review</w:t>
      </w:r>
    </w:p>
    <w:p>
      <w:pPr>
        <w:spacing w:after="140" w:line="276" w:lineRule="auto"/>
      </w:pPr>
      <w:r>
        <w:rPr>
          <w:rFonts w:ascii="Arial" w:hAnsi="Arial" w:eastAsia="Arial"/>
          <w:sz w:val="21"/>
        </w:rPr>
        <w:t>HCP_REVIEW_REQUESTS gắn assessment với patient, care relationship và professional được phân công. HCP_REVIEWS ghi quyết định chuyên môn cho ca cụ thể. Đây là luồng khác với DATA_REVIEW_DECISIONS, vốn phê duyệt dữ liệu tham chiếu dùng chung cho toàn hệ thống.</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10. Module 4 HCP Review</w:t>
      </w:r>
    </w:p>
    <w:p>
      <w:pPr>
        <w:spacing w:after="80"/>
        <w:jc w:val="center"/>
      </w:pPr>
      <w:r>
        <w:drawing>
          <wp:inline xmlns:a="http://schemas.openxmlformats.org/drawingml/2006/main" xmlns:pic="http://schemas.openxmlformats.org/drawingml/2006/picture">
            <wp:extent cx="6400800" cy="7783704"/>
            <wp:docPr id="10" name="Picture 10"/>
            <wp:cNvGraphicFramePr>
              <a:graphicFrameLocks noChangeAspect="1"/>
            </wp:cNvGraphicFramePr>
            <a:graphic>
              <a:graphicData uri="http://schemas.openxmlformats.org/drawingml/2006/picture">
                <pic:pic>
                  <pic:nvPicPr>
                    <pic:cNvPr id="0" name="04-hcp-review.png"/>
                    <pic:cNvPicPr/>
                  </pic:nvPicPr>
                  <pic:blipFill>
                    <a:blip r:embed="rId20"/>
                    <a:stretch>
                      <a:fillRect/>
                    </a:stretch>
                  </pic:blipFill>
                  <pic:spPr>
                    <a:xfrm>
                      <a:off x="0" y="0"/>
                      <a:ext cx="6400800" cy="7783704"/>
                    </a:xfrm>
                    <a:prstGeom prst="rect"/>
                  </pic:spPr>
                </pic:pic>
              </a:graphicData>
            </a:graphic>
          </wp:inline>
        </w:drawing>
      </w:r>
    </w:p>
    <w:p>
      <w:pPr>
        <w:spacing w:before="0" w:after="0"/>
        <w:jc w:val="center"/>
      </w:pPr>
      <w:r>
        <w:rPr>
          <w:rFonts w:ascii="Arial" w:hAnsi="Arial" w:eastAsia="Arial"/>
          <w:i/>
          <w:color w:val="595959"/>
          <w:sz w:val="17"/>
        </w:rPr>
        <w:t>HCP xử lý assessment trong phạm vi care relationship và trao đổi trực tiếp với patient.</w:t>
      </w:r>
    </w:p>
    <w:p>
      <w:pPr>
        <w:sectPr>
          <w:pgSz w:w="12240" w:h="15840"/>
          <w:pgMar w:top="792" w:right="792" w:bottom="792" w:left="792" w:header="432" w:footer="432" w:gutter="0"/>
          <w:cols w:space="720"/>
          <w:docGrid w:linePitch="360"/>
        </w:sectPr>
      </w:pPr>
    </w:p>
    <w:p>
      <w:pPr>
        <w:pStyle w:val="Heading2"/>
        <w:keepNext/>
        <w:spacing w:before="140" w:after="100"/>
      </w:pPr>
      <w:r>
        <w:t>4.5 Module 5 Medication Reminders</w:t>
      </w:r>
    </w:p>
    <w:p>
      <w:pPr>
        <w:spacing w:after="140" w:line="276" w:lineRule="auto"/>
      </w:pPr>
      <w:r>
        <w:rPr>
          <w:rFonts w:ascii="Arial" w:hAnsi="Arial" w:eastAsia="Arial"/>
          <w:sz w:val="21"/>
        </w:rPr>
        <w:t>MEDICATION_REGIMENS và REGIMEN_ITEMS biểu diễn kế hoạch dùng thuốc. REMINDER_SCHEDULES định nghĩa lịch; SCHEDULE_ELIGIBILITY_CHECKS ghi assessment và HCP review làm căn cứ; REMINDER_EVENTS là từng lần nhắc thực tế. ADHERENCE_RECORDS ghi phản hồi dùng, bỏ qua hoặc dùng muộn, không suy ra từ việc notification đã gửi.</w:t>
      </w:r>
    </w:p>
    <w:p>
      <w:pPr>
        <w:sectPr>
          <w:pgSz w:w="12240" w:h="15840"/>
          <w:pgMar w:top="1080" w:right="1080" w:bottom="1080" w:left="1080" w:header="432" w:footer="432" w:gutter="0"/>
          <w:cols w:space="720"/>
          <w:docGrid w:linePitch="360"/>
        </w:sectPr>
      </w:pPr>
    </w:p>
    <w:p>
      <w:pPr>
        <w:keepNext/>
        <w:spacing w:after="100"/>
        <w:jc w:val="left"/>
      </w:pPr>
      <w:r>
        <w:rPr>
          <w:rFonts w:ascii="Arial" w:hAnsi="Arial" w:eastAsia="Arial"/>
          <w:b/>
          <w:sz w:val="26"/>
        </w:rPr>
        <w:t>Hình 11. Module 5 Medication Reminders</w:t>
      </w:r>
    </w:p>
    <w:p>
      <w:pPr>
        <w:spacing w:after="80"/>
        <w:jc w:val="center"/>
      </w:pPr>
      <w:r>
        <w:drawing>
          <wp:inline xmlns:a="http://schemas.openxmlformats.org/drawingml/2006/main" xmlns:pic="http://schemas.openxmlformats.org/drawingml/2006/picture">
            <wp:extent cx="6238859" cy="7818120"/>
            <wp:docPr id="11" name="Picture 11"/>
            <wp:cNvGraphicFramePr>
              <a:graphicFrameLocks noChangeAspect="1"/>
            </wp:cNvGraphicFramePr>
            <a:graphic>
              <a:graphicData uri="http://schemas.openxmlformats.org/drawingml/2006/picture">
                <pic:pic>
                  <pic:nvPicPr>
                    <pic:cNvPr id="0" name="05-medication-reminders.png"/>
                    <pic:cNvPicPr/>
                  </pic:nvPicPr>
                  <pic:blipFill>
                    <a:blip r:embed="rId21"/>
                    <a:stretch>
                      <a:fillRect/>
                    </a:stretch>
                  </pic:blipFill>
                  <pic:spPr>
                    <a:xfrm>
                      <a:off x="0" y="0"/>
                      <a:ext cx="6238859" cy="7818120"/>
                    </a:xfrm>
                    <a:prstGeom prst="rect"/>
                  </pic:spPr>
                </pic:pic>
              </a:graphicData>
            </a:graphic>
          </wp:inline>
        </w:drawing>
      </w:r>
    </w:p>
    <w:p>
      <w:pPr>
        <w:spacing w:before="0" w:after="0"/>
        <w:jc w:val="center"/>
      </w:pPr>
      <w:r>
        <w:rPr>
          <w:rFonts w:ascii="Arial" w:hAnsi="Arial" w:eastAsia="Arial"/>
          <w:i/>
          <w:color w:val="595959"/>
          <w:sz w:val="17"/>
        </w:rPr>
        <w:t>Lịch nhắc được tạo từ regimen đã kiểm tra điều kiện và tạo event để ghi nhận adherence.</w:t>
      </w:r>
    </w:p>
    <w:p>
      <w:pPr>
        <w:sectPr>
          <w:pgSz w:w="12240" w:h="15840"/>
          <w:pgMar w:top="792" w:right="792" w:bottom="792" w:left="792" w:header="432" w:footer="432" w:gutter="0"/>
          <w:cols w:space="720"/>
          <w:docGrid w:linePitch="360"/>
        </w:sectPr>
      </w:pPr>
    </w:p>
    <w:p>
      <w:pPr>
        <w:pStyle w:val="Heading1"/>
        <w:keepNext/>
        <w:spacing w:before="200" w:after="100"/>
      </w:pPr>
      <w:r>
        <w:t>5 Dữ liệu CSV và phương án nạp vào database</w:t>
      </w:r>
    </w:p>
    <w:p>
      <w:pPr>
        <w:spacing w:after="140" w:line="276" w:lineRule="auto"/>
      </w:pPr>
      <w:r>
        <w:rPr>
          <w:rFonts w:ascii="Arial" w:hAnsi="Arial" w:eastAsia="Arial"/>
          <w:sz w:val="21"/>
        </w:rPr>
        <w:t>Bộ dữ liệu hiện có gồm 42.903 dòng trong sáu file. Đây là dữ liệu đã qua pipeline biến đổi nhưng vẫn là candidate catalog, chưa phải production release. Mỗi lần nạp cần tạo IMPORT_BATCHES, giữ source row và rule version để tái hiện kết quả.</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23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File CSV</w:t>
            </w:r>
          </w:p>
        </w:tc>
        <w:tc>
          <w:tcPr>
            <w:tcW w:type="dxa" w:w="100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Số dòng</w:t>
            </w:r>
          </w:p>
        </w:tc>
        <w:tc>
          <w:tcPr>
            <w:tcW w:type="dxa" w:w="324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Bảng đích chính</w:t>
            </w:r>
          </w:p>
        </w:tc>
        <w:tc>
          <w:tcPr>
            <w:tcW w:type="dxa" w:w="360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Trạng thái sử dụng</w:t>
            </w:r>
          </w:p>
        </w:tc>
      </w:tr>
      <w:tr>
        <w:tc>
          <w:tcPr>
            <w:tcW w:type="dxa" w:w="2232"/>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medications.csv</w:t>
            </w:r>
          </w:p>
        </w:tc>
        <w:tc>
          <w:tcPr>
            <w:tcW w:type="dxa" w:w="1008"/>
            <w:vAlign w:val="center"/>
            <w:tcMar>
              <w:top w:w="100" w:type="dxa"/>
              <w:start w:w="120" w:type="dxa"/>
              <w:bottom w:w="100" w:type="dxa"/>
              <w:end w:w="120" w:type="dxa"/>
            </w:tcMar>
          </w:tcPr>
          <w:p>
            <w:pPr>
              <w:spacing w:after="0" w:line="252" w:lineRule="auto"/>
              <w:jc w:val="left"/>
            </w:pPr>
            <w:r/>
            <w:r>
              <w:rPr>
                <w:rFonts w:ascii="Arial" w:hAnsi="Arial" w:eastAsia="Arial"/>
                <w:b w:val="0"/>
                <w:sz w:val="19"/>
              </w:rPr>
              <w:t>10.670</w:t>
            </w:r>
          </w:p>
        </w:tc>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w:t>
            </w:r>
          </w:p>
        </w:tc>
        <w:tc>
          <w:tcPr>
            <w:tcW w:type="dxa" w:w="3600"/>
            <w:vAlign w:val="center"/>
            <w:tcMar>
              <w:top w:w="100" w:type="dxa"/>
              <w:start w:w="120" w:type="dxa"/>
              <w:bottom w:w="100" w:type="dxa"/>
              <w:end w:w="120" w:type="dxa"/>
            </w:tcMar>
          </w:tcPr>
          <w:p>
            <w:pPr>
              <w:spacing w:after="0" w:line="252" w:lineRule="auto"/>
              <w:jc w:val="left"/>
            </w:pPr>
            <w:r/>
            <w:r>
              <w:rPr>
                <w:rFonts w:ascii="Arial" w:hAnsi="Arial" w:eastAsia="Arial"/>
                <w:b w:val="0"/>
                <w:sz w:val="19"/>
              </w:rPr>
              <w:t>Catalog sản phẩm; 8.741 đạt Level 2</w:t>
            </w:r>
          </w:p>
        </w:tc>
      </w:tr>
      <w:tr>
        <w:tc>
          <w:tcPr>
            <w:tcW w:type="dxa" w:w="223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ingredients.csv</w:t>
            </w:r>
          </w:p>
        </w:tc>
        <w:tc>
          <w:tcPr>
            <w:tcW w:type="dxa" w:w="100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1.940</w:t>
            </w:r>
          </w:p>
        </w:tc>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INGREDIENTS</w:t>
            </w:r>
          </w:p>
        </w:tc>
        <w:tc>
          <w:tcPr>
            <w:tcW w:type="dxa" w:w="360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1.540 auto verified trong phạm vi nguồn</w:t>
            </w:r>
          </w:p>
        </w:tc>
      </w:tr>
      <w:tr>
        <w:tc>
          <w:tcPr>
            <w:tcW w:type="dxa" w:w="2232"/>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medication_ingredients.csv</w:t>
            </w:r>
          </w:p>
        </w:tc>
        <w:tc>
          <w:tcPr>
            <w:tcW w:type="dxa" w:w="1008"/>
            <w:vAlign w:val="center"/>
            <w:tcMar>
              <w:top w:w="100" w:type="dxa"/>
              <w:start w:w="120" w:type="dxa"/>
              <w:bottom w:w="100" w:type="dxa"/>
              <w:end w:w="120" w:type="dxa"/>
            </w:tcMar>
          </w:tcPr>
          <w:p>
            <w:pPr>
              <w:spacing w:after="0" w:line="252" w:lineRule="auto"/>
              <w:jc w:val="left"/>
            </w:pPr>
            <w:r/>
            <w:r>
              <w:rPr>
                <w:rFonts w:ascii="Arial" w:hAnsi="Arial" w:eastAsia="Arial"/>
                <w:b w:val="0"/>
                <w:sz w:val="19"/>
              </w:rPr>
              <w:t>12.899</w:t>
            </w:r>
          </w:p>
        </w:tc>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MEDICATION_COMPONENTS, STRENGTH_ASSERTIONS</w:t>
            </w:r>
          </w:p>
        </w:tc>
        <w:tc>
          <w:tcPr>
            <w:tcW w:type="dxa" w:w="3600"/>
            <w:vAlign w:val="center"/>
            <w:tcMar>
              <w:top w:w="100" w:type="dxa"/>
              <w:start w:w="120" w:type="dxa"/>
              <w:bottom w:w="100" w:type="dxa"/>
              <w:end w:w="120" w:type="dxa"/>
            </w:tcMar>
          </w:tcPr>
          <w:p>
            <w:pPr>
              <w:spacing w:after="0" w:line="252" w:lineRule="auto"/>
              <w:jc w:val="left"/>
            </w:pPr>
            <w:r/>
            <w:r>
              <w:rPr>
                <w:rFonts w:ascii="Arial" w:hAnsi="Arial" w:eastAsia="Arial"/>
                <w:b w:val="0"/>
                <w:sz w:val="19"/>
              </w:rPr>
              <w:t>2.657 chưa có accepted ingredient; 662 chưa resolve</w:t>
            </w:r>
          </w:p>
        </w:tc>
      </w:tr>
      <w:tr>
        <w:tc>
          <w:tcPr>
            <w:tcW w:type="dxa" w:w="223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medication_indications.csv</w:t>
            </w:r>
          </w:p>
        </w:tc>
        <w:tc>
          <w:tcPr>
            <w:tcW w:type="dxa" w:w="100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5.614</w:t>
            </w:r>
          </w:p>
        </w:tc>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MEDICATION_INDICATIONS</w:t>
            </w:r>
          </w:p>
        </w:tc>
        <w:tc>
          <w:tcPr>
            <w:tcW w:type="dxa" w:w="360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Toàn bộ chưa được duyệt thành chỉ định chính thức</w:t>
            </w:r>
          </w:p>
        </w:tc>
      </w:tr>
      <w:tr>
        <w:tc>
          <w:tcPr>
            <w:tcW w:type="dxa" w:w="2232"/>
            <w:vAlign w:val="center"/>
            <w:tcMar>
              <w:top w:w="100" w:type="dxa"/>
              <w:start w:w="120" w:type="dxa"/>
              <w:bottom w:w="100" w:type="dxa"/>
              <w:end w:w="120" w:type="dxa"/>
            </w:tcMar>
          </w:tcPr>
          <w:p>
            <w:pPr>
              <w:spacing w:after="0" w:line="252" w:lineRule="auto"/>
              <w:jc w:val="center"/>
            </w:pPr>
            <w:r/>
            <w:r>
              <w:rPr>
                <w:rFonts w:ascii="Arial" w:hAnsi="Arial" w:eastAsia="Arial"/>
                <w:b w:val="0"/>
                <w:sz w:val="19"/>
              </w:rPr>
              <w:t>medication_priorities.csv</w:t>
            </w:r>
          </w:p>
        </w:tc>
        <w:tc>
          <w:tcPr>
            <w:tcW w:type="dxa" w:w="1008"/>
            <w:vAlign w:val="center"/>
            <w:tcMar>
              <w:top w:w="100" w:type="dxa"/>
              <w:start w:w="120" w:type="dxa"/>
              <w:bottom w:w="100" w:type="dxa"/>
              <w:end w:w="120" w:type="dxa"/>
            </w:tcMar>
          </w:tcPr>
          <w:p>
            <w:pPr>
              <w:spacing w:after="0" w:line="252" w:lineRule="auto"/>
              <w:jc w:val="left"/>
            </w:pPr>
            <w:r/>
            <w:r>
              <w:rPr>
                <w:rFonts w:ascii="Arial" w:hAnsi="Arial" w:eastAsia="Arial"/>
                <w:b w:val="0"/>
                <w:sz w:val="19"/>
              </w:rPr>
              <w:t>6.105</w:t>
            </w:r>
          </w:p>
        </w:tc>
        <w:tc>
          <w:tcPr>
            <w:tcW w:type="dxa" w:w="3240"/>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MEDICATION_PRIORITIES</w:t>
            </w:r>
          </w:p>
        </w:tc>
        <w:tc>
          <w:tcPr>
            <w:tcW w:type="dxa" w:w="3600"/>
            <w:vAlign w:val="center"/>
            <w:tcMar>
              <w:top w:w="100" w:type="dxa"/>
              <w:start w:w="120" w:type="dxa"/>
              <w:bottom w:w="100" w:type="dxa"/>
              <w:end w:w="120" w:type="dxa"/>
            </w:tcMar>
          </w:tcPr>
          <w:p>
            <w:pPr>
              <w:spacing w:after="0" w:line="252" w:lineRule="auto"/>
              <w:jc w:val="left"/>
            </w:pPr>
            <w:r/>
            <w:r>
              <w:rPr>
                <w:rFonts w:ascii="Arial" w:hAnsi="Arial" w:eastAsia="Arial"/>
                <w:b w:val="0"/>
                <w:sz w:val="19"/>
              </w:rPr>
              <w:t>Ưu tiên thu thập, không phải ưu tiên điều trị</w:t>
            </w:r>
          </w:p>
        </w:tc>
      </w:tr>
      <w:tr>
        <w:tc>
          <w:tcPr>
            <w:tcW w:type="dxa" w:w="2232"/>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ddinter_mappings.csv</w:t>
            </w:r>
          </w:p>
        </w:tc>
        <w:tc>
          <w:tcPr>
            <w:tcW w:type="dxa" w:w="100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5.675</w:t>
            </w:r>
          </w:p>
        </w:tc>
        <w:tc>
          <w:tcPr>
            <w:tcW w:type="dxa" w:w="324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SAFETY_DRUG_ENTITIES, COMPONENT_SAFETY_MAPPINGS</w:t>
            </w:r>
          </w:p>
        </w:tc>
        <w:tc>
          <w:tcPr>
            <w:tcW w:type="dxa" w:w="360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Toàn bộ accepted=false và operative=false</w:t>
            </w:r>
          </w:p>
        </w:tc>
      </w:tr>
    </w:tbl>
    <w:p>
      <w:pPr>
        <w:spacing w:after="0"/>
      </w:pPr>
    </w:p>
    <w:p>
      <w:pPr>
        <w:pStyle w:val="Heading2"/>
        <w:keepNext/>
        <w:spacing w:before="140" w:after="100"/>
      </w:pPr>
      <w:r>
        <w:t>5.1 Quy tắc ánh xạ</w:t>
      </w:r>
    </w:p>
    <w:p>
      <w:pPr>
        <w:pStyle w:val="ListBullet"/>
        <w:spacing w:after="60" w:line="264" w:lineRule="auto"/>
      </w:pPr>
      <w:r>
        <w:rPr>
          <w:rFonts w:ascii="Arial" w:hAnsi="Arial" w:eastAsia="Arial"/>
          <w:sz w:val="20"/>
        </w:rPr>
        <w:t>Source ID như PC, LI và CC phải được giữ ở cột source_identifier; không giả định chúng là UUID.</w:t>
      </w:r>
    </w:p>
    <w:p>
      <w:pPr>
        <w:pStyle w:val="ListBullet"/>
        <w:spacing w:after="60" w:line="264" w:lineRule="auto"/>
      </w:pPr>
      <w:r>
        <w:rPr>
          <w:rFonts w:ascii="Arial" w:hAnsi="Arial" w:eastAsia="Arial"/>
          <w:sz w:val="20"/>
        </w:rPr>
        <w:t>accepted_ingredient_id trống được lưu bằng NULL cùng trạng thái REVIEW_REQUIRED; không loại bỏ component.</w:t>
      </w:r>
    </w:p>
    <w:p>
      <w:pPr>
        <w:pStyle w:val="ListBullet"/>
        <w:spacing w:after="60" w:line="264" w:lineRule="auto"/>
      </w:pPr>
      <w:r>
        <w:rPr>
          <w:rFonts w:ascii="Arial" w:hAnsi="Arial" w:eastAsia="Arial"/>
          <w:sz w:val="20"/>
        </w:rPr>
        <w:t>Indication candidate chỉ tạo MEDICATION_INDICATIONS; CONDITIONS và INDICATION_CONDITIONS chỉ được tạo sau review.</w:t>
      </w:r>
    </w:p>
    <w:p>
      <w:pPr>
        <w:pStyle w:val="ListBullet"/>
        <w:spacing w:after="60" w:line="264" w:lineRule="auto"/>
      </w:pPr>
      <w:r>
        <w:rPr>
          <w:rFonts w:ascii="Arial" w:hAnsi="Arial" w:eastAsia="Arial"/>
          <w:sz w:val="20"/>
        </w:rPr>
        <w:t>DDInter mapping candidate được giữ để review nhưng không tham gia safety assessment khi operative=false.</w:t>
      </w:r>
    </w:p>
    <w:p>
      <w:pPr>
        <w:pStyle w:val="ListBullet"/>
        <w:spacing w:after="60" w:line="264" w:lineRule="auto"/>
      </w:pPr>
      <w:r>
        <w:rPr>
          <w:rFonts w:ascii="Arial" w:hAnsi="Arial" w:eastAsia="Arial"/>
          <w:sz w:val="20"/>
        </w:rPr>
        <w:t>Dữ liệu interaction thực tế chưa có trong sáu CSV, nên chưa thể nạp DRUG_INTERACTIONS, DRUG_INTERACTION_PARTICIPANTS và INTERACTION_EVIDENCE.</w:t>
      </w:r>
    </w:p>
    <w:p>
      <w:pPr>
        <w:pStyle w:val="ListBullet"/>
        <w:spacing w:after="60" w:line="264" w:lineRule="auto"/>
      </w:pPr>
      <w:r>
        <w:rPr>
          <w:rFonts w:ascii="Arial" w:hAnsi="Arial" w:eastAsia="Arial"/>
          <w:sz w:val="20"/>
        </w:rPr>
        <w:t>Mọi JSON nguồn cần được parse có kiểm soát; raw payload vẫn được giữ để audit và chạy lại pipeline.</w:t>
      </w:r>
    </w:p>
    <w:p>
      <w:pPr>
        <w:pStyle w:val="Heading1"/>
        <w:keepNext/>
        <w:spacing w:before="200" w:after="100"/>
      </w:pPr>
      <w:r>
        <w:t>6 Ràng buộc toàn vẹn và physical design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23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Khu vực</w:t>
            </w:r>
          </w:p>
        </w:tc>
        <w:tc>
          <w:tcPr>
            <w:tcW w:type="dxa" w:w="784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Ràng buộc hoặc index đề xuất</w:t>
            </w:r>
          </w:p>
        </w:tc>
      </w:tr>
      <w:tr>
        <w:tc>
          <w:tcPr>
            <w:tcW w:type="dxa" w:w="2232"/>
            <w:vAlign w:val="center"/>
            <w:tcMar>
              <w:top w:w="100" w:type="dxa"/>
              <w:start w:w="120" w:type="dxa"/>
              <w:bottom w:w="100" w:type="dxa"/>
              <w:end w:w="120" w:type="dxa"/>
            </w:tcMar>
          </w:tcPr>
          <w:p>
            <w:pPr>
              <w:spacing w:after="0" w:line="252" w:lineRule="auto"/>
              <w:jc w:val="left"/>
            </w:pPr>
            <w:r/>
            <w:r>
              <w:rPr>
                <w:rFonts w:ascii="Arial" w:hAnsi="Arial" w:eastAsia="Arial"/>
                <w:b w:val="0"/>
                <w:sz w:val="19"/>
              </w:rPr>
              <w:t>Identity</w:t>
            </w:r>
          </w:p>
        </w:tc>
        <w:tc>
          <w:tcPr>
            <w:tcW w:type="dxa" w:w="7848"/>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trên email hoặc login chuẩn hóa; UNIQUE (user_id, role_id) cho role đang hiệu lực.</w:t>
            </w:r>
          </w:p>
        </w:tc>
      </w:tr>
      <w:tr>
        <w:tc>
          <w:tcPr>
            <w:tcW w:type="dxa" w:w="223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Catalog</w:t>
            </w:r>
          </w:p>
        </w:tc>
        <w:tc>
          <w:tcPr>
            <w:tcW w:type="dxa" w:w="78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(version_id, source_namespace, source_identifier); index tên chuẩn hóa và registration token.</w:t>
            </w:r>
          </w:p>
        </w:tc>
      </w:tr>
      <w:tr>
        <w:tc>
          <w:tcPr>
            <w:tcW w:type="dxa" w:w="2232"/>
            <w:vAlign w:val="center"/>
            <w:tcMar>
              <w:top w:w="100" w:type="dxa"/>
              <w:start w:w="120" w:type="dxa"/>
              <w:bottom w:w="100" w:type="dxa"/>
              <w:end w:w="120" w:type="dxa"/>
            </w:tcMar>
          </w:tcPr>
          <w:p>
            <w:pPr>
              <w:spacing w:after="0" w:line="252" w:lineRule="auto"/>
              <w:jc w:val="left"/>
            </w:pPr>
            <w:r/>
            <w:r>
              <w:rPr>
                <w:rFonts w:ascii="Arial" w:hAnsi="Arial" w:eastAsia="Arial"/>
                <w:b w:val="0"/>
                <w:sz w:val="19"/>
              </w:rPr>
              <w:t>Component</w:t>
            </w:r>
          </w:p>
        </w:tc>
        <w:tc>
          <w:tcPr>
            <w:tcW w:type="dxa" w:w="7848"/>
            <w:vAlign w:val="center"/>
            <w:tcMar>
              <w:top w:w="100" w:type="dxa"/>
              <w:start w:w="120" w:type="dxa"/>
              <w:bottom w:w="100" w:type="dxa"/>
              <w:end w:w="120" w:type="dxa"/>
            </w:tcMar>
          </w:tcPr>
          <w:p>
            <w:pPr>
              <w:spacing w:after="0" w:line="252" w:lineRule="auto"/>
              <w:jc w:val="left"/>
            </w:pPr>
            <w:r/>
            <w:r>
              <w:rPr>
                <w:rFonts w:ascii="Arial" w:hAnsi="Arial" w:eastAsia="Arial"/>
                <w:b w:val="0"/>
                <w:sz w:val="19"/>
              </w:rPr>
              <w:t>FK có thể NULL tới ingredient; CHECK trạng thái phù hợp khi ingredient_id NULL.</w:t>
            </w:r>
          </w:p>
        </w:tc>
      </w:tr>
      <w:tr>
        <w:tc>
          <w:tcPr>
            <w:tcW w:type="dxa" w:w="223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Interaction</w:t>
            </w:r>
          </w:p>
        </w:tc>
        <w:tc>
          <w:tcPr>
            <w:tcW w:type="dxa" w:w="78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Canonical pair key; đúng hai participant khác nhau; UNIQUE theo version và pair.</w:t>
            </w:r>
          </w:p>
        </w:tc>
      </w:tr>
      <w:tr>
        <w:tc>
          <w:tcPr>
            <w:tcW w:type="dxa" w:w="2232"/>
            <w:vAlign w:val="center"/>
            <w:tcMar>
              <w:top w:w="100" w:type="dxa"/>
              <w:start w:w="120" w:type="dxa"/>
              <w:bottom w:w="100" w:type="dxa"/>
              <w:end w:w="120" w:type="dxa"/>
            </w:tcMar>
          </w:tcPr>
          <w:p>
            <w:pPr>
              <w:spacing w:after="0" w:line="252" w:lineRule="auto"/>
              <w:jc w:val="left"/>
            </w:pPr>
            <w:r/>
            <w:r>
              <w:rPr>
                <w:rFonts w:ascii="Arial" w:hAnsi="Arial" w:eastAsia="Arial"/>
                <w:b w:val="0"/>
                <w:sz w:val="19"/>
              </w:rPr>
              <w:t>Assessment</w:t>
            </w:r>
          </w:p>
        </w:tc>
        <w:tc>
          <w:tcPr>
            <w:tcW w:type="dxa" w:w="7848"/>
            <w:vAlign w:val="center"/>
            <w:tcMar>
              <w:top w:w="100" w:type="dxa"/>
              <w:start w:w="120" w:type="dxa"/>
              <w:bottom w:w="100" w:type="dxa"/>
              <w:end w:w="120" w:type="dxa"/>
            </w:tcMar>
          </w:tcPr>
          <w:p>
            <w:pPr>
              <w:spacing w:after="0" w:line="252" w:lineRule="auto"/>
              <w:jc w:val="left"/>
            </w:pPr>
            <w:r/>
            <w:r>
              <w:rPr>
                <w:rFonts w:ascii="Arial" w:hAnsi="Arial" w:eastAsia="Arial"/>
                <w:b w:val="0"/>
                <w:sz w:val="19"/>
              </w:rPr>
              <w:t>UNIQUE pair trong một assessment; left_item_id khác right_item_id; lưu result status kể cả NOT_FOUND.</w:t>
            </w:r>
          </w:p>
        </w:tc>
      </w:tr>
      <w:tr>
        <w:tc>
          <w:tcPr>
            <w:tcW w:type="dxa" w:w="223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Release</w:t>
            </w:r>
          </w:p>
        </w:tc>
        <w:tc>
          <w:tcPr>
            <w:tcW w:type="dxa" w:w="78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Release bất biến sau publish; mọi identification và assessment bắt buộc tham chiếu release.</w:t>
            </w:r>
          </w:p>
        </w:tc>
      </w:tr>
      <w:tr>
        <w:tc>
          <w:tcPr>
            <w:tcW w:type="dxa" w:w="2232"/>
            <w:vAlign w:val="center"/>
            <w:tcMar>
              <w:top w:w="100" w:type="dxa"/>
              <w:start w:w="120" w:type="dxa"/>
              <w:bottom w:w="100" w:type="dxa"/>
              <w:end w:w="120" w:type="dxa"/>
            </w:tcMar>
          </w:tcPr>
          <w:p>
            <w:pPr>
              <w:spacing w:after="0" w:line="252" w:lineRule="auto"/>
              <w:jc w:val="left"/>
            </w:pPr>
            <w:r/>
            <w:r>
              <w:rPr>
                <w:rFonts w:ascii="Arial" w:hAnsi="Arial" w:eastAsia="Arial"/>
                <w:b w:val="0"/>
                <w:sz w:val="19"/>
              </w:rPr>
              <w:t>Review</w:t>
            </w:r>
          </w:p>
        </w:tc>
        <w:tc>
          <w:tcPr>
            <w:tcW w:type="dxa" w:w="7848"/>
            <w:vAlign w:val="center"/>
            <w:tcMar>
              <w:top w:w="100" w:type="dxa"/>
              <w:start w:w="120" w:type="dxa"/>
              <w:bottom w:w="100" w:type="dxa"/>
              <w:end w:w="120" w:type="dxa"/>
            </w:tcMar>
          </w:tcPr>
          <w:p>
            <w:pPr>
              <w:spacing w:after="0" w:line="252" w:lineRule="auto"/>
              <w:jc w:val="left"/>
            </w:pPr>
            <w:r/>
            <w:r>
              <w:rPr>
                <w:rFonts w:ascii="Arial" w:hAnsi="Arial" w:eastAsia="Arial"/>
                <w:b w:val="0"/>
                <w:sz w:val="19"/>
              </w:rPr>
              <w:t>Decision append-only; reviewer_user_id, timestamp, reason và evidence bắt buộc khi accept/reject.</w:t>
            </w:r>
          </w:p>
        </w:tc>
      </w:tr>
      <w:tr>
        <w:tc>
          <w:tcPr>
            <w:tcW w:type="dxa" w:w="223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Audit</w:t>
            </w:r>
          </w:p>
        </w:tc>
        <w:tc>
          <w:tcPr>
            <w:tcW w:type="dxa" w:w="7848"/>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Index actor, object type, object id và occurred_at; log không cho phép sửa bởi application role.</w:t>
            </w:r>
          </w:p>
        </w:tc>
      </w:tr>
    </w:tbl>
    <w:p>
      <w:pPr>
        <w:spacing w:after="0"/>
      </w:pPr>
    </w:p>
    <w:p>
      <w:pPr>
        <w:pStyle w:val="Heading2"/>
        <w:keepNext/>
        <w:spacing w:before="140" w:after="100"/>
      </w:pPr>
      <w:r>
        <w:t>6.1 Kiểu khóa và thời gian</w:t>
      </w:r>
    </w:p>
    <w:p>
      <w:pPr>
        <w:spacing w:after="140" w:line="276" w:lineRule="auto"/>
      </w:pPr>
      <w:r>
        <w:rPr>
          <w:rFonts w:ascii="Arial" w:hAnsi="Arial" w:eastAsia="Arial"/>
          <w:sz w:val="21"/>
        </w:rPr>
        <w:t>UUID phù hợp cho entity nghiệp vụ và dữ liệu đồng bộ giữa service. Các danh mục nhỏ như role hoặc permission có thể dùng smallint. Mọi bảng thay đổi trạng thái nên có created_at, updated_at và row version; các event và decision nên append-only thay vì ghi đè.</w:t>
      </w:r>
    </w:p>
    <w:p>
      <w:pPr>
        <w:pStyle w:val="Heading2"/>
        <w:keepNext/>
        <w:spacing w:before="140" w:after="100"/>
      </w:pPr>
      <w:r>
        <w:t>6.2 Index trọng yếu</w:t>
      </w:r>
    </w:p>
    <w:p>
      <w:pPr>
        <w:pStyle w:val="ListBullet"/>
        <w:spacing w:after="60" w:line="264" w:lineRule="auto"/>
      </w:pPr>
      <w:r>
        <w:rPr>
          <w:rFonts w:ascii="Arial" w:hAnsi="Arial" w:eastAsia="Arial"/>
          <w:sz w:val="20"/>
        </w:rPr>
        <w:t>MEDICATIONS: version_id, registration_token, normalized_name.</w:t>
      </w:r>
    </w:p>
    <w:p>
      <w:pPr>
        <w:pStyle w:val="ListBullet"/>
        <w:spacing w:after="60" w:line="264" w:lineRule="auto"/>
      </w:pPr>
      <w:r>
        <w:rPr>
          <w:rFonts w:ascii="Arial" w:hAnsi="Arial" w:eastAsia="Arial"/>
          <w:sz w:val="20"/>
        </w:rPr>
        <w:t>MEDICATION_COMPONENTS: medication_id, ingredient_id và component source identifier.</w:t>
      </w:r>
    </w:p>
    <w:p>
      <w:pPr>
        <w:pStyle w:val="ListBullet"/>
        <w:spacing w:after="60" w:line="264" w:lineRule="auto"/>
      </w:pPr>
      <w:r>
        <w:rPr>
          <w:rFonts w:ascii="Arial" w:hAnsi="Arial" w:eastAsia="Arial"/>
          <w:sz w:val="20"/>
        </w:rPr>
        <w:t>COMPONENT_SAFETY_MAPPINGS: component_id, safety_drug_entity_id, operative.</w:t>
      </w:r>
    </w:p>
    <w:p>
      <w:pPr>
        <w:pStyle w:val="ListBullet"/>
        <w:spacing w:after="60" w:line="264" w:lineRule="auto"/>
      </w:pPr>
      <w:r>
        <w:rPr>
          <w:rFonts w:ascii="Arial" w:hAnsi="Arial" w:eastAsia="Arial"/>
          <w:sz w:val="20"/>
        </w:rPr>
        <w:t>DRUG_INTERACTIONS: version_id và canonical_pair_key.</w:t>
      </w:r>
    </w:p>
    <w:p>
      <w:pPr>
        <w:pStyle w:val="ListBullet"/>
        <w:spacing w:after="60" w:line="264" w:lineRule="auto"/>
      </w:pPr>
      <w:r>
        <w:rPr>
          <w:rFonts w:ascii="Arial" w:hAnsi="Arial" w:eastAsia="Arial"/>
          <w:sz w:val="20"/>
        </w:rPr>
        <w:t>MEDICATION_ENTRIES: patient hoặc prescription scope, status và created_at.</w:t>
      </w:r>
    </w:p>
    <w:p>
      <w:pPr>
        <w:pStyle w:val="ListBullet"/>
        <w:spacing w:after="60" w:line="264" w:lineRule="auto"/>
      </w:pPr>
      <w:r>
        <w:rPr>
          <w:rFonts w:ascii="Arial" w:hAnsi="Arial" w:eastAsia="Arial"/>
          <w:sz w:val="20"/>
        </w:rPr>
        <w:t>SAFETY_ASSESSMENTS: snapshot_id, release_id và assessment status.</w:t>
      </w:r>
    </w:p>
    <w:p>
      <w:pPr>
        <w:pStyle w:val="ListBullet"/>
        <w:spacing w:after="60" w:line="264" w:lineRule="auto"/>
      </w:pPr>
      <w:r>
        <w:rPr>
          <w:rFonts w:ascii="Arial" w:hAnsi="Arial" w:eastAsia="Arial"/>
          <w:sz w:val="20"/>
        </w:rPr>
        <w:t>REMINDER_EVENTS: schedule_id, scheduled_at và delivery status.</w:t>
      </w:r>
    </w:p>
    <w:p>
      <w:pPr>
        <w:pStyle w:val="Heading1"/>
        <w:keepNext/>
        <w:spacing w:before="200" w:after="100"/>
      </w:pPr>
      <w:r>
        <w:t>7 Bảo mật, phân quyền và audit</w:t>
      </w:r>
    </w:p>
    <w:p>
      <w:pPr>
        <w:spacing w:after="140" w:line="276" w:lineRule="auto"/>
      </w:pPr>
      <w:r>
        <w:rPr>
          <w:rFonts w:ascii="Arial" w:hAnsi="Arial" w:eastAsia="Arial"/>
          <w:sz w:val="21"/>
        </w:rPr>
        <w:t>RBAC giải quyết quyền chức năng, nhưng chưa đủ cho dữ liệu y tế. Backend phải kiểm tra thêm phạm vi bản ghi: patient ownership, care relationship, reviewer assignment hoặc ticket assignment. Role technical_support chỉ được xem thông tin chẩn đoán cần cho ticket; medical_reviewer chỉ được duyệt các loại dữ liệu thuộc phạm vi nhiệm vụ.</w:t>
      </w:r>
    </w:p>
    <w:p>
      <w:pPr>
        <w:pStyle w:val="ListBullet"/>
        <w:spacing w:after="60" w:line="264" w:lineRule="auto"/>
      </w:pPr>
      <w:r>
        <w:rPr>
          <w:rFonts w:ascii="Arial" w:hAnsi="Arial" w:eastAsia="Arial"/>
          <w:sz w:val="20"/>
        </w:rPr>
        <w:t>Mã hóa dữ liệu nhạy cảm khi lưu trữ và trên đường truyền.</w:t>
      </w:r>
    </w:p>
    <w:p>
      <w:pPr>
        <w:pStyle w:val="ListBullet"/>
        <w:spacing w:after="60" w:line="264" w:lineRule="auto"/>
      </w:pPr>
      <w:r>
        <w:rPr>
          <w:rFonts w:ascii="Arial" w:hAnsi="Arial" w:eastAsia="Arial"/>
          <w:sz w:val="20"/>
        </w:rPr>
        <w:t>Tách PII khỏi catalog công khai; hạn chế truy vấn chéo giữa patient data và support data.</w:t>
      </w:r>
    </w:p>
    <w:p>
      <w:pPr>
        <w:pStyle w:val="ListBullet"/>
        <w:spacing w:after="60" w:line="264" w:lineRule="auto"/>
      </w:pPr>
      <w:r>
        <w:rPr>
          <w:rFonts w:ascii="Arial" w:hAnsi="Arial" w:eastAsia="Arial"/>
          <w:sz w:val="20"/>
        </w:rPr>
        <w:t>Ghi audit cho xem, xuất, sửa, cấp quyền, review và phát hành dataset.</w:t>
      </w:r>
    </w:p>
    <w:p>
      <w:pPr>
        <w:pStyle w:val="ListBullet"/>
        <w:spacing w:after="60" w:line="264" w:lineRule="auto"/>
      </w:pPr>
      <w:r>
        <w:rPr>
          <w:rFonts w:ascii="Arial" w:hAnsi="Arial" w:eastAsia="Arial"/>
          <w:sz w:val="20"/>
        </w:rPr>
        <w:t>Không ghi raw OCR, nội dung y tế hoặc token xác thực vào application log thông thường.</w:t>
      </w:r>
    </w:p>
    <w:p>
      <w:pPr>
        <w:pStyle w:val="ListBullet"/>
        <w:spacing w:after="60" w:line="264" w:lineRule="auto"/>
      </w:pPr>
      <w:r>
        <w:rPr>
          <w:rFonts w:ascii="Arial" w:hAnsi="Arial" w:eastAsia="Arial"/>
          <w:sz w:val="20"/>
        </w:rPr>
        <w:t>Thiết lập retention riêng cho tài liệu intake, message, audit log và event vận hành.</w:t>
      </w:r>
    </w:p>
    <w:p>
      <w:pPr>
        <w:pStyle w:val="Heading1"/>
        <w:keepNext/>
        <w:spacing w:before="200" w:after="100"/>
      </w:pPr>
      <w:r>
        <w:t>8 Có cần vector embedding hay không</w:t>
      </w:r>
    </w:p>
    <w:p>
      <w:pPr>
        <w:spacing w:after="140" w:line="276" w:lineRule="auto"/>
      </w:pPr>
      <w:r>
        <w:rPr>
          <w:rFonts w:ascii="Arial" w:hAnsi="Arial" w:eastAsia="Arial"/>
          <w:sz w:val="21"/>
        </w:rPr>
        <w:t>Không cần vector embedding cho lõi kiểm tra tương tác thuốc. Sau khi medication component đã được ánh xạ tới safety drug entity đã duyệt, việc tra cứu phải là phép join chính xác trên identifier và interaction pair. Cách này giải thích được, kiểm thử được và gắn trực tiếp với evidence.</w:t>
      </w:r>
    </w:p>
    <w:p>
      <w:pPr>
        <w:spacing w:after="140" w:line="276" w:lineRule="auto"/>
      </w:pPr>
      <w:r>
        <w:rPr>
          <w:rFonts w:ascii="Arial" w:hAnsi="Arial" w:eastAsia="Arial"/>
          <w:sz w:val="21"/>
        </w:rPr>
        <w:t>Embedding có thể được bổ sung như một lớp tìm kiếm candidate cho các tình huống không quyết định trực tiếp kết quả lâm sàng: gợi ý sản phẩm từ OCR sai chính tả, tìm synonym, xếp hạng candidate hoặc tìm kiếm ngữ nghĩa trong tài liệu. Candidate do embedding tạo ra vẫn phải đi qua rule, confidence threshold và review.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088"/>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Trường hợp</w:t>
            </w:r>
          </w:p>
        </w:tc>
        <w:tc>
          <w:tcPr>
            <w:tcW w:type="dxa" w:w="4320"/>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Cơ chế chính</w:t>
            </w:r>
          </w:p>
        </w:tc>
        <w:tc>
          <w:tcPr>
            <w:tcW w:type="dxa" w:w="3672"/>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Vai trò của embedding</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Tra interaction</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Exact ID và relational join</w:t>
            </w:r>
          </w:p>
        </w:tc>
        <w:tc>
          <w:tcPr>
            <w:tcW w:type="dxa" w:w="3672"/>
            <w:vAlign w:val="center"/>
            <w:tcMar>
              <w:top w:w="100" w:type="dxa"/>
              <w:start w:w="120" w:type="dxa"/>
              <w:bottom w:w="100" w:type="dxa"/>
              <w:end w:w="120" w:type="dxa"/>
            </w:tcMar>
          </w:tcPr>
          <w:p>
            <w:pPr>
              <w:spacing w:after="0" w:line="252" w:lineRule="auto"/>
              <w:jc w:val="left"/>
            </w:pPr>
            <w:r/>
            <w:r>
              <w:rPr>
                <w:rFonts w:ascii="Arial" w:hAnsi="Arial" w:eastAsia="Arial"/>
                <w:b w:val="0"/>
                <w:sz w:val="19"/>
              </w:rPr>
              <w:t>Không dùng làm nguồn sự thật</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Nhận diện OCR</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Registration token, normalized name, component rules</w:t>
            </w:r>
          </w:p>
        </w:tc>
        <w:tc>
          <w:tcPr>
            <w:tcW w:type="dxa" w:w="367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Có thể xếp hạng candidate</w:t>
            </w:r>
          </w:p>
        </w:tc>
      </w:tr>
      <w:tr>
        <w:tc>
          <w:tcPr>
            <w:tcW w:type="dxa" w:w="2088"/>
            <w:vAlign w:val="center"/>
            <w:tcMar>
              <w:top w:w="100" w:type="dxa"/>
              <w:start w:w="120" w:type="dxa"/>
              <w:bottom w:w="100" w:type="dxa"/>
              <w:end w:w="120" w:type="dxa"/>
            </w:tcMar>
          </w:tcPr>
          <w:p>
            <w:pPr>
              <w:spacing w:after="0" w:line="252" w:lineRule="auto"/>
              <w:jc w:val="center"/>
            </w:pPr>
            <w:r/>
            <w:r>
              <w:rPr>
                <w:rFonts w:ascii="Arial" w:hAnsi="Arial" w:eastAsia="Arial"/>
                <w:b w:val="0"/>
                <w:sz w:val="19"/>
              </w:rPr>
              <w:t>Mapping DDInter</w:t>
            </w:r>
          </w:p>
        </w:tc>
        <w:tc>
          <w:tcPr>
            <w:tcW w:type="dxa" w:w="4320"/>
            <w:vAlign w:val="center"/>
            <w:tcMar>
              <w:top w:w="100" w:type="dxa"/>
              <w:start w:w="120" w:type="dxa"/>
              <w:bottom w:w="100" w:type="dxa"/>
              <w:end w:w="120" w:type="dxa"/>
            </w:tcMar>
          </w:tcPr>
          <w:p>
            <w:pPr>
              <w:spacing w:after="0" w:line="252" w:lineRule="auto"/>
              <w:jc w:val="left"/>
            </w:pPr>
            <w:r/>
            <w:r>
              <w:rPr>
                <w:rFonts w:ascii="Arial" w:hAnsi="Arial" w:eastAsia="Arial"/>
                <w:b w:val="0"/>
                <w:sz w:val="19"/>
              </w:rPr>
              <w:t>Evidence và reviewer decision</w:t>
            </w:r>
          </w:p>
        </w:tc>
        <w:tc>
          <w:tcPr>
            <w:tcW w:type="dxa" w:w="3672"/>
            <w:vAlign w:val="center"/>
            <w:tcMar>
              <w:top w:w="100" w:type="dxa"/>
              <w:start w:w="120" w:type="dxa"/>
              <w:bottom w:w="100" w:type="dxa"/>
              <w:end w:w="120" w:type="dxa"/>
            </w:tcMar>
          </w:tcPr>
          <w:p>
            <w:pPr>
              <w:spacing w:after="0" w:line="252" w:lineRule="auto"/>
              <w:jc w:val="left"/>
            </w:pPr>
            <w:r/>
            <w:r>
              <w:rPr>
                <w:rFonts w:ascii="Arial" w:hAnsi="Arial" w:eastAsia="Arial"/>
                <w:b w:val="0"/>
                <w:sz w:val="19"/>
              </w:rPr>
              <w:t>Chỉ gợi ý candidate</w:t>
            </w:r>
          </w:p>
        </w:tc>
      </w:tr>
      <w:tr>
        <w:tc>
          <w:tcPr>
            <w:tcW w:type="dxa" w:w="2088"/>
            <w:shd w:fill="EEF5FA"/>
            <w:vAlign w:val="center"/>
            <w:tcMar>
              <w:top w:w="100" w:type="dxa"/>
              <w:start w:w="120" w:type="dxa"/>
              <w:bottom w:w="100" w:type="dxa"/>
              <w:end w:w="120" w:type="dxa"/>
            </w:tcMar>
          </w:tcPr>
          <w:p>
            <w:pPr>
              <w:spacing w:after="0" w:line="252" w:lineRule="auto"/>
              <w:jc w:val="center"/>
            </w:pPr>
            <w:r/>
            <w:r>
              <w:rPr>
                <w:rFonts w:ascii="Arial" w:hAnsi="Arial" w:eastAsia="Arial"/>
                <w:b w:val="0"/>
                <w:sz w:val="19"/>
              </w:rPr>
              <w:t>Tìm guideline</w:t>
            </w:r>
          </w:p>
        </w:tc>
        <w:tc>
          <w:tcPr>
            <w:tcW w:type="dxa" w:w="4320"/>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Metadata, full text và evidence link</w:t>
            </w:r>
          </w:p>
        </w:tc>
        <w:tc>
          <w:tcPr>
            <w:tcW w:type="dxa" w:w="3672"/>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Có thể hỗ trợ semantic search</w:t>
            </w:r>
          </w:p>
        </w:tc>
      </w:tr>
    </w:tbl>
    <w:p>
      <w:pPr>
        <w:spacing w:after="0"/>
      </w:pPr>
    </w:p>
    <w:p>
      <w:pPr>
        <w:pStyle w:val="Heading1"/>
        <w:keepNext/>
        <w:spacing w:before="200" w:after="100"/>
      </w:pPr>
      <w:r>
        <w:t>9 Lộ trình triển khai đề xuất</w:t>
      </w:r>
    </w:p>
    <w:p>
      <w:pPr>
        <w:pStyle w:val="ListNumber"/>
        <w:spacing w:after="80" w:line="264" w:lineRule="auto"/>
      </w:pPr>
      <w:r>
        <w:rPr>
          <w:rFonts w:ascii="Arial" w:hAnsi="Arial" w:eastAsia="Arial"/>
          <w:sz w:val="20"/>
        </w:rPr>
        <w:t>Chốt physical schema cho identity, dataset versioning và medication catalog trước.</w:t>
      </w:r>
    </w:p>
    <w:p>
      <w:pPr>
        <w:pStyle w:val="ListNumber"/>
        <w:spacing w:after="80" w:line="264" w:lineRule="auto"/>
      </w:pPr>
      <w:r>
        <w:rPr>
          <w:rFonts w:ascii="Arial" w:hAnsi="Arial" w:eastAsia="Arial"/>
          <w:sz w:val="20"/>
        </w:rPr>
        <w:t>Viết migration, seed role và permission; thiết lập audit và row-level authorization.</w:t>
      </w:r>
    </w:p>
    <w:p>
      <w:pPr>
        <w:pStyle w:val="ListNumber"/>
        <w:spacing w:after="80" w:line="264" w:lineRule="auto"/>
      </w:pPr>
      <w:r>
        <w:rPr>
          <w:rFonts w:ascii="Arial" w:hAnsi="Arial" w:eastAsia="Arial"/>
          <w:sz w:val="20"/>
        </w:rPr>
        <w:t>Xây staging/import pipeline cho sáu CSV, giữ raw source và validation result.</w:t>
      </w:r>
    </w:p>
    <w:p>
      <w:pPr>
        <w:pStyle w:val="ListNumber"/>
        <w:spacing w:after="80" w:line="264" w:lineRule="auto"/>
      </w:pPr>
      <w:r>
        <w:rPr>
          <w:rFonts w:ascii="Arial" w:hAnsi="Arial" w:eastAsia="Arial"/>
          <w:sz w:val="20"/>
        </w:rPr>
        <w:t>Triển khai medical review workflow và chỉ cho phép phát hành record đã đủ điều kiện.</w:t>
      </w:r>
    </w:p>
    <w:p>
      <w:pPr>
        <w:pStyle w:val="ListNumber"/>
        <w:spacing w:after="80" w:line="264" w:lineRule="auto"/>
      </w:pPr>
      <w:r>
        <w:rPr>
          <w:rFonts w:ascii="Arial" w:hAnsi="Arial" w:eastAsia="Arial"/>
          <w:sz w:val="20"/>
        </w:rPr>
        <w:t>Bổ sung nguồn interaction DDInter gồm cặp A, B, level và evidence; kiểm thử canonical pair.</w:t>
      </w:r>
    </w:p>
    <w:p>
      <w:pPr>
        <w:pStyle w:val="ListNumber"/>
        <w:spacing w:after="80" w:line="264" w:lineRule="auto"/>
      </w:pPr>
      <w:r>
        <w:rPr>
          <w:rFonts w:ascii="Arial" w:hAnsi="Arial" w:eastAsia="Arial"/>
          <w:sz w:val="20"/>
        </w:rPr>
        <w:t>Kết nối Module 1 và Module 2, sau đó Module 3 với release pinning và regression dataset.</w:t>
      </w:r>
    </w:p>
    <w:p>
      <w:pPr>
        <w:pStyle w:val="ListNumber"/>
        <w:spacing w:after="80" w:line="264" w:lineRule="auto"/>
      </w:pPr>
      <w:r>
        <w:rPr>
          <w:rFonts w:ascii="Arial" w:hAnsi="Arial" w:eastAsia="Arial"/>
          <w:sz w:val="20"/>
        </w:rPr>
        <w:t>Triển khai HCP review, reminder và support sau khi access control được kiểm thử đầy đủ.</w:t>
      </w:r>
    </w:p>
    <w:p>
      <w:pPr>
        <w:pStyle w:val="ListNumber"/>
        <w:spacing w:after="80" w:line="264" w:lineRule="auto"/>
      </w:pPr>
      <w:r>
        <w:rPr>
          <w:rFonts w:ascii="Arial" w:hAnsi="Arial" w:eastAsia="Arial"/>
          <w:sz w:val="20"/>
        </w:rPr>
        <w:t>Chỉ đánh giá vector search sau khi đã có baseline exact matching và bộ test lỗi OCR.</w:t>
      </w:r>
    </w:p>
    <w:p>
      <w:pPr>
        <w:pStyle w:val="Heading1"/>
        <w:keepNext/>
        <w:spacing w:before="200" w:after="100"/>
      </w:pPr>
      <w:r>
        <w:t>10 Kết luận</w:t>
      </w:r>
    </w:p>
    <w:p>
      <w:pPr>
        <w:spacing w:after="140" w:line="276" w:lineRule="auto"/>
      </w:pPr>
      <w:r>
        <w:rPr>
          <w:rFonts w:ascii="Arial" w:hAnsi="Arial" w:eastAsia="Arial"/>
          <w:sz w:val="21"/>
        </w:rPr>
        <w:t>ERD hiện tại cung cấp cấu trúc đầy đủ cho hệ thống medication safety từ dữ liệu nguồn đến chăm sóc patient. Thiết kế hợp lý nhất là giữ mô hình quan hệ làm nền tảng, tách rõ catalog candidate và released data, đồng thời bắt buộc evidence và review ở mọi điểm có ảnh hưởng lâm sàng. Bước tiếp theo nên là chuyển logical ERD thành physical schema theo từng nhóm ưu tiên, bắt đầu với identity, dataset lifecycle và medication catalog.</w:t>
      </w:r>
    </w:p>
    <w:p>
      <w:pPr>
        <w:pStyle w:val="Heading1"/>
        <w:keepNext/>
        <w:spacing w:before="200" w:after="100"/>
      </w:pPr>
      <w:r>
        <w:t>Phụ lục Danh sách 64 bảng theo nhóm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04"/>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Nhóm</w:t>
            </w:r>
          </w:p>
        </w:tc>
        <w:tc>
          <w:tcPr>
            <w:tcW w:type="dxa" w:w="7776"/>
            <w:shd w:fill="1F4E78"/>
            <w:vAlign w:val="center"/>
            <w:tcMar>
              <w:top w:w="100" w:type="dxa"/>
              <w:start w:w="120" w:type="dxa"/>
              <w:bottom w:w="100" w:type="dxa"/>
              <w:end w:w="120" w:type="dxa"/>
            </w:tcMar>
          </w:tcPr>
          <w:p>
            <w:pPr>
              <w:spacing w:after="0" w:line="252" w:lineRule="auto"/>
              <w:jc w:val="center"/>
            </w:pPr>
            <w:r/>
            <w:r>
              <w:rPr>
                <w:rFonts w:ascii="Arial" w:hAnsi="Arial" w:eastAsia="Arial"/>
                <w:b/>
                <w:color w:val="FFFFFF"/>
                <w:sz w:val="18"/>
              </w:rPr>
              <w:t>Các bảng</w:t>
            </w:r>
          </w:p>
        </w:tc>
      </w:tr>
      <w:tr>
        <w:tc>
          <w:tcPr>
            <w:tcW w:type="dxa" w:w="2304"/>
            <w:vAlign w:val="center"/>
            <w:tcMar>
              <w:top w:w="100" w:type="dxa"/>
              <w:start w:w="120" w:type="dxa"/>
              <w:bottom w:w="100" w:type="dxa"/>
              <w:end w:w="120" w:type="dxa"/>
            </w:tcMar>
          </w:tcPr>
          <w:p>
            <w:pPr>
              <w:spacing w:after="0" w:line="252" w:lineRule="auto"/>
              <w:jc w:val="left"/>
            </w:pPr>
            <w:r/>
            <w:r>
              <w:rPr>
                <w:rFonts w:ascii="Arial" w:hAnsi="Arial" w:eastAsia="Arial"/>
                <w:b w:val="0"/>
                <w:sz w:val="19"/>
              </w:rPr>
              <w:t>Tài khoản và phân quyền</w:t>
            </w:r>
          </w:p>
        </w:tc>
        <w:tc>
          <w:tcPr>
            <w:tcW w:type="dxa" w:w="7776"/>
            <w:vAlign w:val="center"/>
            <w:tcMar>
              <w:top w:w="100" w:type="dxa"/>
              <w:start w:w="120" w:type="dxa"/>
              <w:bottom w:w="100" w:type="dxa"/>
              <w:end w:w="120" w:type="dxa"/>
            </w:tcMar>
          </w:tcPr>
          <w:p>
            <w:pPr>
              <w:spacing w:after="0" w:line="252" w:lineRule="auto"/>
              <w:jc w:val="left"/>
            </w:pPr>
            <w:r/>
            <w:r>
              <w:rPr>
                <w:rFonts w:ascii="Arial" w:hAnsi="Arial" w:eastAsia="Arial"/>
                <w:b w:val="0"/>
                <w:sz w:val="19"/>
              </w:rPr>
              <w:t>USERS, ROLES, USER_ROLES, PERMISSIONS, ROLE_PERMISSIONS, PATIENT_PROFILES, PROFESSIONAL_PROFILES, STAFF_PROFILES, CARE_RELATIONSHIPS, AUDIT_LOGS</w:t>
            </w:r>
          </w:p>
        </w:tc>
      </w:tr>
      <w:tr>
        <w:tc>
          <w:tcPr>
            <w:tcW w:type="dxa" w:w="23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 intake</w:t>
            </w:r>
          </w:p>
        </w:tc>
        <w:tc>
          <w:tcPr>
            <w:tcW w:type="dxa" w:w="77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MEDICATION_INTAKES, INTAKE_DOCUMENTS, EXTRACTION_RUNS, EXTRACTION_RUN_INPUTS, PRESCRIPTIONS, MEDICATION_ENTRIES, ENTRY_CONFIRMATIONS</w:t>
            </w:r>
          </w:p>
        </w:tc>
      </w:tr>
      <w:tr>
        <w:tc>
          <w:tcPr>
            <w:tcW w:type="dxa" w:w="2304"/>
            <w:vAlign w:val="center"/>
            <w:tcMar>
              <w:top w:w="100" w:type="dxa"/>
              <w:start w:w="120" w:type="dxa"/>
              <w:bottom w:w="100" w:type="dxa"/>
              <w:end w:w="120" w:type="dxa"/>
            </w:tcMar>
          </w:tcPr>
          <w:p>
            <w:pPr>
              <w:spacing w:after="0" w:line="252" w:lineRule="auto"/>
              <w:jc w:val="left"/>
            </w:pPr>
            <w:r/>
            <w:r>
              <w:rPr>
                <w:rFonts w:ascii="Arial" w:hAnsi="Arial" w:eastAsia="Arial"/>
                <w:b w:val="0"/>
                <w:sz w:val="19"/>
              </w:rPr>
              <w:t>Import và review</w:t>
            </w:r>
          </w:p>
        </w:tc>
        <w:tc>
          <w:tcPr>
            <w:tcW w:type="dxa" w:w="7776"/>
            <w:vAlign w:val="center"/>
            <w:tcMar>
              <w:top w:w="100" w:type="dxa"/>
              <w:start w:w="120" w:type="dxa"/>
              <w:bottom w:w="100" w:type="dxa"/>
              <w:end w:w="120" w:type="dxa"/>
            </w:tcMar>
          </w:tcPr>
          <w:p>
            <w:pPr>
              <w:spacing w:after="0" w:line="252" w:lineRule="auto"/>
              <w:jc w:val="left"/>
            </w:pPr>
            <w:r/>
            <w:r>
              <w:rPr>
                <w:rFonts w:ascii="Arial" w:hAnsi="Arial" w:eastAsia="Arial"/>
                <w:b w:val="0"/>
                <w:sz w:val="19"/>
              </w:rPr>
              <w:t>DATASET_VERSIONS, DATASET_RELEASES, IMPORT_BATCHES, SOURCE_RECORDS, VALIDATION_RESULTS, DATA_REVIEW_REQUESTS, DATA_REVIEW_ITEMS, DATA_REVIEW_DECISIONS, EVIDENCE_SOURCES, EVIDENCE_LINKS</w:t>
            </w:r>
          </w:p>
        </w:tc>
      </w:tr>
      <w:tr>
        <w:tc>
          <w:tcPr>
            <w:tcW w:type="dxa" w:w="23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Danh mục thuốc</w:t>
            </w:r>
          </w:p>
        </w:tc>
        <w:tc>
          <w:tcPr>
            <w:tcW w:type="dxa" w:w="77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MEDICATIONS, INGREDIENTS, MEDICATION_COMPONENTS, STRENGTH_ASSERTIONS, MEDICATION_INDICATIONS, CONDITIONS, INDICATION_CONDITIONS, MEDICATION_PRIORITIES, ENTRY_IDENTIFICATIONS, IDENTIFICATION_CANDIDATES</w:t>
            </w:r>
          </w:p>
        </w:tc>
      </w:tr>
      <w:tr>
        <w:tc>
          <w:tcPr>
            <w:tcW w:type="dxa" w:w="2304"/>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 assessment</w:t>
            </w:r>
          </w:p>
        </w:tc>
        <w:tc>
          <w:tcPr>
            <w:tcW w:type="dxa" w:w="7776"/>
            <w:vAlign w:val="center"/>
            <w:tcMar>
              <w:top w:w="100" w:type="dxa"/>
              <w:start w:w="120" w:type="dxa"/>
              <w:bottom w:w="100" w:type="dxa"/>
              <w:end w:w="120" w:type="dxa"/>
            </w:tcMar>
          </w:tcPr>
          <w:p>
            <w:pPr>
              <w:spacing w:after="0" w:line="252" w:lineRule="auto"/>
              <w:jc w:val="left"/>
            </w:pPr>
            <w:r/>
            <w:r>
              <w:rPr>
                <w:rFonts w:ascii="Arial" w:hAnsi="Arial" w:eastAsia="Arial"/>
                <w:b w:val="0"/>
                <w:sz w:val="19"/>
              </w:rPr>
              <w:t>SAFETY_DRUG_ENTITIES, COMPONENT_SAFETY_MAPPINGS, DRUG_INTERACTIONS, DRUG_INTERACTION_PARTICIPANTS, INTERACTION_EVIDENCE, MEDICATION_LIST_SNAPSHOTS, SNAPSHOT_ITEMS, SAFETY_ASSESSMENTS, ASSESSMENT_PAIR_RESULTS, SAFETY_FINDINGS, FINDING_ITEMS</w:t>
            </w:r>
          </w:p>
        </w:tc>
      </w:tr>
      <w:tr>
        <w:tc>
          <w:tcPr>
            <w:tcW w:type="dxa" w:w="23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HCP review</w:t>
            </w:r>
          </w:p>
        </w:tc>
        <w:tc>
          <w:tcPr>
            <w:tcW w:type="dxa" w:w="77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HCP_REVIEW_REQUESTS, HCP_REVIEWS, CONVERSATIONS, CONVERSATION_PARTICIPANTS, MESSAGES</w:t>
            </w:r>
          </w:p>
        </w:tc>
      </w:tr>
      <w:tr>
        <w:tc>
          <w:tcPr>
            <w:tcW w:type="dxa" w:w="2304"/>
            <w:vAlign w:val="center"/>
            <w:tcMar>
              <w:top w:w="100" w:type="dxa"/>
              <w:start w:w="120" w:type="dxa"/>
              <w:bottom w:w="100" w:type="dxa"/>
              <w:end w:w="120" w:type="dxa"/>
            </w:tcMar>
          </w:tcPr>
          <w:p>
            <w:pPr>
              <w:spacing w:after="0" w:line="252" w:lineRule="auto"/>
              <w:jc w:val="left"/>
            </w:pPr>
            <w:r/>
            <w:r>
              <w:rPr>
                <w:rFonts w:ascii="Arial" w:hAnsi="Arial" w:eastAsia="Arial"/>
                <w:b w:val="0"/>
                <w:sz w:val="19"/>
              </w:rPr>
              <w:t>Reminder</w:t>
            </w:r>
          </w:p>
        </w:tc>
        <w:tc>
          <w:tcPr>
            <w:tcW w:type="dxa" w:w="7776"/>
            <w:vAlign w:val="center"/>
            <w:tcMar>
              <w:top w:w="100" w:type="dxa"/>
              <w:start w:w="120" w:type="dxa"/>
              <w:bottom w:w="100" w:type="dxa"/>
              <w:end w:w="120" w:type="dxa"/>
            </w:tcMar>
          </w:tcPr>
          <w:p>
            <w:pPr>
              <w:spacing w:after="0" w:line="252" w:lineRule="auto"/>
              <w:jc w:val="left"/>
            </w:pPr>
            <w:r/>
            <w:r>
              <w:rPr>
                <w:rFonts w:ascii="Arial" w:hAnsi="Arial" w:eastAsia="Arial"/>
                <w:b w:val="0"/>
                <w:sz w:val="19"/>
              </w:rPr>
              <w:t>MEDICATION_REGIMENS, REGIMEN_ITEMS, REGIMEN_REVIEW_LINKS, REMINDER_SCHEDULES, SCHEDULE_ELIGIBILITY_CHECKS, REMINDER_EVENTS, ADHERENCE_RECORDS</w:t>
            </w:r>
          </w:p>
        </w:tc>
      </w:tr>
      <w:tr>
        <w:tc>
          <w:tcPr>
            <w:tcW w:type="dxa" w:w="2304"/>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Support và notification</w:t>
            </w:r>
          </w:p>
        </w:tc>
        <w:tc>
          <w:tcPr>
            <w:tcW w:type="dxa" w:w="7776"/>
            <w:shd w:fill="EEF5FA"/>
            <w:vAlign w:val="center"/>
            <w:tcMar>
              <w:top w:w="100" w:type="dxa"/>
              <w:start w:w="120" w:type="dxa"/>
              <w:bottom w:w="100" w:type="dxa"/>
              <w:end w:w="120" w:type="dxa"/>
            </w:tcMar>
          </w:tcPr>
          <w:p>
            <w:pPr>
              <w:spacing w:after="0" w:line="252" w:lineRule="auto"/>
              <w:jc w:val="left"/>
            </w:pPr>
            <w:r/>
            <w:r>
              <w:rPr>
                <w:rFonts w:ascii="Arial" w:hAnsi="Arial" w:eastAsia="Arial"/>
                <w:b w:val="0"/>
                <w:sz w:val="19"/>
              </w:rPr>
              <w:t>SUPPORT_TICKETS, TICKET_ASSIGNMENTS, SUPPORT_MESSAGES, NOTIFICATIONS</w:t>
            </w:r>
          </w:p>
        </w:tc>
      </w:tr>
    </w:tbl>
    <w:p>
      <w:pPr>
        <w:spacing w:after="0"/>
      </w:pP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595959"/>
        <w:sz w:val="17"/>
      </w:rPr>
      <w:t>Medication Safety Assistant  |  Database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cơ sở dữ liệu Medication Safety Assistant</dc:title>
  <dc:subject>Logical database design and implementation recommendations</dc:subject>
  <dc:creator>Medication Safety Assistant Project Team</dc:creator>
  <cp:keywords>database, ERD, medication safety, data review, DDInter</cp:keywords>
  <dc:description>generated by python-docx</dc:description>
  <cp:lastModifiedBy/>
  <cp:revision>1</cp:revision>
  <dcterms:created xsi:type="dcterms:W3CDTF">2013-12-23T23:15:00Z</dcterms:created>
  <dcterms:modified xsi:type="dcterms:W3CDTF">2013-12-23T23:15:00Z</dcterms:modified>
  <cp:category/>
</cp:coreProperties>
</file>