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140"/>
      </w:pPr>
      <w:r>
        <w:rPr>
          <w:rFonts w:ascii="Aptos Display" w:hAnsi="Aptos Display"/>
          <w:b/>
          <w:color w:val="0F766E"/>
          <w:sz w:val="26"/>
        </w:rPr>
        <w:t>PURPLE HAT</w:t>
      </w:r>
    </w:p>
    <w:p>
      <w:pPr>
        <w:pStyle w:val="Title"/>
      </w:pPr>
      <w:r>
        <w:t>PHP Runtime</w:t>
        <w:br/>
        <w:t>Security Study</w:t>
      </w:r>
    </w:p>
    <w:p>
      <w:pPr>
        <w:spacing w:before="80"/>
      </w:pPr>
      <w:r>
        <w:rPr>
          <w:color w:val="5B6472"/>
          <w:sz w:val="28"/>
        </w:rPr>
        <w:t>Public portfolio edition • Lab journal and defensive analysis</w:t>
      </w:r>
    </w:p>
    <w:p>
      <w:pPr>
        <w:spacing w:before="400"/>
      </w:pPr>
      <w:r>
        <w:rPr>
          <w:b/>
          <w:color w:val="563D7C"/>
          <w:sz w:val="18"/>
        </w:rPr>
        <w:t>TRYHACKME LEARNING CONTEXT  |  OCTOBER 2026</w:t>
      </w:r>
    </w:p>
    <w:tbl>
      <w:tblPr>
        <w:tblW w:type="auto" w:w="0"/>
        <w:jc w:val="center"/>
        <w:tblLook w:firstColumn="1" w:firstRow="1" w:lastColumn="0" w:lastRow="0" w:noHBand="0" w:noVBand="1" w:val="04A0"/>
      </w:tblPr>
      <w:tblGrid>
        <w:gridCol w:w="9994"/>
      </w:tblGrid>
      <w:tr>
        <w:tc>
          <w:tcPr>
            <w:tcW w:type="dxa" w:w="9994"/>
            <w:shd w:fill="F3F1F8"/>
            <w:tcMar>
              <w:top w:w="140" w:type="dxa"/>
              <w:start w:w="160" w:type="dxa"/>
              <w:bottom w:w="140" w:type="dxa"/>
              <w:end w:w="160" w:type="dxa"/>
            </w:tcMar>
          </w:tcPr>
          <w:p>
            <w:pPr>
              <w:spacing w:after="60"/>
            </w:pPr>
            <w:r>
              <w:rPr>
                <w:b/>
                <w:color w:val="563D7C"/>
                <w:sz w:val="20"/>
              </w:rPr>
              <w:t>Portfolio objective</w:t>
            </w:r>
          </w:p>
          <w:p>
            <w:pPr>
              <w:spacing w:after="0"/>
            </w:pPr>
            <w:r>
              <w:rPr>
                <w:sz w:val="18"/>
              </w:rPr>
              <w:t>Connect runtime-vulnerability concepts to evidence collection, Linux troubleshooting, defensive telemetry, incident response, and verifiable remediation.</w:t>
            </w:r>
          </w:p>
        </w:tc>
      </w:tr>
    </w:tbl>
    <w:p>
      <w:pPr>
        <w:spacing w:after="0"/>
      </w:pPr>
    </w:p>
    <w:p>
      <w:pPr>
        <w:spacing w:before="480"/>
      </w:pPr>
      <w:r>
        <w:rPr>
          <w:b/>
        </w:rPr>
        <w:t>Prepared: 23 October 2026</w:t>
        <w:br/>
      </w:r>
      <w:r>
        <w:t>Author purpose: personal reference, interview preparation, and Purple Hat skill development.</w:t>
      </w:r>
    </w:p>
    <w:p>
      <w:pPr>
        <w:spacing w:before="360"/>
      </w:pPr>
      <w:r>
        <w:rPr>
          <w:b/>
          <w:color w:val="9B1C1C"/>
          <w:sz w:val="18"/>
        </w:rPr>
        <w:t>PUBLICATION NOTE</w:t>
      </w:r>
    </w:p>
    <w:p>
      <w:r>
        <w:t>This version is intentionally sanitized for a public repository. It omits room flags, answer strings, room-specific exploit code, and step-by-step exploit instructions. The learner reported completing the room, but the transcript did not preserve an exploit proof line or flag; no unverified success is claimed.</w:t>
      </w:r>
    </w:p>
    <w:p>
      <w:r>
        <w:br w:type="page"/>
      </w:r>
    </w:p>
    <w:p>
      <w:pPr>
        <w:pStyle w:val="Heading1"/>
      </w:pPr>
      <w:r>
        <w:t>Contents</w:t>
      </w:r>
    </w:p>
    <w:p>
      <w:pPr>
        <w:spacing w:after="20"/>
        <w:ind w:left="173"/>
      </w:pPr>
      <w:r>
        <w:t>1. Executive summary and evidence standard</w:t>
      </w:r>
    </w:p>
    <w:p>
      <w:pPr>
        <w:spacing w:after="20"/>
        <w:ind w:left="173"/>
      </w:pPr>
      <w:r>
        <w:t>2. Technical concepts</w:t>
      </w:r>
    </w:p>
    <w:p>
      <w:pPr>
        <w:spacing w:after="20"/>
        <w:ind w:left="173"/>
      </w:pPr>
      <w:r>
        <w:t>3. Observed evidence and command timeline</w:t>
      </w:r>
    </w:p>
    <w:p>
      <w:pPr>
        <w:spacing w:after="20"/>
        <w:ind w:left="173"/>
      </w:pPr>
      <w:r>
        <w:t>4. Troubleshooting journal</w:t>
      </w:r>
    </w:p>
    <w:p>
      <w:pPr>
        <w:spacing w:after="20"/>
        <w:ind w:left="173"/>
      </w:pPr>
      <w:r>
        <w:t>5. Purple Hat attack-to-defence analysis</w:t>
      </w:r>
    </w:p>
    <w:p>
      <w:pPr>
        <w:spacing w:after="20"/>
        <w:ind w:left="173"/>
      </w:pPr>
      <w:r>
        <w:t>6. Remediation and validation checklist</w:t>
      </w:r>
    </w:p>
    <w:p>
      <w:pPr>
        <w:spacing w:after="20"/>
        <w:ind w:left="173"/>
      </w:pPr>
      <w:r>
        <w:t>7. Interview preparation</w:t>
      </w:r>
    </w:p>
    <w:p>
      <w:pPr>
        <w:spacing w:after="20"/>
        <w:ind w:left="173"/>
      </w:pPr>
      <w:r>
        <w:t>8. Glossary and revision sheet</w:t>
      </w:r>
    </w:p>
    <w:p>
      <w:pPr>
        <w:spacing w:after="20"/>
        <w:ind w:left="173"/>
      </w:pPr>
      <w:r>
        <w:t>9. Personal learning roadmap</w:t>
      </w:r>
    </w:p>
    <w:p>
      <w:pPr>
        <w:spacing w:after="20"/>
        <w:ind w:left="173"/>
      </w:pPr>
      <w:r>
        <w:t>10. References</w:t>
      </w:r>
    </w:p>
    <w:tbl>
      <w:tblPr>
        <w:tblW w:type="auto" w:w="0"/>
        <w:jc w:val="center"/>
        <w:tblLook w:firstColumn="1" w:firstRow="1" w:lastColumn="0" w:lastRow="0" w:noHBand="0" w:noVBand="1" w:val="04A0"/>
      </w:tblPr>
      <w:tblGrid>
        <w:gridCol w:w="9994"/>
      </w:tblGrid>
      <w:tr>
        <w:tc>
          <w:tcPr>
            <w:tcW w:type="dxa" w:w="9994"/>
            <w:shd w:fill="F3F1F8"/>
            <w:tcMar>
              <w:top w:w="140" w:type="dxa"/>
              <w:start w:w="160" w:type="dxa"/>
              <w:bottom w:w="140" w:type="dxa"/>
              <w:end w:w="160" w:type="dxa"/>
            </w:tcMar>
          </w:tcPr>
          <w:p>
            <w:pPr>
              <w:spacing w:after="60"/>
            </w:pPr>
            <w:r>
              <w:rPr>
                <w:b/>
                <w:color w:val="563D7C"/>
                <w:sz w:val="20"/>
              </w:rPr>
              <w:t>Evidence rule</w:t>
            </w:r>
          </w:p>
          <w:p>
            <w:pPr>
              <w:spacing w:after="0"/>
            </w:pPr>
            <w:r>
              <w:rPr>
                <w:sz w:val="18"/>
              </w:rPr>
              <w:t>A command being suggested is not the same as it being executed. A successful HTTP response is not proof of exploitability. Every statement below is tagged or phrased to match the evidence actually captured.</w:t>
            </w:r>
          </w:p>
        </w:tc>
      </w:tr>
    </w:tbl>
    <w:p>
      <w:pPr>
        <w:spacing w:after="0"/>
      </w:pPr>
    </w:p>
    <w:p>
      <w:pPr>
        <w:pStyle w:val="Heading1"/>
      </w:pPr>
      <w:r>
        <w:t>1. Executive summary and evidence standard</w:t>
      </w:r>
    </w:p>
    <w:p>
      <w:r>
        <w:t>This report is a public-safe learning summary based on an authorized TryHackMe exercise and the PHP team’s public security advisory dated 21 October 2026. The advisory describes two critical PHP runtime vulnerabilities that can enable unauthenticated remote code execution in affected deployments. The central defensive lesson is that a defect in the runtime can be reached before application-level route logic or input validation has run; fixing only application code may therefore be insufficient. [1]</w:t>
      </w:r>
    </w:p>
    <w:p>
      <w:r>
        <w:t>During the recorded session, the learner connected to the Ubuntu lab host, located the supplied exercise directory, inspected the beginning of a Python file, and captured a successful HTTP response from a local PHP endpoint. The session also captured a filesystem permission error and verified that a file created through an elevated write was readable on the host.</w:t>
      </w:r>
    </w:p>
    <w:p>
      <w:r>
        <w:t>The learner later reported completing the room. However, the conversation did not preserve a raw exploit proof line, a verified identity from the PHP worker’s command-execution context, or the flag. This report does not claim that the exploit output was independently verified.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shd w:fill="563D7C"/>
            <w:tcMar>
              <w:top w:w="100" w:type="dxa"/>
              <w:start w:w="100" w:type="dxa"/>
              <w:bottom w:w="100" w:type="dxa"/>
              <w:end w:w="100" w:type="dxa"/>
            </w:tcMar>
          </w:tcPr>
          <w:p>
            <w:pPr>
              <w:spacing w:after="0"/>
            </w:pPr>
            <w:r>
              <w:rPr>
                <w:b/>
                <w:color w:val="FFFFFF"/>
                <w:sz w:val="17"/>
              </w:rPr>
              <w:t>Evidence label</w:t>
            </w:r>
          </w:p>
        </w:tc>
        <w:tc>
          <w:tcPr>
            <w:tcW w:type="dxa" w:w="8136"/>
            <w:shd w:fill="563D7C"/>
            <w:tcMar>
              <w:top w:w="100" w:type="dxa"/>
              <w:start w:w="100" w:type="dxa"/>
              <w:bottom w:w="100" w:type="dxa"/>
              <w:end w:w="100" w:type="dxa"/>
            </w:tcMar>
          </w:tcPr>
          <w:p>
            <w:pPr>
              <w:spacing w:after="0"/>
            </w:pPr>
            <w:r>
              <w:rPr>
                <w:b/>
                <w:color w:val="FFFFFF"/>
                <w:sz w:val="17"/>
              </w:rPr>
              <w:t>Meaning</w:t>
            </w:r>
          </w:p>
        </w:tc>
      </w:tr>
      <w:tr>
        <w:trPr>
          <w:cantSplit/>
        </w:trPr>
        <w:tc>
          <w:tcPr>
            <w:tcW w:type="dxa" w:w="2232"/>
            <w:vAlign w:val="top"/>
            <w:shd w:fill="F7F6FA"/>
            <w:tcMar>
              <w:top w:w="70" w:type="dxa"/>
              <w:start w:w="90" w:type="dxa"/>
              <w:bottom w:w="70" w:type="dxa"/>
              <w:end w:w="90" w:type="dxa"/>
            </w:tcMar>
          </w:tcPr>
          <w:p>
            <w:pPr>
              <w:spacing w:after="20" w:line="240" w:lineRule="auto"/>
            </w:pPr>
            <w:r>
              <w:rPr>
                <w:rFonts w:ascii="Aptos" w:hAnsi="Aptos"/>
                <w:color w:val="20253A"/>
                <w:sz w:val="17"/>
              </w:rPr>
              <w:t>OBSERVED</w:t>
            </w:r>
          </w:p>
        </w:tc>
        <w:tc>
          <w:tcPr>
            <w:tcW w:type="dxa" w:w="8136"/>
            <w:vAlign w:val="top"/>
            <w:shd w:fill="F7F6FA"/>
            <w:tcMar>
              <w:top w:w="70" w:type="dxa"/>
              <w:start w:w="90" w:type="dxa"/>
              <w:bottom w:w="70" w:type="dxa"/>
              <w:end w:w="90" w:type="dxa"/>
            </w:tcMar>
          </w:tcPr>
          <w:p>
            <w:pPr>
              <w:spacing w:after="20" w:line="240" w:lineRule="auto"/>
            </w:pPr>
            <w:r>
              <w:rPr>
                <w:rFonts w:ascii="Aptos" w:hAnsi="Aptos"/>
                <w:color w:val="20253A"/>
                <w:sz w:val="17"/>
              </w:rPr>
              <w:t>The relevant command output appeared in the conversation.</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0253A"/>
                <w:sz w:val="17"/>
              </w:rPr>
              <w:t>USER-REPORTED</w:t>
            </w:r>
          </w:p>
        </w:tc>
        <w:tc>
          <w:tcPr>
            <w:tcW w:type="dxa" w:w="8136"/>
            <w:vAlign w:val="top"/>
            <w:shd w:fill="FFFFFF"/>
            <w:tcMar>
              <w:top w:w="70" w:type="dxa"/>
              <w:start w:w="90" w:type="dxa"/>
              <w:bottom w:w="70" w:type="dxa"/>
              <w:end w:w="90" w:type="dxa"/>
            </w:tcMar>
          </w:tcPr>
          <w:p>
            <w:pPr>
              <w:spacing w:after="20" w:line="240" w:lineRule="auto"/>
            </w:pPr>
            <w:r>
              <w:rPr>
                <w:rFonts w:ascii="Aptos" w:hAnsi="Aptos"/>
                <w:color w:val="20253A"/>
                <w:sz w:val="17"/>
              </w:rPr>
              <w:t>The learner described the result, but raw output was not preserved.</w:t>
            </w:r>
          </w:p>
        </w:tc>
      </w:tr>
      <w:tr>
        <w:trPr>
          <w:cantSplit/>
        </w:trPr>
        <w:tc>
          <w:tcPr>
            <w:tcW w:type="dxa" w:w="2232"/>
            <w:vAlign w:val="top"/>
            <w:shd w:fill="F7F6FA"/>
            <w:tcMar>
              <w:top w:w="70" w:type="dxa"/>
              <w:start w:w="90" w:type="dxa"/>
              <w:bottom w:w="70" w:type="dxa"/>
              <w:end w:w="90" w:type="dxa"/>
            </w:tcMar>
          </w:tcPr>
          <w:p>
            <w:pPr>
              <w:spacing w:after="20" w:line="240" w:lineRule="auto"/>
            </w:pPr>
            <w:r>
              <w:rPr>
                <w:rFonts w:ascii="Aptos" w:hAnsi="Aptos"/>
                <w:color w:val="20253A"/>
                <w:sz w:val="17"/>
              </w:rPr>
              <w:t>NOT VERIFIED</w:t>
            </w:r>
          </w:p>
        </w:tc>
        <w:tc>
          <w:tcPr>
            <w:tcW w:type="dxa" w:w="8136"/>
            <w:vAlign w:val="top"/>
            <w:shd w:fill="F7F6FA"/>
            <w:tcMar>
              <w:top w:w="70" w:type="dxa"/>
              <w:start w:w="90" w:type="dxa"/>
              <w:bottom w:w="70" w:type="dxa"/>
              <w:end w:w="90" w:type="dxa"/>
            </w:tcMar>
          </w:tcPr>
          <w:p>
            <w:pPr>
              <w:spacing w:after="20" w:line="240" w:lineRule="auto"/>
            </w:pPr>
            <w:r>
              <w:rPr>
                <w:rFonts w:ascii="Aptos" w:hAnsi="Aptos"/>
                <w:color w:val="20253A"/>
                <w:sz w:val="17"/>
              </w:rPr>
              <w:t>The command or hypothesis was discussed, but no result was captured.</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0253A"/>
                <w:sz w:val="17"/>
              </w:rPr>
              <w:t>HYPOTHESIS</w:t>
            </w:r>
          </w:p>
        </w:tc>
        <w:tc>
          <w:tcPr>
            <w:tcW w:type="dxa" w:w="8136"/>
            <w:vAlign w:val="top"/>
            <w:shd w:fill="FFFFFF"/>
            <w:tcMar>
              <w:top w:w="70" w:type="dxa"/>
              <w:start w:w="90" w:type="dxa"/>
              <w:bottom w:w="70" w:type="dxa"/>
              <w:end w:w="90" w:type="dxa"/>
            </w:tcMar>
          </w:tcPr>
          <w:p>
            <w:pPr>
              <w:spacing w:after="20" w:line="240" w:lineRule="auto"/>
            </w:pPr>
            <w:r>
              <w:rPr>
                <w:rFonts w:ascii="Aptos" w:hAnsi="Aptos"/>
                <w:color w:val="20253A"/>
                <w:sz w:val="17"/>
              </w:rPr>
              <w:t>Plausible detection or technical inference that would need testing.</w:t>
            </w:r>
          </w:p>
        </w:tc>
      </w:tr>
    </w:tbl>
    <w:p>
      <w:pPr>
        <w:spacing w:after="0"/>
      </w:pPr>
    </w:p>
    <w:p>
      <w:pPr>
        <w:pStyle w:val="Heading1"/>
      </w:pPr>
      <w:r>
        <w:t>2. Technical concepts</w:t>
      </w:r>
    </w:p>
    <w:p>
      <w:pPr>
        <w:pStyle w:val="Heading2"/>
      </w:pPr>
      <w:r>
        <w:t>Runtime-level versus application-level weakness</w:t>
      </w:r>
    </w:p>
    <w:p>
      <w:r>
        <w:t>A web application can validate data correctly and still be affected when its language runtime has a memory-safety flaw. Request parsing and internal lifecycle handling can happen before the application’s own code executes. Application-level validation therefore cannot be assumed to protect a deployment from every runtime defect.</w:t>
      </w:r>
    </w:p>
    <w:p>
      <w:pPr>
        <w:pStyle w:val="Heading2"/>
      </w:pPr>
      <w:r>
        <w:t>Memory safety and failure handling</w:t>
      </w:r>
    </w:p>
    <w:p>
      <w:r>
        <w:t>A runtime must respond safely to fatal conditions such as resource exhaustion. If internal state is only partly initialized, or if state continues to reference memory that has been released, cleanup and later processing can act on invalid assumptions. Depending on the defect, this can affect process stability, confidentiality, and control flow.</w:t>
      </w:r>
    </w:p>
    <w:p>
      <w:pPr>
        <w:pStyle w:val="Heading2"/>
      </w:pPr>
      <w:r>
        <w:t>ASLR</w:t>
      </w:r>
    </w:p>
    <w:p>
      <w:r>
        <w:t>Address Space Layout Randomization changes where memory regions are placed, making address prediction harder. It raises the difficulty of some exploitation paths, but it does not remove the underlying memory-safety bug and must not be treated as a substitute for patching.</w:t>
      </w:r>
    </w:p>
    <w:p>
      <w:pPr>
        <w:pStyle w:val="Heading2"/>
      </w:pPr>
      <w:r>
        <w:t>HTTP metadata</w:t>
      </w:r>
    </w:p>
    <w:p>
      <w:r>
        <w:t>Response headers can help identify a stack and support software inventory. A technology banner or a successful response does not alone prove that a server is vulnerable—or that an exploit succeeded. Proxy behavior can also change which headers are visible. Confirm versions from the deployed package/image as part of remediation.</w:t>
      </w:r>
    </w:p>
    <w:p>
      <w:pPr>
        <w:pStyle w:val="Heading2"/>
      </w:pPr>
      <w:r>
        <w:t>Why patching matters</w:t>
      </w:r>
    </w:p>
    <w:p>
      <w:r>
        <w:t>The official PHP advisory states that updating is the complete fix; configuration changes and other controls can reduce exposure to specific attack paths but do not make an affected installation safe. Consult the current advisory for the supported release and detailed steps for each deployment type. [1]</w:t>
      </w:r>
    </w:p>
    <w:p>
      <w:pPr>
        <w:pStyle w:val="Heading1"/>
      </w:pPr>
      <w:r>
        <w:t>3. Observed evidence and command timeline</w:t>
      </w:r>
    </w:p>
    <w:p>
      <w:r>
        <w:t>The commands below are limited to operational checks and troubleshooting details that are appropriate for a public learning summary. Room-specific answer values and exploit invocation details are intentionally omitted.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952"/>
            <w:shd w:fill="563D7C"/>
            <w:tcMar>
              <w:top w:w="100" w:type="dxa"/>
              <w:start w:w="100" w:type="dxa"/>
              <w:bottom w:w="100" w:type="dxa"/>
              <w:end w:w="100" w:type="dxa"/>
            </w:tcMar>
          </w:tcPr>
          <w:p>
            <w:pPr>
              <w:spacing w:after="0"/>
            </w:pPr>
            <w:r>
              <w:rPr>
                <w:b/>
                <w:color w:val="FFFFFF"/>
                <w:sz w:val="15"/>
              </w:rPr>
              <w:t>Command / action</w:t>
            </w:r>
          </w:p>
        </w:tc>
        <w:tc>
          <w:tcPr>
            <w:tcW w:type="dxa" w:w="1440"/>
            <w:shd w:fill="563D7C"/>
            <w:tcMar>
              <w:top w:w="100" w:type="dxa"/>
              <w:start w:w="100" w:type="dxa"/>
              <w:bottom w:w="100" w:type="dxa"/>
              <w:end w:w="100" w:type="dxa"/>
            </w:tcMar>
          </w:tcPr>
          <w:p>
            <w:pPr>
              <w:spacing w:after="0"/>
            </w:pPr>
            <w:r>
              <w:rPr>
                <w:b/>
                <w:color w:val="FFFFFF"/>
                <w:sz w:val="15"/>
              </w:rPr>
              <w:t>Status</w:t>
            </w:r>
          </w:p>
        </w:tc>
        <w:tc>
          <w:tcPr>
            <w:tcW w:type="dxa" w:w="5976"/>
            <w:shd w:fill="563D7C"/>
            <w:tcMar>
              <w:top w:w="100" w:type="dxa"/>
              <w:start w:w="100" w:type="dxa"/>
              <w:bottom w:w="100" w:type="dxa"/>
              <w:end w:w="100" w:type="dxa"/>
            </w:tcMar>
          </w:tcPr>
          <w:p>
            <w:pPr>
              <w:spacing w:after="0"/>
            </w:pPr>
            <w:r>
              <w:rPr>
                <w:b/>
                <w:color w:val="FFFFFF"/>
                <w:sz w:val="15"/>
              </w:rPr>
              <w:t>Interpretation and limitation</w:t>
            </w:r>
          </w:p>
        </w:tc>
      </w:tr>
      <w:tr>
        <w:trPr>
          <w:cantSplit/>
        </w:trPr>
        <w:tc>
          <w:tcPr>
            <w:tcW w:type="dxa" w:w="2952"/>
            <w:vAlign w:val="top"/>
            <w:shd w:fill="F7F6FA"/>
            <w:tcMar>
              <w:top w:w="70" w:type="dxa"/>
              <w:start w:w="90" w:type="dxa"/>
              <w:bottom w:w="70" w:type="dxa"/>
              <w:end w:w="90" w:type="dxa"/>
            </w:tcMar>
          </w:tcPr>
          <w:p>
            <w:pPr>
              <w:spacing w:after="20" w:line="240" w:lineRule="auto"/>
            </w:pPr>
            <w:r>
              <w:rPr>
                <w:rFonts w:ascii="Aptos" w:hAnsi="Aptos"/>
                <w:color w:val="20253A"/>
                <w:sz w:val="15"/>
              </w:rPr>
              <w:t>`ls -la`</w:t>
            </w:r>
          </w:p>
        </w:tc>
        <w:tc>
          <w:tcPr>
            <w:tcW w:type="dxa" w:w="1440"/>
            <w:vAlign w:val="top"/>
            <w:shd w:fill="F7F6FA"/>
            <w:tcMar>
              <w:top w:w="70" w:type="dxa"/>
              <w:start w:w="90" w:type="dxa"/>
              <w:bottom w:w="70" w:type="dxa"/>
              <w:end w:w="90" w:type="dxa"/>
            </w:tcMar>
          </w:tcPr>
          <w:p>
            <w:pPr>
              <w:spacing w:after="20" w:line="240" w:lineRule="auto"/>
            </w:pPr>
            <w:r>
              <w:rPr>
                <w:rFonts w:ascii="Aptos" w:hAnsi="Aptos"/>
                <w:color w:val="20253A"/>
                <w:sz w:val="15"/>
              </w:rPr>
              <w:t>OBSERVED</w:t>
            </w:r>
          </w:p>
        </w:tc>
        <w:tc>
          <w:tcPr>
            <w:tcW w:type="dxa" w:w="5976"/>
            <w:vAlign w:val="top"/>
            <w:shd w:fill="F7F6FA"/>
            <w:tcMar>
              <w:top w:w="70" w:type="dxa"/>
              <w:start w:w="90" w:type="dxa"/>
              <w:bottom w:w="70" w:type="dxa"/>
              <w:end w:w="90" w:type="dxa"/>
            </w:tcMar>
          </w:tcPr>
          <w:p>
            <w:pPr>
              <w:spacing w:after="20" w:line="240" w:lineRule="auto"/>
            </w:pPr>
            <w:r>
              <w:rPr>
                <w:rFonts w:ascii="Aptos" w:hAnsi="Aptos"/>
                <w:color w:val="20253A"/>
                <w:sz w:val="15"/>
              </w:rPr>
              <w:t>Listed the home directory and showed the supplied exercise directory. It did not validate an exploit.</w:t>
            </w:r>
          </w:p>
        </w:tc>
      </w:tr>
      <w:tr>
        <w:trPr>
          <w:cantSplit/>
        </w:trPr>
        <w:tc>
          <w:tcPr>
            <w:tcW w:type="dxa" w:w="2952"/>
            <w:vAlign w:val="top"/>
            <w:shd w:fill="FFFFFF"/>
            <w:tcMar>
              <w:top w:w="70" w:type="dxa"/>
              <w:start w:w="90" w:type="dxa"/>
              <w:bottom w:w="70" w:type="dxa"/>
              <w:end w:w="90" w:type="dxa"/>
            </w:tcMar>
          </w:tcPr>
          <w:p>
            <w:pPr>
              <w:spacing w:after="20" w:line="240" w:lineRule="auto"/>
            </w:pPr>
            <w:r>
              <w:rPr>
                <w:rFonts w:ascii="Aptos" w:hAnsi="Aptos"/>
                <w:color w:val="20253A"/>
                <w:sz w:val="15"/>
              </w:rPr>
              <w:t>`less exploit.py`</w:t>
            </w:r>
          </w:p>
        </w:tc>
        <w:tc>
          <w:tcPr>
            <w:tcW w:type="dxa" w:w="1440"/>
            <w:vAlign w:val="top"/>
            <w:shd w:fill="FFFFFF"/>
            <w:tcMar>
              <w:top w:w="70" w:type="dxa"/>
              <w:start w:w="90" w:type="dxa"/>
              <w:bottom w:w="70" w:type="dxa"/>
              <w:end w:w="90" w:type="dxa"/>
            </w:tcMar>
          </w:tcPr>
          <w:p>
            <w:pPr>
              <w:spacing w:after="20" w:line="240" w:lineRule="auto"/>
            </w:pPr>
            <w:r>
              <w:rPr>
                <w:rFonts w:ascii="Aptos" w:hAnsi="Aptos"/>
                <w:color w:val="20253A"/>
                <w:sz w:val="15"/>
              </w:rPr>
              <w:t>OBSERVED</w:t>
            </w:r>
          </w:p>
        </w:tc>
        <w:tc>
          <w:tcPr>
            <w:tcW w:type="dxa" w:w="5976"/>
            <w:vAlign w:val="top"/>
            <w:shd w:fill="FFFFFF"/>
            <w:tcMar>
              <w:top w:w="70" w:type="dxa"/>
              <w:start w:w="90" w:type="dxa"/>
              <w:bottom w:w="70" w:type="dxa"/>
              <w:end w:w="90" w:type="dxa"/>
            </w:tcMar>
          </w:tcPr>
          <w:p>
            <w:pPr>
              <w:spacing w:after="20" w:line="240" w:lineRule="auto"/>
            </w:pPr>
            <w:r>
              <w:rPr>
                <w:rFonts w:ascii="Aptos" w:hAnsi="Aptos"/>
                <w:color w:val="20253A"/>
                <w:sz w:val="15"/>
              </w:rPr>
              <w:t>Opened a source file in a pager. Only the interpreter declaration was captured; the full script was not reviewed in the transcript.</w:t>
            </w:r>
          </w:p>
        </w:tc>
      </w:tr>
      <w:tr>
        <w:trPr>
          <w:cantSplit/>
        </w:trPr>
        <w:tc>
          <w:tcPr>
            <w:tcW w:type="dxa" w:w="2952"/>
            <w:vAlign w:val="top"/>
            <w:shd w:fill="F7F6FA"/>
            <w:tcMar>
              <w:top w:w="70" w:type="dxa"/>
              <w:start w:w="90" w:type="dxa"/>
              <w:bottom w:w="70" w:type="dxa"/>
              <w:end w:w="90" w:type="dxa"/>
            </w:tcMar>
          </w:tcPr>
          <w:p>
            <w:pPr>
              <w:spacing w:after="20" w:line="240" w:lineRule="auto"/>
            </w:pPr>
            <w:r>
              <w:rPr>
                <w:rFonts w:ascii="Aptos" w:hAnsi="Aptos"/>
                <w:color w:val="20253A"/>
                <w:sz w:val="15"/>
              </w:rPr>
              <w:t>`curl -i http://127.0.0.1:8088/index.php`</w:t>
            </w:r>
          </w:p>
        </w:tc>
        <w:tc>
          <w:tcPr>
            <w:tcW w:type="dxa" w:w="1440"/>
            <w:vAlign w:val="top"/>
            <w:shd w:fill="F7F6FA"/>
            <w:tcMar>
              <w:top w:w="70" w:type="dxa"/>
              <w:start w:w="90" w:type="dxa"/>
              <w:bottom w:w="70" w:type="dxa"/>
              <w:end w:w="90" w:type="dxa"/>
            </w:tcMar>
          </w:tcPr>
          <w:p>
            <w:pPr>
              <w:spacing w:after="20" w:line="240" w:lineRule="auto"/>
            </w:pPr>
            <w:r>
              <w:rPr>
                <w:rFonts w:ascii="Aptos" w:hAnsi="Aptos"/>
                <w:color w:val="20253A"/>
                <w:sz w:val="15"/>
              </w:rPr>
              <w:t>OBSERVED</w:t>
            </w:r>
          </w:p>
        </w:tc>
        <w:tc>
          <w:tcPr>
            <w:tcW w:type="dxa" w:w="5976"/>
            <w:vAlign w:val="top"/>
            <w:shd w:fill="F7F6FA"/>
            <w:tcMar>
              <w:top w:w="70" w:type="dxa"/>
              <w:start w:w="90" w:type="dxa"/>
              <w:bottom w:w="70" w:type="dxa"/>
              <w:end w:w="90" w:type="dxa"/>
            </w:tcMar>
          </w:tcPr>
          <w:p>
            <w:pPr>
              <w:spacing w:after="20" w:line="240" w:lineRule="auto"/>
            </w:pPr>
            <w:r>
              <w:rPr>
                <w:rFonts w:ascii="Aptos" w:hAnsi="Aptos"/>
                <w:color w:val="20253A"/>
                <w:sz w:val="15"/>
              </w:rPr>
              <w:t>Returned HTTP 200 OK and technology-identification headers. Exact challenge-specific values and response body are withheld in this public edition. This confirms a response, not exploitability.</w:t>
            </w:r>
          </w:p>
        </w:tc>
      </w:tr>
      <w:tr>
        <w:trPr>
          <w:cantSplit/>
        </w:trPr>
        <w:tc>
          <w:tcPr>
            <w:tcW w:type="dxa" w:w="2952"/>
            <w:vAlign w:val="top"/>
            <w:shd w:fill="FFFFFF"/>
            <w:tcMar>
              <w:top w:w="70" w:type="dxa"/>
              <w:start w:w="90" w:type="dxa"/>
              <w:bottom w:w="70" w:type="dxa"/>
              <w:end w:w="90" w:type="dxa"/>
            </w:tcMar>
          </w:tcPr>
          <w:p>
            <w:pPr>
              <w:spacing w:after="20" w:line="240" w:lineRule="auto"/>
            </w:pPr>
            <w:r>
              <w:rPr>
                <w:rFonts w:ascii="Aptos" w:hAnsi="Aptos"/>
                <w:color w:val="20253A"/>
                <w:sz w:val="15"/>
              </w:rPr>
              <w:t>`whoami`</w:t>
            </w:r>
          </w:p>
        </w:tc>
        <w:tc>
          <w:tcPr>
            <w:tcW w:type="dxa" w:w="1440"/>
            <w:vAlign w:val="top"/>
            <w:shd w:fill="FFFFFF"/>
            <w:tcMar>
              <w:top w:w="70" w:type="dxa"/>
              <w:start w:w="90" w:type="dxa"/>
              <w:bottom w:w="70" w:type="dxa"/>
              <w:end w:w="90" w:type="dxa"/>
            </w:tcMar>
          </w:tcPr>
          <w:p>
            <w:pPr>
              <w:spacing w:after="20" w:line="240" w:lineRule="auto"/>
            </w:pPr>
            <w:r>
              <w:rPr>
                <w:rFonts w:ascii="Aptos" w:hAnsi="Aptos"/>
                <w:color w:val="20253A"/>
                <w:sz w:val="15"/>
              </w:rPr>
              <w:t>OBSERVED</w:t>
            </w:r>
          </w:p>
        </w:tc>
        <w:tc>
          <w:tcPr>
            <w:tcW w:type="dxa" w:w="5976"/>
            <w:vAlign w:val="top"/>
            <w:shd w:fill="FFFFFF"/>
            <w:tcMar>
              <w:top w:w="70" w:type="dxa"/>
              <w:start w:w="90" w:type="dxa"/>
              <w:bottom w:w="70" w:type="dxa"/>
              <w:end w:w="90" w:type="dxa"/>
            </w:tcMar>
          </w:tcPr>
          <w:p>
            <w:pPr>
              <w:spacing w:after="20" w:line="240" w:lineRule="auto"/>
            </w:pPr>
            <w:r>
              <w:rPr>
                <w:rFonts w:ascii="Aptos" w:hAnsi="Aptos"/>
                <w:color w:val="20253A"/>
                <w:sz w:val="15"/>
              </w:rPr>
              <w:t>Returned `ubuntu` for the SSH shell user. This does not establish the identity of a process inside the PHP container.</w:t>
            </w:r>
          </w:p>
        </w:tc>
      </w:tr>
      <w:tr>
        <w:trPr>
          <w:cantSplit/>
        </w:trPr>
        <w:tc>
          <w:tcPr>
            <w:tcW w:type="dxa" w:w="2952"/>
            <w:vAlign w:val="top"/>
            <w:shd w:fill="F7F6FA"/>
            <w:tcMar>
              <w:top w:w="70" w:type="dxa"/>
              <w:start w:w="90" w:type="dxa"/>
              <w:bottom w:w="70" w:type="dxa"/>
              <w:end w:w="90" w:type="dxa"/>
            </w:tcMar>
          </w:tcPr>
          <w:p>
            <w:pPr>
              <w:spacing w:after="20" w:line="240" w:lineRule="auto"/>
            </w:pPr>
            <w:r>
              <w:rPr>
                <w:rFonts w:ascii="Aptos" w:hAnsi="Aptos"/>
                <w:color w:val="20253A"/>
                <w:sz w:val="15"/>
              </w:rPr>
              <w:t>`ls -ld out`</w:t>
            </w:r>
          </w:p>
        </w:tc>
        <w:tc>
          <w:tcPr>
            <w:tcW w:type="dxa" w:w="1440"/>
            <w:vAlign w:val="top"/>
            <w:shd w:fill="F7F6FA"/>
            <w:tcMar>
              <w:top w:w="70" w:type="dxa"/>
              <w:start w:w="90" w:type="dxa"/>
              <w:bottom w:w="70" w:type="dxa"/>
              <w:end w:w="90" w:type="dxa"/>
            </w:tcMar>
          </w:tcPr>
          <w:p>
            <w:pPr>
              <w:spacing w:after="20" w:line="240" w:lineRule="auto"/>
            </w:pPr>
            <w:r>
              <w:rPr>
                <w:rFonts w:ascii="Aptos" w:hAnsi="Aptos"/>
                <w:color w:val="20253A"/>
                <w:sz w:val="15"/>
              </w:rPr>
              <w:t>OBSERVED</w:t>
            </w:r>
          </w:p>
        </w:tc>
        <w:tc>
          <w:tcPr>
            <w:tcW w:type="dxa" w:w="5976"/>
            <w:vAlign w:val="top"/>
            <w:shd w:fill="F7F6FA"/>
            <w:tcMar>
              <w:top w:w="70" w:type="dxa"/>
              <w:start w:w="90" w:type="dxa"/>
              <w:bottom w:w="70" w:type="dxa"/>
              <w:end w:w="90" w:type="dxa"/>
            </w:tcMar>
          </w:tcPr>
          <w:p>
            <w:pPr>
              <w:spacing w:after="20" w:line="240" w:lineRule="auto"/>
            </w:pPr>
            <w:r>
              <w:rPr>
                <w:rFonts w:ascii="Aptos" w:hAnsi="Aptos"/>
                <w:color w:val="20253A"/>
                <w:sz w:val="15"/>
              </w:rPr>
              <w:t>Showed a host-side output directory owned by a web-service account, with mode 775.</w:t>
            </w:r>
          </w:p>
        </w:tc>
      </w:tr>
      <w:tr>
        <w:trPr>
          <w:cantSplit/>
        </w:trPr>
        <w:tc>
          <w:tcPr>
            <w:tcW w:type="dxa" w:w="2952"/>
            <w:vAlign w:val="top"/>
            <w:shd w:fill="FFFFFF"/>
            <w:tcMar>
              <w:top w:w="70" w:type="dxa"/>
              <w:start w:w="90" w:type="dxa"/>
              <w:bottom w:w="70" w:type="dxa"/>
              <w:end w:w="90" w:type="dxa"/>
            </w:tcMar>
          </w:tcPr>
          <w:p>
            <w:pPr>
              <w:spacing w:after="20" w:line="240" w:lineRule="auto"/>
            </w:pPr>
            <w:r>
              <w:rPr>
                <w:rFonts w:ascii="Aptos" w:hAnsi="Aptos"/>
                <w:color w:val="20253A"/>
                <w:sz w:val="15"/>
              </w:rPr>
              <w:t>`ls -l out/c`</w:t>
            </w:r>
          </w:p>
        </w:tc>
        <w:tc>
          <w:tcPr>
            <w:tcW w:type="dxa" w:w="1440"/>
            <w:vAlign w:val="top"/>
            <w:shd w:fill="FFFFFF"/>
            <w:tcMar>
              <w:top w:w="70" w:type="dxa"/>
              <w:start w:w="90" w:type="dxa"/>
              <w:bottom w:w="70" w:type="dxa"/>
              <w:end w:w="90" w:type="dxa"/>
            </w:tcMar>
          </w:tcPr>
          <w:p>
            <w:pPr>
              <w:spacing w:after="20" w:line="240" w:lineRule="auto"/>
            </w:pPr>
            <w:r>
              <w:rPr>
                <w:rFonts w:ascii="Aptos" w:hAnsi="Aptos"/>
                <w:color w:val="20253A"/>
                <w:sz w:val="15"/>
              </w:rPr>
              <w:t>OBSERVED</w:t>
            </w:r>
          </w:p>
        </w:tc>
        <w:tc>
          <w:tcPr>
            <w:tcW w:type="dxa" w:w="5976"/>
            <w:vAlign w:val="top"/>
            <w:shd w:fill="FFFFFF"/>
            <w:tcMar>
              <w:top w:w="70" w:type="dxa"/>
              <w:start w:w="90" w:type="dxa"/>
              <w:bottom w:w="70" w:type="dxa"/>
              <w:end w:w="90" w:type="dxa"/>
            </w:tcMar>
          </w:tcPr>
          <w:p>
            <w:pPr>
              <w:spacing w:after="20" w:line="240" w:lineRule="auto"/>
            </w:pPr>
            <w:r>
              <w:rPr>
                <w:rFonts w:ascii="Aptos" w:hAnsi="Aptos"/>
                <w:color w:val="20253A"/>
                <w:sz w:val="15"/>
              </w:rPr>
              <w:t>Reported that the path did not exist at that stage.</w:t>
            </w:r>
          </w:p>
        </w:tc>
      </w:tr>
      <w:tr>
        <w:trPr>
          <w:cantSplit/>
        </w:trPr>
        <w:tc>
          <w:tcPr>
            <w:tcW w:type="dxa" w:w="2952"/>
            <w:vAlign w:val="top"/>
            <w:shd w:fill="F7F6FA"/>
            <w:tcMar>
              <w:top w:w="70" w:type="dxa"/>
              <w:start w:w="90" w:type="dxa"/>
              <w:bottom w:w="70" w:type="dxa"/>
              <w:end w:w="90" w:type="dxa"/>
            </w:tcMar>
          </w:tcPr>
          <w:p>
            <w:pPr>
              <w:spacing w:after="20" w:line="240" w:lineRule="auto"/>
            </w:pPr>
            <w:r>
              <w:rPr>
                <w:rFonts w:ascii="Aptos" w:hAnsi="Aptos"/>
                <w:color w:val="20253A"/>
                <w:sz w:val="15"/>
              </w:rPr>
              <w:t>Heredoc write to `out/c`</w:t>
            </w:r>
          </w:p>
        </w:tc>
        <w:tc>
          <w:tcPr>
            <w:tcW w:type="dxa" w:w="1440"/>
            <w:vAlign w:val="top"/>
            <w:shd w:fill="F7F6FA"/>
            <w:tcMar>
              <w:top w:w="70" w:type="dxa"/>
              <w:start w:w="90" w:type="dxa"/>
              <w:bottom w:w="70" w:type="dxa"/>
              <w:end w:w="90" w:type="dxa"/>
            </w:tcMar>
          </w:tcPr>
          <w:p>
            <w:pPr>
              <w:spacing w:after="20" w:line="240" w:lineRule="auto"/>
            </w:pPr>
            <w:r>
              <w:rPr>
                <w:rFonts w:ascii="Aptos" w:hAnsi="Aptos"/>
                <w:color w:val="20253A"/>
                <w:sz w:val="15"/>
              </w:rPr>
              <w:t>FAILED</w:t>
            </w:r>
          </w:p>
        </w:tc>
        <w:tc>
          <w:tcPr>
            <w:tcW w:type="dxa" w:w="5976"/>
            <w:vAlign w:val="top"/>
            <w:shd w:fill="F7F6FA"/>
            <w:tcMar>
              <w:top w:w="70" w:type="dxa"/>
              <w:start w:w="90" w:type="dxa"/>
              <w:bottom w:w="70" w:type="dxa"/>
              <w:end w:w="90" w:type="dxa"/>
            </w:tcMar>
          </w:tcPr>
          <w:p>
            <w:pPr>
              <w:spacing w:after="20" w:line="240" w:lineRule="auto"/>
            </w:pPr>
            <w:r>
              <w:rPr>
                <w:rFonts w:ascii="Aptos" w:hAnsi="Aptos"/>
                <w:color w:val="20253A"/>
                <w:sz w:val="15"/>
              </w:rPr>
              <w:t>Bash reported Permission denied. The lab-specific command body is not reproduced.</w:t>
            </w:r>
          </w:p>
        </w:tc>
      </w:tr>
      <w:tr>
        <w:trPr>
          <w:cantSplit/>
        </w:trPr>
        <w:tc>
          <w:tcPr>
            <w:tcW w:type="dxa" w:w="2952"/>
            <w:vAlign w:val="top"/>
            <w:shd w:fill="FFFFFF"/>
            <w:tcMar>
              <w:top w:w="70" w:type="dxa"/>
              <w:start w:w="90" w:type="dxa"/>
              <w:bottom w:w="70" w:type="dxa"/>
              <w:end w:w="90" w:type="dxa"/>
            </w:tcMar>
          </w:tcPr>
          <w:p>
            <w:pPr>
              <w:spacing w:after="20" w:line="240" w:lineRule="auto"/>
            </w:pPr>
            <w:r>
              <w:rPr>
                <w:rFonts w:ascii="Aptos" w:hAnsi="Aptos"/>
                <w:color w:val="20253A"/>
                <w:sz w:val="15"/>
              </w:rPr>
              <w:t>Elevated file write followed by `sudo cat`</w:t>
            </w:r>
          </w:p>
        </w:tc>
        <w:tc>
          <w:tcPr>
            <w:tcW w:type="dxa" w:w="1440"/>
            <w:vAlign w:val="top"/>
            <w:shd w:fill="FFFFFF"/>
            <w:tcMar>
              <w:top w:w="70" w:type="dxa"/>
              <w:start w:w="90" w:type="dxa"/>
              <w:bottom w:w="70" w:type="dxa"/>
              <w:end w:w="90" w:type="dxa"/>
            </w:tcMar>
          </w:tcPr>
          <w:p>
            <w:pPr>
              <w:spacing w:after="20" w:line="240" w:lineRule="auto"/>
            </w:pPr>
            <w:r>
              <w:rPr>
                <w:rFonts w:ascii="Aptos" w:hAnsi="Aptos"/>
                <w:color w:val="20253A"/>
                <w:sz w:val="15"/>
              </w:rPr>
              <w:t>OBSERVED</w:t>
            </w:r>
          </w:p>
        </w:tc>
        <w:tc>
          <w:tcPr>
            <w:tcW w:type="dxa" w:w="5976"/>
            <w:vAlign w:val="top"/>
            <w:shd w:fill="FFFFFF"/>
            <w:tcMar>
              <w:top w:w="70" w:type="dxa"/>
              <w:start w:w="90" w:type="dxa"/>
              <w:bottom w:w="70" w:type="dxa"/>
              <w:end w:w="90" w:type="dxa"/>
            </w:tcMar>
          </w:tcPr>
          <w:p>
            <w:pPr>
              <w:spacing w:after="20" w:line="240" w:lineRule="auto"/>
            </w:pPr>
            <w:r>
              <w:rPr>
                <w:rFonts w:ascii="Aptos" w:hAnsi="Aptos"/>
                <w:color w:val="20253A"/>
                <w:sz w:val="15"/>
              </w:rPr>
              <w:t>No visible output was expected because stdout was redirected to `/dev/null`; a subsequent read displayed the saved file. The sensitive lab-specific contents are omitted.</w:t>
            </w:r>
          </w:p>
        </w:tc>
      </w:tr>
      <w:tr>
        <w:trPr>
          <w:cantSplit/>
        </w:trPr>
        <w:tc>
          <w:tcPr>
            <w:tcW w:type="dxa" w:w="2952"/>
            <w:vAlign w:val="top"/>
            <w:shd w:fill="F7F6FA"/>
            <w:tcMar>
              <w:top w:w="70" w:type="dxa"/>
              <w:start w:w="90" w:type="dxa"/>
              <w:bottom w:w="70" w:type="dxa"/>
              <w:end w:w="90" w:type="dxa"/>
            </w:tcMar>
          </w:tcPr>
          <w:p>
            <w:pPr>
              <w:spacing w:after="20" w:line="240" w:lineRule="auto"/>
            </w:pPr>
            <w:r>
              <w:rPr>
                <w:rFonts w:ascii="Aptos" w:hAnsi="Aptos"/>
                <w:color w:val="20253A"/>
                <w:sz w:val="15"/>
              </w:rPr>
              <w:t>Exploit proof / flag capture</w:t>
            </w:r>
          </w:p>
        </w:tc>
        <w:tc>
          <w:tcPr>
            <w:tcW w:type="dxa" w:w="1440"/>
            <w:vAlign w:val="top"/>
            <w:shd w:fill="F7F6FA"/>
            <w:tcMar>
              <w:top w:w="70" w:type="dxa"/>
              <w:start w:w="90" w:type="dxa"/>
              <w:bottom w:w="70" w:type="dxa"/>
              <w:end w:w="90" w:type="dxa"/>
            </w:tcMar>
          </w:tcPr>
          <w:p>
            <w:pPr>
              <w:spacing w:after="20" w:line="240" w:lineRule="auto"/>
            </w:pPr>
            <w:r>
              <w:rPr>
                <w:rFonts w:ascii="Aptos" w:hAnsi="Aptos"/>
                <w:color w:val="20253A"/>
                <w:sz w:val="15"/>
              </w:rPr>
              <w:t>NOT VERIFIED</w:t>
            </w:r>
          </w:p>
        </w:tc>
        <w:tc>
          <w:tcPr>
            <w:tcW w:type="dxa" w:w="5976"/>
            <w:vAlign w:val="top"/>
            <w:shd w:fill="F7F6FA"/>
            <w:tcMar>
              <w:top w:w="70" w:type="dxa"/>
              <w:start w:w="90" w:type="dxa"/>
              <w:bottom w:w="70" w:type="dxa"/>
              <w:end w:w="90" w:type="dxa"/>
            </w:tcMar>
          </w:tcPr>
          <w:p>
            <w:pPr>
              <w:spacing w:after="20" w:line="240" w:lineRule="auto"/>
            </w:pPr>
            <w:r>
              <w:rPr>
                <w:rFonts w:ascii="Aptos" w:hAnsi="Aptos"/>
                <w:color w:val="20253A"/>
                <w:sz w:val="15"/>
              </w:rPr>
              <w:t>No raw proof output, exit status, exploit-context identity, or flag value was preserved in the conversation.</w:t>
            </w:r>
          </w:p>
        </w:tc>
      </w:tr>
    </w:tbl>
    <w:p>
      <w:pPr>
        <w:spacing w:after="0"/>
      </w:pPr>
    </w:p>
    <w:tbl>
      <w:tblPr>
        <w:tblW w:type="auto" w:w="0"/>
        <w:jc w:val="center"/>
        <w:tblLook w:firstColumn="1" w:firstRow="1" w:lastColumn="0" w:lastRow="0" w:noHBand="0" w:noVBand="1" w:val="04A0"/>
      </w:tblPr>
      <w:tblGrid>
        <w:gridCol w:w="9994"/>
      </w:tblGrid>
      <w:tr>
        <w:tc>
          <w:tcPr>
            <w:tcW w:type="dxa" w:w="9994"/>
            <w:shd w:fill="F3F1F8"/>
            <w:tcMar>
              <w:top w:w="140" w:type="dxa"/>
              <w:start w:w="160" w:type="dxa"/>
              <w:bottom w:w="140" w:type="dxa"/>
              <w:end w:w="160" w:type="dxa"/>
            </w:tcMar>
          </w:tcPr>
          <w:p>
            <w:pPr>
              <w:spacing w:after="60"/>
            </w:pPr>
            <w:r>
              <w:rPr>
                <w:b/>
                <w:color w:val="563D7C"/>
                <w:sz w:val="20"/>
              </w:rPr>
              <w:t>Important interpretation</w:t>
            </w:r>
          </w:p>
          <w:p>
            <w:pPr>
              <w:spacing w:after="0"/>
            </w:pPr>
            <w:r>
              <w:rPr>
                <w:sz w:val="18"/>
              </w:rPr>
              <w:t>A host-side file being readable does not prove that the same path is mounted into a container. The mount configuration was not independently verified in the recorded session.</w:t>
            </w:r>
          </w:p>
        </w:tc>
      </w:tr>
    </w:tbl>
    <w:p>
      <w:pPr>
        <w:spacing w:after="0"/>
      </w:pPr>
    </w:p>
    <w:p>
      <w:pPr>
        <w:pStyle w:val="Heading1"/>
      </w:pPr>
      <w:r>
        <w:t>4. Troubleshooting journal</w:t>
      </w:r>
    </w:p>
    <w:p>
      <w:pPr>
        <w:pStyle w:val="Heading2"/>
      </w:pPr>
      <w:r>
        <w:t>Terminal copying was unreliable</w:t>
      </w:r>
    </w:p>
    <w:p>
      <w:r>
        <w:t>The terminal client and shortcut were not identified, so the root cause remains unknown. The robust workaround is to reduce the amount of text needed, use bounded output, and identify the terminal type before assuming a shortcut.</w:t>
      </w:r>
    </w:p>
    <w:p>
      <w:pPr>
        <w:pStyle w:val="Heading2"/>
      </w:pPr>
      <w:r>
        <w:t>Only the first script line appeared</w:t>
      </w:r>
    </w:p>
    <w:p>
      <w:r>
        <w:t>The pager was at the top of the file. Space or the arrow keys move through the content; `q` exits. A pager reads a script rather than executing it. Only the first line was captured, so the rest of the script’s behavior was not verified by this step.</w:t>
      </w:r>
    </w:p>
    <w:p>
      <w:pPr>
        <w:pStyle w:val="Heading2"/>
      </w:pPr>
      <w:r>
        <w:t>Bash showed a `&gt;` continuation prompt</w:t>
      </w:r>
    </w:p>
    <w:p>
      <w:r>
        <w:t>Bash was still collecting input for a multi-line heredoc because the closing delimiter had not been received. Pressing Ctrl+C returned the shell to a normal prompt. General rule: finish or cancel the current shell construct before entering another command.</w:t>
      </w:r>
    </w:p>
    <w:p>
      <w:pPr>
        <w:pStyle w:val="Heading2"/>
      </w:pPr>
      <w:r>
        <w:t>File creation returned Permission denied</w:t>
      </w:r>
    </w:p>
    <w:p>
      <w:r>
        <w:t>The output directory was owned by a web-service account and had mode 775. That mode grants write permission to owner and group, not to other users. The transcript did not establish whether the SSH user belonged to the directory’s group. Check identity and ownership before changing permissions; avoid broad permissions such as 777.</w:t>
      </w:r>
    </w:p>
    <w:p>
      <w:pPr>
        <w:pStyle w:val="Heading2"/>
      </w:pPr>
      <w:r>
        <w:t>Elevated write produced no visible message</w:t>
      </w:r>
    </w:p>
    <w:p>
      <w:r>
        <w:t>The command redirected standard output to `/dev/null`, so no visible output was expected. The subsequent read verified that a file had been written on the host. It did not verify that the container could see the path or that the intended lab action completed.</w:t>
      </w:r>
    </w:p>
    <w:p>
      <w:pPr>
        <w:pStyle w:val="Heading2"/>
      </w:pPr>
      <w:r>
        <w:t>Host and container paths were confused</w:t>
      </w:r>
    </w:p>
    <w:p>
      <w:r>
        <w:t>The host shell and container may have different filesystem views, users, and permissions. Confirm mounts using authorized lab documentation or environment inspection rather than assuming that a path is shared automatically.</w:t>
      </w:r>
    </w:p>
    <w:p>
      <w:pPr>
        <w:pStyle w:val="Heading2"/>
      </w:pPr>
      <w:r>
        <w:t>Reusable diagnostic loop</w:t>
      </w:r>
    </w:p>
    <w:p>
      <w:pPr>
        <w:pStyle w:val="ListNumber"/>
        <w:spacing w:after="40"/>
      </w:pPr>
      <w:r>
        <w:t>Stop after an error and return to a known shell state.</w:t>
      </w:r>
    </w:p>
    <w:p>
      <w:pPr>
        <w:pStyle w:val="ListNumber"/>
        <w:spacing w:after="40"/>
      </w:pPr>
      <w:r>
        <w:t>Classify the failure: shell syntax, permissions, path/mount, service availability, or application behavior.</w:t>
      </w:r>
    </w:p>
    <w:p>
      <w:pPr>
        <w:pStyle w:val="ListNumber"/>
        <w:spacing w:after="40"/>
      </w:pPr>
      <w:r>
        <w:t>Run one minimal diagnostic that tests the current hypothesis.</w:t>
      </w:r>
    </w:p>
    <w:p>
      <w:pPr>
        <w:pStyle w:val="ListNumber"/>
        <w:spacing w:after="40"/>
      </w:pPr>
      <w:r>
        <w:t>Make the smallest evidence-supported correction.</w:t>
      </w:r>
    </w:p>
    <w:p>
      <w:pPr>
        <w:pStyle w:val="ListNumber"/>
        <w:spacing w:after="40"/>
      </w:pPr>
      <w:r>
        <w:t>Verify the change independently and preserve its output.</w:t>
      </w:r>
    </w:p>
    <w:p>
      <w:pPr>
        <w:pStyle w:val="ListNumber"/>
        <w:spacing w:after="40"/>
      </w:pPr>
      <w:r>
        <w:t>State what the evidence proves and what remains uncertain.</w:t>
      </w:r>
    </w:p>
    <w:p>
      <w:pPr>
        <w:pStyle w:val="Heading1"/>
      </w:pPr>
      <w:r>
        <w:t>5. Purple Hat attack-to-defence analysis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563D7C"/>
            <w:tcMar>
              <w:top w:w="100" w:type="dxa"/>
              <w:start w:w="100" w:type="dxa"/>
              <w:bottom w:w="100" w:type="dxa"/>
              <w:end w:w="100" w:type="dxa"/>
            </w:tcMar>
          </w:tcPr>
          <w:p>
            <w:pPr>
              <w:spacing w:after="0"/>
            </w:pPr>
            <w:r>
              <w:rPr>
                <w:b/>
                <w:color w:val="FFFFFF"/>
                <w:sz w:val="15"/>
              </w:rPr>
              <w:t>Stage / objective</w:t>
            </w:r>
          </w:p>
        </w:tc>
        <w:tc>
          <w:tcPr>
            <w:tcW w:type="dxa" w:w="3816"/>
            <w:shd w:fill="563D7C"/>
            <w:tcMar>
              <w:top w:w="100" w:type="dxa"/>
              <w:start w:w="100" w:type="dxa"/>
              <w:bottom w:w="100" w:type="dxa"/>
              <w:end w:w="100" w:type="dxa"/>
            </w:tcMar>
          </w:tcPr>
          <w:p>
            <w:pPr>
              <w:spacing w:after="0"/>
            </w:pPr>
            <w:r>
              <w:rPr>
                <w:b/>
                <w:color w:val="FFFFFF"/>
                <w:sz w:val="15"/>
              </w:rPr>
              <w:t>Potential blue-team evidence</w:t>
            </w:r>
          </w:p>
        </w:tc>
        <w:tc>
          <w:tcPr>
            <w:tcW w:type="dxa" w:w="4392"/>
            <w:shd w:fill="563D7C"/>
            <w:tcMar>
              <w:top w:w="100" w:type="dxa"/>
              <w:start w:w="100" w:type="dxa"/>
              <w:bottom w:w="100" w:type="dxa"/>
              <w:end w:w="100" w:type="dxa"/>
            </w:tcMar>
          </w:tcPr>
          <w:p>
            <w:pPr>
              <w:spacing w:after="0"/>
            </w:pPr>
            <w:r>
              <w:rPr>
                <w:b/>
                <w:color w:val="FFFFFF"/>
                <w:sz w:val="15"/>
              </w:rPr>
              <w:t>Detection hypotheses and limitations</w:t>
            </w:r>
          </w:p>
        </w:tc>
      </w:tr>
      <w:tr>
        <w:trPr>
          <w:cantSplit/>
        </w:trPr>
        <w:tc>
          <w:tcPr>
            <w:tcW w:type="dxa" w:w="2160"/>
            <w:vAlign w:val="top"/>
            <w:shd w:fill="F7F6FA"/>
            <w:tcMar>
              <w:top w:w="70" w:type="dxa"/>
              <w:start w:w="90" w:type="dxa"/>
              <w:bottom w:w="70" w:type="dxa"/>
              <w:end w:w="90" w:type="dxa"/>
            </w:tcMar>
          </w:tcPr>
          <w:p>
            <w:pPr>
              <w:spacing w:after="20" w:line="240" w:lineRule="auto"/>
            </w:pPr>
            <w:r>
              <w:rPr>
                <w:rFonts w:ascii="Aptos" w:hAnsi="Aptos"/>
                <w:color w:val="20253A"/>
                <w:sz w:val="15"/>
              </w:rPr>
              <w:t>Service identification</w:t>
            </w:r>
          </w:p>
        </w:tc>
        <w:tc>
          <w:tcPr>
            <w:tcW w:type="dxa" w:w="3816"/>
            <w:vAlign w:val="top"/>
            <w:shd w:fill="F7F6FA"/>
            <w:tcMar>
              <w:top w:w="70" w:type="dxa"/>
              <w:start w:w="90" w:type="dxa"/>
              <w:bottom w:w="70" w:type="dxa"/>
              <w:end w:w="90" w:type="dxa"/>
            </w:tcMar>
          </w:tcPr>
          <w:p>
            <w:pPr>
              <w:spacing w:after="20" w:line="240" w:lineRule="auto"/>
            </w:pPr>
            <w:r>
              <w:rPr>
                <w:rFonts w:ascii="Aptos" w:hAnsi="Aptos"/>
                <w:color w:val="20253A"/>
                <w:sz w:val="15"/>
              </w:rPr>
              <w:t>Asset inventory, response metadata, reverse-proxy logs</w:t>
            </w:r>
          </w:p>
        </w:tc>
        <w:tc>
          <w:tcPr>
            <w:tcW w:type="dxa" w:w="4392"/>
            <w:vAlign w:val="top"/>
            <w:shd w:fill="F7F6FA"/>
            <w:tcMar>
              <w:top w:w="70" w:type="dxa"/>
              <w:start w:w="90" w:type="dxa"/>
              <w:bottom w:w="70" w:type="dxa"/>
              <w:end w:w="90" w:type="dxa"/>
            </w:tcMar>
          </w:tcPr>
          <w:p>
            <w:pPr>
              <w:spacing w:after="20" w:line="240" w:lineRule="auto"/>
            </w:pPr>
            <w:r>
              <w:rPr>
                <w:rFonts w:ascii="Aptos" w:hAnsi="Aptos"/>
                <w:color w:val="20253A"/>
                <w:sz w:val="15"/>
              </w:rPr>
              <w:t>A version banner helps triage but can be missing or stale. Confirm the deployed runtime directly.</w:t>
            </w:r>
          </w:p>
        </w:tc>
      </w:tr>
      <w:tr>
        <w:trPr>
          <w:cantSplit/>
        </w:trPr>
        <w:tc>
          <w:tcPr>
            <w:tcW w:type="dxa" w:w="2160"/>
            <w:vAlign w:val="top"/>
            <w:shd w:fill="FFFFFF"/>
            <w:tcMar>
              <w:top w:w="70" w:type="dxa"/>
              <w:start w:w="90" w:type="dxa"/>
              <w:bottom w:w="70" w:type="dxa"/>
              <w:end w:w="90" w:type="dxa"/>
            </w:tcMar>
          </w:tcPr>
          <w:p>
            <w:pPr>
              <w:spacing w:after="20" w:line="240" w:lineRule="auto"/>
            </w:pPr>
            <w:r>
              <w:rPr>
                <w:rFonts w:ascii="Aptos" w:hAnsi="Aptos"/>
                <w:color w:val="20253A"/>
                <w:sz w:val="15"/>
              </w:rPr>
              <w:t>Unusual request processing</w:t>
            </w:r>
          </w:p>
        </w:tc>
        <w:tc>
          <w:tcPr>
            <w:tcW w:type="dxa" w:w="3816"/>
            <w:vAlign w:val="top"/>
            <w:shd w:fill="FFFFFF"/>
            <w:tcMar>
              <w:top w:w="70" w:type="dxa"/>
              <w:start w:w="90" w:type="dxa"/>
              <w:bottom w:w="70" w:type="dxa"/>
              <w:end w:w="90" w:type="dxa"/>
            </w:tcMar>
          </w:tcPr>
          <w:p>
            <w:pPr>
              <w:spacing w:after="20" w:line="240" w:lineRule="auto"/>
            </w:pPr>
            <w:r>
              <w:rPr>
                <w:rFonts w:ascii="Aptos" w:hAnsi="Aptos"/>
                <w:color w:val="20253A"/>
                <w:sz w:val="15"/>
              </w:rPr>
              <w:t>Multipart shape/size, field counts, parse errors, abnormal request rates</w:t>
            </w:r>
          </w:p>
        </w:tc>
        <w:tc>
          <w:tcPr>
            <w:tcW w:type="dxa" w:w="4392"/>
            <w:vAlign w:val="top"/>
            <w:shd w:fill="FFFFFF"/>
            <w:tcMar>
              <w:top w:w="70" w:type="dxa"/>
              <w:start w:w="90" w:type="dxa"/>
              <w:bottom w:w="70" w:type="dxa"/>
              <w:end w:w="90" w:type="dxa"/>
            </w:tcMar>
          </w:tcPr>
          <w:p>
            <w:pPr>
              <w:spacing w:after="20" w:line="240" w:lineRule="auto"/>
            </w:pPr>
            <w:r>
              <w:rPr>
                <w:rFonts w:ascii="Aptos" w:hAnsi="Aptos"/>
                <w:color w:val="20253A"/>
                <w:sz w:val="15"/>
              </w:rPr>
              <w:t>Baseline legitimate upload behavior first. Isolated request features often produce false positives.</w:t>
            </w:r>
          </w:p>
        </w:tc>
      </w:tr>
      <w:tr>
        <w:trPr>
          <w:cantSplit/>
        </w:trPr>
        <w:tc>
          <w:tcPr>
            <w:tcW w:type="dxa" w:w="2160"/>
            <w:vAlign w:val="top"/>
            <w:shd w:fill="F7F6FA"/>
            <w:tcMar>
              <w:top w:w="70" w:type="dxa"/>
              <w:start w:w="90" w:type="dxa"/>
              <w:bottom w:w="70" w:type="dxa"/>
              <w:end w:w="90" w:type="dxa"/>
            </w:tcMar>
          </w:tcPr>
          <w:p>
            <w:pPr>
              <w:spacing w:after="20" w:line="240" w:lineRule="auto"/>
            </w:pPr>
            <w:r>
              <w:rPr>
                <w:rFonts w:ascii="Aptos" w:hAnsi="Aptos"/>
                <w:color w:val="20253A"/>
                <w:sz w:val="15"/>
              </w:rPr>
              <w:t>Runtime failure or stale state</w:t>
            </w:r>
          </w:p>
        </w:tc>
        <w:tc>
          <w:tcPr>
            <w:tcW w:type="dxa" w:w="3816"/>
            <w:vAlign w:val="top"/>
            <w:shd w:fill="F7F6FA"/>
            <w:tcMar>
              <w:top w:w="70" w:type="dxa"/>
              <w:start w:w="90" w:type="dxa"/>
              <w:bottom w:w="70" w:type="dxa"/>
              <w:end w:w="90" w:type="dxa"/>
            </w:tcMar>
          </w:tcPr>
          <w:p>
            <w:pPr>
              <w:spacing w:after="20" w:line="240" w:lineRule="auto"/>
            </w:pPr>
            <w:r>
              <w:rPr>
                <w:rFonts w:ascii="Aptos" w:hAnsi="Aptos"/>
                <w:color w:val="20253A"/>
                <w:sz w:val="15"/>
              </w:rPr>
              <w:t>PHP/Apache errors, worker restarts, resource alarms, abnormal response patterns</w:t>
            </w:r>
          </w:p>
        </w:tc>
        <w:tc>
          <w:tcPr>
            <w:tcW w:type="dxa" w:w="4392"/>
            <w:vAlign w:val="top"/>
            <w:shd w:fill="F7F6FA"/>
            <w:tcMar>
              <w:top w:w="70" w:type="dxa"/>
              <w:start w:w="90" w:type="dxa"/>
              <w:bottom w:w="70" w:type="dxa"/>
              <w:end w:w="90" w:type="dxa"/>
            </w:tcMar>
          </w:tcPr>
          <w:p>
            <w:pPr>
              <w:spacing w:after="20" w:line="240" w:lineRule="auto"/>
            </w:pPr>
            <w:r>
              <w:rPr>
                <w:rFonts w:ascii="Aptos" w:hAnsi="Aptos"/>
                <w:color w:val="20253A"/>
                <w:sz w:val="15"/>
              </w:rPr>
              <w:t>Logging differs by SAPI and configuration. No error message does not rule out an attempt.</w:t>
            </w:r>
          </w:p>
        </w:tc>
      </w:tr>
      <w:tr>
        <w:trPr>
          <w:cantSplit/>
        </w:trPr>
        <w:tc>
          <w:tcPr>
            <w:tcW w:type="dxa" w:w="2160"/>
            <w:vAlign w:val="top"/>
            <w:shd w:fill="FFFFFF"/>
            <w:tcMar>
              <w:top w:w="70" w:type="dxa"/>
              <w:start w:w="90" w:type="dxa"/>
              <w:bottom w:w="70" w:type="dxa"/>
              <w:end w:w="90" w:type="dxa"/>
            </w:tcMar>
          </w:tcPr>
          <w:p>
            <w:pPr>
              <w:spacing w:after="20" w:line="240" w:lineRule="auto"/>
            </w:pPr>
            <w:r>
              <w:rPr>
                <w:rFonts w:ascii="Aptos" w:hAnsi="Aptos"/>
                <w:color w:val="20253A"/>
                <w:sz w:val="15"/>
              </w:rPr>
              <w:t>Possible command execution</w:t>
            </w:r>
          </w:p>
        </w:tc>
        <w:tc>
          <w:tcPr>
            <w:tcW w:type="dxa" w:w="3816"/>
            <w:vAlign w:val="top"/>
            <w:shd w:fill="FFFFFF"/>
            <w:tcMar>
              <w:top w:w="70" w:type="dxa"/>
              <w:start w:w="90" w:type="dxa"/>
              <w:bottom w:w="70" w:type="dxa"/>
              <w:end w:w="90" w:type="dxa"/>
            </w:tcMar>
          </w:tcPr>
          <w:p>
            <w:pPr>
              <w:spacing w:after="20" w:line="240" w:lineRule="auto"/>
            </w:pPr>
            <w:r>
              <w:rPr>
                <w:rFonts w:ascii="Aptos" w:hAnsi="Aptos"/>
                <w:color w:val="20253A"/>
                <w:sz w:val="15"/>
              </w:rPr>
              <w:t>Web-worker child processes, shell utilities, unexpected file writes, outbound connections, container events</w:t>
            </w:r>
          </w:p>
        </w:tc>
        <w:tc>
          <w:tcPr>
            <w:tcW w:type="dxa" w:w="4392"/>
            <w:vAlign w:val="top"/>
            <w:shd w:fill="FFFFFF"/>
            <w:tcMar>
              <w:top w:w="70" w:type="dxa"/>
              <w:start w:w="90" w:type="dxa"/>
              <w:bottom w:w="70" w:type="dxa"/>
              <w:end w:w="90" w:type="dxa"/>
            </w:tcMar>
          </w:tcPr>
          <w:p>
            <w:pPr>
              <w:spacing w:after="20" w:line="240" w:lineRule="auto"/>
            </w:pPr>
            <w:r>
              <w:rPr>
                <w:rFonts w:ascii="Aptos" w:hAnsi="Aptos"/>
                <w:color w:val="20253A"/>
                <w:sz w:val="15"/>
              </w:rPr>
              <w:t>Correlate process lineage and timestamps. This telemetry was not collected in the lab transcript.</w:t>
            </w:r>
          </w:p>
        </w:tc>
      </w:tr>
      <w:tr>
        <w:trPr>
          <w:cantSplit/>
        </w:trPr>
        <w:tc>
          <w:tcPr>
            <w:tcW w:type="dxa" w:w="2160"/>
            <w:vAlign w:val="top"/>
            <w:shd w:fill="F7F6FA"/>
            <w:tcMar>
              <w:top w:w="70" w:type="dxa"/>
              <w:start w:w="90" w:type="dxa"/>
              <w:bottom w:w="70" w:type="dxa"/>
              <w:end w:w="90" w:type="dxa"/>
            </w:tcMar>
          </w:tcPr>
          <w:p>
            <w:pPr>
              <w:spacing w:after="20" w:line="240" w:lineRule="auto"/>
            </w:pPr>
            <w:r>
              <w:rPr>
                <w:rFonts w:ascii="Aptos" w:hAnsi="Aptos"/>
                <w:color w:val="20253A"/>
                <w:sz w:val="15"/>
              </w:rPr>
              <w:t>Potential post-exploitation</w:t>
            </w:r>
          </w:p>
        </w:tc>
        <w:tc>
          <w:tcPr>
            <w:tcW w:type="dxa" w:w="3816"/>
            <w:vAlign w:val="top"/>
            <w:shd w:fill="F7F6FA"/>
            <w:tcMar>
              <w:top w:w="70" w:type="dxa"/>
              <w:start w:w="90" w:type="dxa"/>
              <w:bottom w:w="70" w:type="dxa"/>
              <w:end w:w="90" w:type="dxa"/>
            </w:tcMar>
          </w:tcPr>
          <w:p>
            <w:pPr>
              <w:spacing w:after="20" w:line="240" w:lineRule="auto"/>
            </w:pPr>
            <w:r>
              <w:rPr>
                <w:rFonts w:ascii="Aptos" w:hAnsi="Aptos"/>
                <w:color w:val="20253A"/>
                <w:sz w:val="15"/>
              </w:rPr>
              <w:t>Unexpected file access, new files, access to secrets, suspicious egress</w:t>
            </w:r>
          </w:p>
        </w:tc>
        <w:tc>
          <w:tcPr>
            <w:tcW w:type="dxa" w:w="4392"/>
            <w:vAlign w:val="top"/>
            <w:shd w:fill="F7F6FA"/>
            <w:tcMar>
              <w:top w:w="70" w:type="dxa"/>
              <w:start w:w="90" w:type="dxa"/>
              <w:bottom w:w="70" w:type="dxa"/>
              <w:end w:w="90" w:type="dxa"/>
            </w:tcMar>
          </w:tcPr>
          <w:p>
            <w:pPr>
              <w:spacing w:after="20" w:line="240" w:lineRule="auto"/>
            </w:pPr>
            <w:r>
              <w:rPr>
                <w:rFonts w:ascii="Aptos" w:hAnsi="Aptos"/>
                <w:color w:val="20253A"/>
                <w:sz w:val="15"/>
              </w:rPr>
              <w:t>Preserve evidence before rebuilding. No such findings were confirmed in this session.</w:t>
            </w:r>
          </w:p>
        </w:tc>
      </w:tr>
    </w:tbl>
    <w:p>
      <w:pPr>
        <w:spacing w:after="0"/>
      </w:pPr>
    </w:p>
    <w:p>
      <w:pPr>
        <w:pStyle w:val="Heading2"/>
      </w:pPr>
      <w:r>
        <w:t>What was observed versus hypothesized</w:t>
      </w:r>
    </w:p>
    <w:p>
      <w:r>
        <w:t>Observed: a local HTTP response with a successful status, technology-identification headers, shell-user output, and host filesystem ownership/mode information. Not collected: packet captures, PHP/Apache logs, process lineage, container audit records, or an independently verified exploit proof transcript. Detection concepts in this section are hypotheses for future testing, not claimed findings.</w:t>
      </w:r>
    </w:p>
    <w:p>
      <w:r>
        <w:br w:type="page"/>
      </w:r>
    </w:p>
    <w:p>
      <w:pPr>
        <w:pStyle w:val="Heading2"/>
      </w:pPr>
      <w:r>
        <w:t>Incident response priorities</w:t>
      </w:r>
    </w:p>
    <w:p>
      <w:pPr>
        <w:pStyle w:val="ListBullet"/>
        <w:spacing w:after="40"/>
      </w:pPr>
      <w:r>
        <w:t>Inventory every exposed PHP runtime, SAPI, worker pool, container image, and bundled runtime.</w:t>
      </w:r>
    </w:p>
    <w:p>
      <w:pPr>
        <w:pStyle w:val="ListBullet"/>
        <w:spacing w:after="40"/>
      </w:pPr>
      <w:r>
        <w:t>Preserve reverse-proxy, web, PHP, container, process, filesystem, and egress evidence where available.</w:t>
      </w:r>
    </w:p>
    <w:p>
      <w:pPr>
        <w:pStyle w:val="ListBullet"/>
        <w:spacing w:after="40"/>
      </w:pPr>
      <w:r>
        <w:t>Reduce exposure while preparing the vendor fix; keep testing within authorized environments.</w:t>
      </w:r>
    </w:p>
    <w:p>
      <w:pPr>
        <w:pStyle w:val="ListBullet"/>
        <w:spacing w:after="40"/>
      </w:pPr>
      <w:r>
        <w:t>Patch and redeploy trusted artifacts; configuration changes are not a substitute for a complete fix.</w:t>
      </w:r>
    </w:p>
    <w:p>
      <w:pPr>
        <w:pStyle w:val="ListBullet"/>
        <w:spacing w:after="40"/>
      </w:pPr>
      <w:r>
        <w:t>If exploitation is plausible, investigate persistence and lateral movement, and rotate potentially exposed secrets from a trusted environment.</w:t>
      </w:r>
    </w:p>
    <w:p>
      <w:pPr>
        <w:pStyle w:val="Heading1"/>
      </w:pPr>
      <w:r>
        <w:t>6. Remediation and validation checklist</w:t>
      </w:r>
    </w:p>
    <w:p>
      <w:pPr>
        <w:spacing w:after="40"/>
        <w:ind w:left="216"/>
      </w:pPr>
      <w:r>
        <w:t>☐ Inventory runtime versions, SAPIs, package sources, image digests, replicas, and worker pools.</w:t>
      </w:r>
    </w:p>
    <w:p>
      <w:pPr>
        <w:spacing w:after="40"/>
        <w:ind w:left="216"/>
      </w:pPr>
      <w:r>
        <w:t>☐ Follow the official PHP advisory and the OS/distribution vendor’s supported security update path.</w:t>
      </w:r>
    </w:p>
    <w:p>
      <w:pPr>
        <w:spacing w:after="40"/>
        <w:ind w:left="216"/>
      </w:pPr>
      <w:r>
        <w:t>☐ Rebuild containers from trusted patched images; do not assume a host patch updates bundled runtimes.</w:t>
      </w:r>
    </w:p>
    <w:p>
      <w:pPr>
        <w:spacing w:after="40"/>
        <w:ind w:left="216"/>
      </w:pPr>
      <w:r>
        <w:t>☐ Apply configuration-level exposure reduction only as directed by official guidance and treat it as defense-in-depth.</w:t>
      </w:r>
    </w:p>
    <w:p>
      <w:pPr>
        <w:spacing w:after="40"/>
        <w:ind w:left="216"/>
      </w:pPr>
      <w:r>
        <w:t>☐ Restart affected services/workers when required and verify the running runtime on every replica.</w:t>
      </w:r>
    </w:p>
    <w:p>
      <w:pPr>
        <w:spacing w:after="40"/>
        <w:ind w:left="216"/>
      </w:pPr>
      <w:r>
        <w:t>☐ Run health checks and regression tests for upload/session workflows.</w:t>
      </w:r>
    </w:p>
    <w:p>
      <w:pPr>
        <w:spacing w:after="40"/>
        <w:ind w:left="216"/>
      </w:pPr>
      <w:r>
        <w:t>☐ Check that expected logs and process monitoring still work.</w:t>
      </w:r>
    </w:p>
    <w:p>
      <w:pPr>
        <w:spacing w:after="40"/>
        <w:ind w:left="216"/>
      </w:pPr>
      <w:r>
        <w:t>☐ Record before/after package or image evidence, timestamps, and verification results.</w:t>
      </w:r>
    </w:p>
    <w:p>
      <w:pPr>
        <w:spacing w:after="40"/>
        <w:ind w:left="216"/>
      </w:pPr>
      <w:r>
        <w:t>☐ If compromise is suspected, preserve evidence and assess persistence, exposed secrets, and egress before declaring recovery.</w:t>
      </w:r>
    </w:p>
    <w:tbl>
      <w:tblPr>
        <w:tblW w:type="auto" w:w="0"/>
        <w:jc w:val="center"/>
        <w:tblLook w:firstColumn="1" w:firstRow="1" w:lastColumn="0" w:lastRow="0" w:noHBand="0" w:noVBand="1" w:val="04A0"/>
      </w:tblPr>
      <w:tblGrid>
        <w:gridCol w:w="9994"/>
      </w:tblGrid>
      <w:tr>
        <w:tc>
          <w:tcPr>
            <w:tcW w:type="dxa" w:w="9994"/>
            <w:shd w:fill="EEF6F6"/>
            <w:tcMar>
              <w:top w:w="140" w:type="dxa"/>
              <w:start w:w="160" w:type="dxa"/>
              <w:bottom w:w="140" w:type="dxa"/>
              <w:end w:w="160" w:type="dxa"/>
            </w:tcMar>
          </w:tcPr>
          <w:p>
            <w:pPr>
              <w:spacing w:after="60"/>
            </w:pPr>
            <w:r>
              <w:rPr>
                <w:b/>
                <w:color w:val="0F766E"/>
                <w:sz w:val="20"/>
              </w:rPr>
              <w:t>Source of truth</w:t>
            </w:r>
          </w:p>
          <w:p>
            <w:pPr>
              <w:spacing w:after="0"/>
            </w:pPr>
            <w:r>
              <w:rPr>
                <w:sz w:val="18"/>
              </w:rPr>
              <w:t>Use the official PHP advisory in the References section for current fixed releases and detailed branch-specific mitigation notes. The advisory states that updating is the complete fix; other controls reduce exposure only.</w:t>
            </w:r>
          </w:p>
        </w:tc>
      </w:tr>
    </w:tbl>
    <w:p>
      <w:pPr>
        <w:spacing w:after="0"/>
      </w:pPr>
    </w:p>
    <w:p>
      <w:pPr>
        <w:pStyle w:val="Heading1"/>
      </w:pPr>
      <w:r>
        <w:t>7. Interview preparation</w:t>
      </w:r>
    </w:p>
    <w:p>
      <w:pPr>
        <w:pStyle w:val="Heading3"/>
      </w:pPr>
      <w:r>
        <w:t>Q1. Why can a runtime vulnerability bypass application-level validation?</w:t>
      </w:r>
    </w:p>
    <w:p>
      <w:r>
        <w:t>Model answer: Because the runtime may parse and initialize a request before application code and route validation execute. A flaw in that earlier layer can be reached without triggering the application’s own checks.</w:t>
      </w:r>
    </w:p>
    <w:p>
      <w:pPr>
        <w:pStyle w:val="Heading3"/>
      </w:pPr>
      <w:r>
        <w:t>Q2. What can go wrong when cleanup handles partially initialized state?</w:t>
      </w:r>
    </w:p>
    <w:p>
      <w:r>
        <w:t>Model answer: Cleanup may assume fields or pointers are valid when initialization did not complete. That can cause invalid access, corruption, crashes, or more serious security impact.</w:t>
      </w:r>
    </w:p>
    <w:p>
      <w:pPr>
        <w:pStyle w:val="Heading3"/>
      </w:pPr>
      <w:r>
        <w:t>Q3. What does ASLR provide, and what does it not provide?</w:t>
      </w:r>
    </w:p>
    <w:p>
      <w:r>
        <w:t>Model answer: It makes memory-address prediction harder. It does not repair the vulnerability, guarantee that exploitation is impossible, or replace patching.</w:t>
      </w:r>
    </w:p>
    <w:p>
      <w:pPr>
        <w:pStyle w:val="Heading3"/>
      </w:pPr>
      <w:r>
        <w:t>Q4. What does an HTTP 200 response prove?</w:t>
      </w:r>
    </w:p>
    <w:p>
      <w:r>
        <w:t>Model answer: Only that an HTTP request received a successful-status response. It does not prove the application is secure or that an exploit worked.</w:t>
      </w:r>
    </w:p>
    <w:p>
      <w:pPr>
        <w:pStyle w:val="Heading3"/>
      </w:pPr>
      <w:r>
        <w:t>Q5. Why are technology headers useful but insufficient?</w:t>
      </w:r>
    </w:p>
    <w:p>
      <w:r>
        <w:t>Model answer: They can assist inventory and triage, but headers may be suppressed, rewritten, or stale. Verify the actual runtime/package in the deployed system.</w:t>
      </w:r>
    </w:p>
    <w:p>
      <w:pPr>
        <w:pStyle w:val="Heading3"/>
      </w:pPr>
      <w:r>
        <w:t>Q6. How do directory permissions differ from file permissions?</w:t>
      </w:r>
    </w:p>
    <w:p>
      <w:r>
        <w:t>Model answer: Directory write permission governs creating/removing entries; read and execute affect listing and traversal. A mode of 775 gives write to owner/group, not other users.</w:t>
      </w:r>
    </w:p>
    <w:p>
      <w:pPr>
        <w:pStyle w:val="Heading3"/>
      </w:pPr>
      <w:r>
        <w:t>Q7. Why must host/container paths be verified?</w:t>
      </w:r>
    </w:p>
    <w:p>
      <w:r>
        <w:t>Model answer: Containers have their own filesystem namespace. A host path is visible inside the container only through an applicable mount or other explicit sharing mechanism.</w:t>
      </w:r>
    </w:p>
    <w:p>
      <w:pPr>
        <w:pStyle w:val="Heading3"/>
      </w:pPr>
      <w:r>
        <w:t>Q8. What telemetry could help detect command execution from a web service?</w:t>
      </w:r>
    </w:p>
    <w:p>
      <w:r>
        <w:t>Model answer: Process lineage showing a web worker spawning unexpected shells/utilities, combined with request timing, file activity, container events, and egress anomalies. Baselines and correlation reduce false positives.</w:t>
      </w:r>
    </w:p>
    <w:p>
      <w:pPr>
        <w:pStyle w:val="Heading3"/>
      </w:pPr>
      <w:r>
        <w:t>Q9. What should be preserved before rebuilding a potentially compromised container?</w:t>
      </w:r>
    </w:p>
    <w:p>
      <w:r>
        <w:t>Model answer: Relevant access/error logs, container events, process telemetry, filesystem timestamps, image identifiers, and outbound connection evidence, subject to policy and privacy requirements.</w:t>
      </w:r>
    </w:p>
    <w:p>
      <w:pPr>
        <w:pStyle w:val="Heading3"/>
      </w:pPr>
      <w:r>
        <w:t>Q10. How would you verify that a patch is fully deployed?</w:t>
      </w:r>
    </w:p>
    <w:p>
      <w:r>
        <w:t>Model answer: Check the actual runtime/package and image digest on all replicas and worker pools, restart where required, run health/regression tests, and save timestamped before/after evidence.</w:t>
      </w:r>
    </w:p>
    <w:p>
      <w:pPr>
        <w:pStyle w:val="Heading3"/>
      </w:pPr>
      <w:r>
        <w:t>Q11. Why are configuration mitigations not always a complete fix?</w:t>
      </w:r>
    </w:p>
    <w:p>
      <w:r>
        <w:t>Model answer: They may block a known path but leave other variants or the underlying runtime flaw. Follow the vendor’s advisory and patch the runtime.</w:t>
      </w:r>
    </w:p>
    <w:p>
      <w:pPr>
        <w:pStyle w:val="Heading3"/>
      </w:pPr>
      <w:r>
        <w:t>Q12. How do you prevent an investigation report from overstating results?</w:t>
      </w:r>
    </w:p>
    <w:p>
      <w:r>
        <w:t>Model answer: Label observed, user-reported, unverified, and hypothesized items separately; quote raw output where appropriate; state limitations and never invent proof or artifacts.</w:t>
      </w:r>
    </w:p>
    <w:p>
      <w:pPr>
        <w:pStyle w:val="Heading1"/>
      </w:pPr>
      <w:r>
        <w:t>8. Glossary and revision sheet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563D7C"/>
            <w:tcMar>
              <w:top w:w="100" w:type="dxa"/>
              <w:start w:w="100" w:type="dxa"/>
              <w:bottom w:w="100" w:type="dxa"/>
              <w:end w:w="100" w:type="dxa"/>
            </w:tcMar>
          </w:tcPr>
          <w:p>
            <w:pPr>
              <w:spacing w:after="0"/>
            </w:pPr>
            <w:r>
              <w:rPr>
                <w:b/>
                <w:color w:val="FFFFFF"/>
                <w:sz w:val="16"/>
              </w:rPr>
              <w:t>Term</w:t>
            </w:r>
          </w:p>
        </w:tc>
        <w:tc>
          <w:tcPr>
            <w:tcW w:type="dxa" w:w="7992"/>
            <w:shd w:fill="563D7C"/>
            <w:tcMar>
              <w:top w:w="100" w:type="dxa"/>
              <w:start w:w="100" w:type="dxa"/>
              <w:bottom w:w="100" w:type="dxa"/>
              <w:end w:w="100" w:type="dxa"/>
            </w:tcMar>
          </w:tcPr>
          <w:p>
            <w:pPr>
              <w:spacing w:after="0"/>
            </w:pPr>
            <w:r>
              <w:rPr>
                <w:b/>
                <w:color w:val="FFFFFF"/>
                <w:sz w:val="16"/>
              </w:rPr>
              <w:t>Concise definition</w:t>
            </w:r>
          </w:p>
        </w:tc>
      </w:tr>
      <w:tr>
        <w:trPr>
          <w:cantSplit/>
        </w:trPr>
        <w:tc>
          <w:tcPr>
            <w:tcW w:type="dxa" w:w="2376"/>
            <w:vAlign w:val="top"/>
            <w:shd w:fill="F7F6FA"/>
            <w:tcMar>
              <w:top w:w="70" w:type="dxa"/>
              <w:start w:w="90" w:type="dxa"/>
              <w:bottom w:w="70" w:type="dxa"/>
              <w:end w:w="90" w:type="dxa"/>
            </w:tcMar>
          </w:tcPr>
          <w:p>
            <w:pPr>
              <w:spacing w:after="20" w:line="240" w:lineRule="auto"/>
            </w:pPr>
            <w:r>
              <w:rPr>
                <w:rFonts w:ascii="Aptos" w:hAnsi="Aptos"/>
                <w:color w:val="20253A"/>
                <w:sz w:val="16"/>
              </w:rPr>
              <w:t>ASLR</w:t>
            </w:r>
          </w:p>
        </w:tc>
        <w:tc>
          <w:tcPr>
            <w:tcW w:type="dxa" w:w="7992"/>
            <w:vAlign w:val="top"/>
            <w:shd w:fill="F7F6FA"/>
            <w:tcMar>
              <w:top w:w="70" w:type="dxa"/>
              <w:start w:w="90" w:type="dxa"/>
              <w:bottom w:w="70" w:type="dxa"/>
              <w:end w:w="90" w:type="dxa"/>
            </w:tcMar>
          </w:tcPr>
          <w:p>
            <w:pPr>
              <w:spacing w:after="20" w:line="240" w:lineRule="auto"/>
            </w:pPr>
            <w:r>
              <w:rPr>
                <w:rFonts w:ascii="Aptos" w:hAnsi="Aptos"/>
                <w:color w:val="20253A"/>
                <w:sz w:val="16"/>
              </w:rPr>
              <w:t>Address Space Layout Randomization; varies memory placement to hinder address prediction.</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color w:val="20253A"/>
                <w:sz w:val="16"/>
              </w:rPr>
              <w:t>CVE</w:t>
            </w:r>
          </w:p>
        </w:tc>
        <w:tc>
          <w:tcPr>
            <w:tcW w:type="dxa" w:w="7992"/>
            <w:vAlign w:val="top"/>
            <w:shd w:fill="FFFFFF"/>
            <w:tcMar>
              <w:top w:w="70" w:type="dxa"/>
              <w:start w:w="90" w:type="dxa"/>
              <w:bottom w:w="70" w:type="dxa"/>
              <w:end w:w="90" w:type="dxa"/>
            </w:tcMar>
          </w:tcPr>
          <w:p>
            <w:pPr>
              <w:spacing w:after="20" w:line="240" w:lineRule="auto"/>
            </w:pPr>
            <w:r>
              <w:rPr>
                <w:rFonts w:ascii="Aptos" w:hAnsi="Aptos"/>
                <w:color w:val="20253A"/>
                <w:sz w:val="16"/>
              </w:rPr>
              <w:t>Common Vulnerabilities and Exposures identifier for a publicly tracked vulnerability.</w:t>
            </w:r>
          </w:p>
        </w:tc>
      </w:tr>
      <w:tr>
        <w:trPr>
          <w:cantSplit/>
        </w:trPr>
        <w:tc>
          <w:tcPr>
            <w:tcW w:type="dxa" w:w="2376"/>
            <w:vAlign w:val="top"/>
            <w:shd w:fill="F7F6FA"/>
            <w:tcMar>
              <w:top w:w="70" w:type="dxa"/>
              <w:start w:w="90" w:type="dxa"/>
              <w:bottom w:w="70" w:type="dxa"/>
              <w:end w:w="90" w:type="dxa"/>
            </w:tcMar>
          </w:tcPr>
          <w:p>
            <w:pPr>
              <w:spacing w:after="20" w:line="240" w:lineRule="auto"/>
            </w:pPr>
            <w:r>
              <w:rPr>
                <w:rFonts w:ascii="Aptos" w:hAnsi="Aptos"/>
                <w:color w:val="20253A"/>
                <w:sz w:val="16"/>
              </w:rPr>
              <w:t>CWE</w:t>
            </w:r>
          </w:p>
        </w:tc>
        <w:tc>
          <w:tcPr>
            <w:tcW w:type="dxa" w:w="7992"/>
            <w:vAlign w:val="top"/>
            <w:shd w:fill="F7F6FA"/>
            <w:tcMar>
              <w:top w:w="70" w:type="dxa"/>
              <w:start w:w="90" w:type="dxa"/>
              <w:bottom w:w="70" w:type="dxa"/>
              <w:end w:w="90" w:type="dxa"/>
            </w:tcMar>
          </w:tcPr>
          <w:p>
            <w:pPr>
              <w:spacing w:after="20" w:line="240" w:lineRule="auto"/>
            </w:pPr>
            <w:r>
              <w:rPr>
                <w:rFonts w:ascii="Aptos" w:hAnsi="Aptos"/>
                <w:color w:val="20253A"/>
                <w:sz w:val="16"/>
              </w:rPr>
              <w:t>Common Weakness Enumeration taxonomy for classes of software weakness.</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color w:val="20253A"/>
                <w:sz w:val="16"/>
              </w:rPr>
              <w:t>OOM</w:t>
            </w:r>
          </w:p>
        </w:tc>
        <w:tc>
          <w:tcPr>
            <w:tcW w:type="dxa" w:w="7992"/>
            <w:vAlign w:val="top"/>
            <w:shd w:fill="FFFFFF"/>
            <w:tcMar>
              <w:top w:w="70" w:type="dxa"/>
              <w:start w:w="90" w:type="dxa"/>
              <w:bottom w:w="70" w:type="dxa"/>
              <w:end w:w="90" w:type="dxa"/>
            </w:tcMar>
          </w:tcPr>
          <w:p>
            <w:pPr>
              <w:spacing w:after="20" w:line="240" w:lineRule="auto"/>
            </w:pPr>
            <w:r>
              <w:rPr>
                <w:rFonts w:ascii="Aptos" w:hAnsi="Aptos"/>
                <w:color w:val="20253A"/>
                <w:sz w:val="16"/>
              </w:rPr>
              <w:t>Out of memory; a resource failure that may exercise exceptional runtime code paths.</w:t>
            </w:r>
          </w:p>
        </w:tc>
      </w:tr>
      <w:tr>
        <w:trPr>
          <w:cantSplit/>
        </w:trPr>
        <w:tc>
          <w:tcPr>
            <w:tcW w:type="dxa" w:w="2376"/>
            <w:vAlign w:val="top"/>
            <w:shd w:fill="F7F6FA"/>
            <w:tcMar>
              <w:top w:w="70" w:type="dxa"/>
              <w:start w:w="90" w:type="dxa"/>
              <w:bottom w:w="70" w:type="dxa"/>
              <w:end w:w="90" w:type="dxa"/>
            </w:tcMar>
          </w:tcPr>
          <w:p>
            <w:pPr>
              <w:spacing w:after="20" w:line="240" w:lineRule="auto"/>
            </w:pPr>
            <w:r>
              <w:rPr>
                <w:rFonts w:ascii="Aptos" w:hAnsi="Aptos"/>
                <w:color w:val="20253A"/>
                <w:sz w:val="16"/>
              </w:rPr>
              <w:t>RCE</w:t>
            </w:r>
          </w:p>
        </w:tc>
        <w:tc>
          <w:tcPr>
            <w:tcW w:type="dxa" w:w="7992"/>
            <w:vAlign w:val="top"/>
            <w:shd w:fill="F7F6FA"/>
            <w:tcMar>
              <w:top w:w="70" w:type="dxa"/>
              <w:start w:w="90" w:type="dxa"/>
              <w:bottom w:w="70" w:type="dxa"/>
              <w:end w:w="90" w:type="dxa"/>
            </w:tcMar>
          </w:tcPr>
          <w:p>
            <w:pPr>
              <w:spacing w:after="20" w:line="240" w:lineRule="auto"/>
            </w:pPr>
            <w:r>
              <w:rPr>
                <w:rFonts w:ascii="Aptos" w:hAnsi="Aptos"/>
                <w:color w:val="20253A"/>
                <w:sz w:val="16"/>
              </w:rPr>
              <w:t>Remote code execution; attacker-controlled code or commands execute on a target.</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color w:val="20253A"/>
                <w:sz w:val="16"/>
              </w:rPr>
              <w:t>SAPI</w:t>
            </w:r>
          </w:p>
        </w:tc>
        <w:tc>
          <w:tcPr>
            <w:tcW w:type="dxa" w:w="7992"/>
            <w:vAlign w:val="top"/>
            <w:shd w:fill="FFFFFF"/>
            <w:tcMar>
              <w:top w:w="70" w:type="dxa"/>
              <w:start w:w="90" w:type="dxa"/>
              <w:bottom w:w="70" w:type="dxa"/>
              <w:end w:w="90" w:type="dxa"/>
            </w:tcMar>
          </w:tcPr>
          <w:p>
            <w:pPr>
              <w:spacing w:after="20" w:line="240" w:lineRule="auto"/>
            </w:pPr>
            <w:r>
              <w:rPr>
                <w:rFonts w:ascii="Aptos" w:hAnsi="Aptos"/>
                <w:color w:val="20253A"/>
                <w:sz w:val="16"/>
              </w:rPr>
              <w:t>The interface through which PHP runs, such as an Apache module or PHP-FPM.</w:t>
            </w:r>
          </w:p>
        </w:tc>
      </w:tr>
      <w:tr>
        <w:trPr>
          <w:cantSplit/>
        </w:trPr>
        <w:tc>
          <w:tcPr>
            <w:tcW w:type="dxa" w:w="2376"/>
            <w:vAlign w:val="top"/>
            <w:shd w:fill="F7F6FA"/>
            <w:tcMar>
              <w:top w:w="70" w:type="dxa"/>
              <w:start w:w="90" w:type="dxa"/>
              <w:bottom w:w="70" w:type="dxa"/>
              <w:end w:w="90" w:type="dxa"/>
            </w:tcMar>
          </w:tcPr>
          <w:p>
            <w:pPr>
              <w:spacing w:after="20" w:line="240" w:lineRule="auto"/>
            </w:pPr>
            <w:r>
              <w:rPr>
                <w:rFonts w:ascii="Aptos" w:hAnsi="Aptos"/>
                <w:color w:val="20253A"/>
                <w:sz w:val="16"/>
              </w:rPr>
              <w:t>UAF</w:t>
            </w:r>
          </w:p>
        </w:tc>
        <w:tc>
          <w:tcPr>
            <w:tcW w:type="dxa" w:w="7992"/>
            <w:vAlign w:val="top"/>
            <w:shd w:fill="F7F6FA"/>
            <w:tcMar>
              <w:top w:w="70" w:type="dxa"/>
              <w:start w:w="90" w:type="dxa"/>
              <w:bottom w:w="70" w:type="dxa"/>
              <w:end w:w="90" w:type="dxa"/>
            </w:tcMar>
          </w:tcPr>
          <w:p>
            <w:pPr>
              <w:spacing w:after="20" w:line="240" w:lineRule="auto"/>
            </w:pPr>
            <w:r>
              <w:rPr>
                <w:rFonts w:ascii="Aptos" w:hAnsi="Aptos"/>
                <w:color w:val="20253A"/>
                <w:sz w:val="16"/>
              </w:rPr>
              <w:t>Use-after-free; code accesses an object after its backing memory has been released.</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color w:val="20253A"/>
                <w:sz w:val="16"/>
              </w:rPr>
              <w:t>Container mount</w:t>
            </w:r>
          </w:p>
        </w:tc>
        <w:tc>
          <w:tcPr>
            <w:tcW w:type="dxa" w:w="7992"/>
            <w:vAlign w:val="top"/>
            <w:shd w:fill="FFFFFF"/>
            <w:tcMar>
              <w:top w:w="70" w:type="dxa"/>
              <w:start w:w="90" w:type="dxa"/>
              <w:bottom w:w="70" w:type="dxa"/>
              <w:end w:w="90" w:type="dxa"/>
            </w:tcMar>
          </w:tcPr>
          <w:p>
            <w:pPr>
              <w:spacing w:after="20" w:line="240" w:lineRule="auto"/>
            </w:pPr>
            <w:r>
              <w:rPr>
                <w:rFonts w:ascii="Aptos" w:hAnsi="Aptos"/>
                <w:color w:val="20253A"/>
                <w:sz w:val="16"/>
              </w:rPr>
              <w:t>A mapping that makes a host or other filesystem path visible inside a container.</w:t>
            </w:r>
          </w:p>
        </w:tc>
      </w:tr>
      <w:tr>
        <w:trPr>
          <w:cantSplit/>
        </w:trPr>
        <w:tc>
          <w:tcPr>
            <w:tcW w:type="dxa" w:w="2376"/>
            <w:vAlign w:val="top"/>
            <w:shd w:fill="F7F6FA"/>
            <w:tcMar>
              <w:top w:w="70" w:type="dxa"/>
              <w:start w:w="90" w:type="dxa"/>
              <w:bottom w:w="70" w:type="dxa"/>
              <w:end w:w="90" w:type="dxa"/>
            </w:tcMar>
          </w:tcPr>
          <w:p>
            <w:pPr>
              <w:spacing w:after="20" w:line="240" w:lineRule="auto"/>
            </w:pPr>
            <w:r>
              <w:rPr>
                <w:rFonts w:ascii="Aptos" w:hAnsi="Aptos"/>
                <w:color w:val="20253A"/>
                <w:sz w:val="16"/>
              </w:rPr>
              <w:t>Evidence confidence</w:t>
            </w:r>
          </w:p>
        </w:tc>
        <w:tc>
          <w:tcPr>
            <w:tcW w:type="dxa" w:w="7992"/>
            <w:vAlign w:val="top"/>
            <w:shd w:fill="F7F6FA"/>
            <w:tcMar>
              <w:top w:w="70" w:type="dxa"/>
              <w:start w:w="90" w:type="dxa"/>
              <w:bottom w:w="70" w:type="dxa"/>
              <w:end w:w="90" w:type="dxa"/>
            </w:tcMar>
          </w:tcPr>
          <w:p>
            <w:pPr>
              <w:spacing w:after="20" w:line="240" w:lineRule="auto"/>
            </w:pPr>
            <w:r>
              <w:rPr>
                <w:rFonts w:ascii="Aptos" w:hAnsi="Aptos"/>
                <w:color w:val="20253A"/>
                <w:sz w:val="16"/>
              </w:rPr>
              <w:t>How strongly a claim is supported by captured output, logs, or repeatable tests.</w:t>
            </w:r>
          </w:p>
        </w:tc>
      </w:tr>
    </w:tbl>
    <w:p>
      <w:pPr>
        <w:spacing w:after="0"/>
      </w:pPr>
    </w:p>
    <w:p>
      <w:pPr>
        <w:pStyle w:val="Heading2"/>
      </w:pPr>
      <w:r>
        <w:t>Five reminders before an interview</w:t>
      </w:r>
    </w:p>
    <w:p>
      <w:pPr>
        <w:pStyle w:val="ListBullet"/>
        <w:spacing w:after="40"/>
      </w:pPr>
      <w:r>
        <w:t>Do not conflate a reachable service, a vulnerable version, and successful exploitation; they are distinct claims.</w:t>
      </w:r>
    </w:p>
    <w:p>
      <w:pPr>
        <w:pStyle w:val="ListBullet"/>
        <w:spacing w:after="40"/>
      </w:pPr>
      <w:r>
        <w:t>A host-side identity does not prove the identity used by the target worker.</w:t>
      </w:r>
    </w:p>
    <w:p>
      <w:pPr>
        <w:pStyle w:val="ListBullet"/>
        <w:spacing w:after="40"/>
      </w:pPr>
      <w:r>
        <w:t>A successful file write does not prove that the container can see the file.</w:t>
      </w:r>
    </w:p>
    <w:p>
      <w:pPr>
        <w:pStyle w:val="ListBullet"/>
        <w:spacing w:after="40"/>
      </w:pPr>
      <w:r>
        <w:t>Potential detections need baselining and false-positive tests.</w:t>
      </w:r>
    </w:p>
    <w:p>
      <w:pPr>
        <w:pStyle w:val="ListBullet"/>
        <w:spacing w:after="40"/>
      </w:pPr>
      <w:r>
        <w:t>Patch first, validate every runtime instance, and preserve evidence if compromise is plausible.</w:t>
      </w:r>
    </w:p>
    <w:p>
      <w:pPr>
        <w:pStyle w:val="Heading1"/>
      </w:pPr>
      <w:r>
        <w:t>9. Personal learning roadmap</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563D7C"/>
            <w:tcMar>
              <w:top w:w="100" w:type="dxa"/>
              <w:start w:w="100" w:type="dxa"/>
              <w:bottom w:w="100" w:type="dxa"/>
              <w:end w:w="100" w:type="dxa"/>
            </w:tcMar>
          </w:tcPr>
          <w:p>
            <w:pPr>
              <w:spacing w:after="0"/>
            </w:pPr>
            <w:r>
              <w:rPr>
                <w:b/>
                <w:color w:val="FFFFFF"/>
                <w:sz w:val="15"/>
              </w:rPr>
              <w:t>Stage</w:t>
            </w:r>
          </w:p>
        </w:tc>
        <w:tc>
          <w:tcPr>
            <w:tcW w:type="dxa" w:w="4320"/>
            <w:shd w:fill="563D7C"/>
            <w:tcMar>
              <w:top w:w="100" w:type="dxa"/>
              <w:start w:w="100" w:type="dxa"/>
              <w:bottom w:w="100" w:type="dxa"/>
              <w:end w:w="100" w:type="dxa"/>
            </w:tcMar>
          </w:tcPr>
          <w:p>
            <w:pPr>
              <w:spacing w:after="0"/>
            </w:pPr>
            <w:r>
              <w:rPr>
                <w:b/>
                <w:color w:val="FFFFFF"/>
                <w:sz w:val="15"/>
              </w:rPr>
              <w:t>Practice goal</w:t>
            </w:r>
          </w:p>
        </w:tc>
        <w:tc>
          <w:tcPr>
            <w:tcW w:type="dxa" w:w="4176"/>
            <w:shd w:fill="563D7C"/>
            <w:tcMar>
              <w:top w:w="100" w:type="dxa"/>
              <w:start w:w="100" w:type="dxa"/>
              <w:bottom w:w="100" w:type="dxa"/>
              <w:end w:w="100" w:type="dxa"/>
            </w:tcMar>
          </w:tcPr>
          <w:p>
            <w:pPr>
              <w:spacing w:after="0"/>
            </w:pPr>
            <w:r>
              <w:rPr>
                <w:b/>
                <w:color w:val="FFFFFF"/>
                <w:sz w:val="15"/>
              </w:rPr>
              <w:t>Portfolio evidence</w:t>
            </w:r>
          </w:p>
        </w:tc>
      </w:tr>
      <w:tr>
        <w:trPr>
          <w:cantSplit/>
        </w:trPr>
        <w:tc>
          <w:tcPr>
            <w:tcW w:type="dxa" w:w="1872"/>
            <w:vAlign w:val="top"/>
            <w:shd w:fill="F7F6FA"/>
            <w:tcMar>
              <w:top w:w="70" w:type="dxa"/>
              <w:start w:w="90" w:type="dxa"/>
              <w:bottom w:w="70" w:type="dxa"/>
              <w:end w:w="90" w:type="dxa"/>
            </w:tcMar>
          </w:tcPr>
          <w:p>
            <w:pPr>
              <w:spacing w:after="20" w:line="240" w:lineRule="auto"/>
            </w:pPr>
            <w:r>
              <w:rPr>
                <w:rFonts w:ascii="Aptos" w:hAnsi="Aptos"/>
                <w:color w:val="20253A"/>
                <w:sz w:val="15"/>
              </w:rPr>
              <w:t>1. Evidence discipline</w:t>
            </w:r>
          </w:p>
        </w:tc>
        <w:tc>
          <w:tcPr>
            <w:tcW w:type="dxa" w:w="4320"/>
            <w:vAlign w:val="top"/>
            <w:shd w:fill="F7F6FA"/>
            <w:tcMar>
              <w:top w:w="70" w:type="dxa"/>
              <w:start w:w="90" w:type="dxa"/>
              <w:bottom w:w="70" w:type="dxa"/>
              <w:end w:w="90" w:type="dxa"/>
            </w:tcMar>
          </w:tcPr>
          <w:p>
            <w:pPr>
              <w:spacing w:after="20" w:line="240" w:lineRule="auto"/>
            </w:pPr>
            <w:r>
              <w:rPr>
                <w:rFonts w:ascii="Aptos" w:hAnsi="Aptos"/>
                <w:color w:val="20253A"/>
                <w:sz w:val="15"/>
              </w:rPr>
              <w:t>Keep command → raw result → interpretation → confidence → limitation together.</w:t>
            </w:r>
          </w:p>
        </w:tc>
        <w:tc>
          <w:tcPr>
            <w:tcW w:type="dxa" w:w="4176"/>
            <w:vAlign w:val="top"/>
            <w:shd w:fill="F7F6FA"/>
            <w:tcMar>
              <w:top w:w="70" w:type="dxa"/>
              <w:start w:w="90" w:type="dxa"/>
              <w:bottom w:w="70" w:type="dxa"/>
              <w:end w:w="90" w:type="dxa"/>
            </w:tcMar>
          </w:tcPr>
          <w:p>
            <w:pPr>
              <w:spacing w:after="20" w:line="240" w:lineRule="auto"/>
            </w:pPr>
            <w:r>
              <w:rPr>
                <w:rFonts w:ascii="Aptos" w:hAnsi="Aptos"/>
                <w:color w:val="20253A"/>
                <w:sz w:val="15"/>
              </w:rPr>
              <w:t>Sanitized observation timeline.</w:t>
            </w:r>
          </w:p>
        </w:tc>
      </w:tr>
      <w:tr>
        <w:trPr>
          <w:cantSplit/>
        </w:trPr>
        <w:tc>
          <w:tcPr>
            <w:tcW w:type="dxa" w:w="1872"/>
            <w:vAlign w:val="top"/>
            <w:shd w:fill="FFFFFF"/>
            <w:tcMar>
              <w:top w:w="70" w:type="dxa"/>
              <w:start w:w="90" w:type="dxa"/>
              <w:bottom w:w="70" w:type="dxa"/>
              <w:end w:w="90" w:type="dxa"/>
            </w:tcMar>
          </w:tcPr>
          <w:p>
            <w:pPr>
              <w:spacing w:after="20" w:line="240" w:lineRule="auto"/>
            </w:pPr>
            <w:r>
              <w:rPr>
                <w:rFonts w:ascii="Aptos" w:hAnsi="Aptos"/>
                <w:color w:val="20253A"/>
                <w:sz w:val="15"/>
              </w:rPr>
              <w:t>2. HTTP and web telemetry</w:t>
            </w:r>
          </w:p>
        </w:tc>
        <w:tc>
          <w:tcPr>
            <w:tcW w:type="dxa" w:w="4320"/>
            <w:vAlign w:val="top"/>
            <w:shd w:fill="FFFFFF"/>
            <w:tcMar>
              <w:top w:w="70" w:type="dxa"/>
              <w:start w:w="90" w:type="dxa"/>
              <w:bottom w:w="70" w:type="dxa"/>
              <w:end w:w="90" w:type="dxa"/>
            </w:tcMar>
          </w:tcPr>
          <w:p>
            <w:pPr>
              <w:spacing w:after="20" w:line="240" w:lineRule="auto"/>
            </w:pPr>
            <w:r>
              <w:rPr>
                <w:rFonts w:ascii="Aptos" w:hAnsi="Aptos"/>
                <w:color w:val="20253A"/>
                <w:sz w:val="15"/>
              </w:rPr>
              <w:t>Compare ordinary requests with benign abnormal-input test cases in an authorized lab.</w:t>
            </w:r>
          </w:p>
        </w:tc>
        <w:tc>
          <w:tcPr>
            <w:tcW w:type="dxa" w:w="4176"/>
            <w:vAlign w:val="top"/>
            <w:shd w:fill="FFFFFF"/>
            <w:tcMar>
              <w:top w:w="70" w:type="dxa"/>
              <w:start w:w="90" w:type="dxa"/>
              <w:bottom w:w="70" w:type="dxa"/>
              <w:end w:w="90" w:type="dxa"/>
            </w:tcMar>
          </w:tcPr>
          <w:p>
            <w:pPr>
              <w:spacing w:after="20" w:line="240" w:lineRule="auto"/>
            </w:pPr>
            <w:r>
              <w:rPr>
                <w:rFonts w:ascii="Aptos" w:hAnsi="Aptos"/>
                <w:color w:val="20253A"/>
                <w:sz w:val="15"/>
              </w:rPr>
              <w:t>Baseline and detection-hypothesis note.</w:t>
            </w:r>
          </w:p>
        </w:tc>
      </w:tr>
      <w:tr>
        <w:trPr>
          <w:cantSplit/>
        </w:trPr>
        <w:tc>
          <w:tcPr>
            <w:tcW w:type="dxa" w:w="1872"/>
            <w:vAlign w:val="top"/>
            <w:shd w:fill="F7F6FA"/>
            <w:tcMar>
              <w:top w:w="70" w:type="dxa"/>
              <w:start w:w="90" w:type="dxa"/>
              <w:bottom w:w="70" w:type="dxa"/>
              <w:end w:w="90" w:type="dxa"/>
            </w:tcMar>
          </w:tcPr>
          <w:p>
            <w:pPr>
              <w:spacing w:after="20" w:line="240" w:lineRule="auto"/>
            </w:pPr>
            <w:r>
              <w:rPr>
                <w:rFonts w:ascii="Aptos" w:hAnsi="Aptos"/>
                <w:color w:val="20253A"/>
                <w:sz w:val="15"/>
              </w:rPr>
              <w:t>3. Linux and containers</w:t>
            </w:r>
          </w:p>
        </w:tc>
        <w:tc>
          <w:tcPr>
            <w:tcW w:type="dxa" w:w="4320"/>
            <w:vAlign w:val="top"/>
            <w:shd w:fill="F7F6FA"/>
            <w:tcMar>
              <w:top w:w="70" w:type="dxa"/>
              <w:start w:w="90" w:type="dxa"/>
              <w:bottom w:w="70" w:type="dxa"/>
              <w:end w:w="90" w:type="dxa"/>
            </w:tcMar>
          </w:tcPr>
          <w:p>
            <w:pPr>
              <w:spacing w:after="20" w:line="240" w:lineRule="auto"/>
            </w:pPr>
            <w:r>
              <w:rPr>
                <w:rFonts w:ascii="Aptos" w:hAnsi="Aptos"/>
                <w:color w:val="20253A"/>
                <w:sz w:val="15"/>
              </w:rPr>
              <w:t>Practice ownership/mode diagnosis, container mounts, image identifiers, and process identity.</w:t>
            </w:r>
          </w:p>
        </w:tc>
        <w:tc>
          <w:tcPr>
            <w:tcW w:type="dxa" w:w="4176"/>
            <w:vAlign w:val="top"/>
            <w:shd w:fill="F7F6FA"/>
            <w:tcMar>
              <w:top w:w="70" w:type="dxa"/>
              <w:start w:w="90" w:type="dxa"/>
              <w:bottom w:w="70" w:type="dxa"/>
              <w:end w:w="90" w:type="dxa"/>
            </w:tcMar>
          </w:tcPr>
          <w:p>
            <w:pPr>
              <w:spacing w:after="20" w:line="240" w:lineRule="auto"/>
            </w:pPr>
            <w:r>
              <w:rPr>
                <w:rFonts w:ascii="Aptos" w:hAnsi="Aptos"/>
                <w:color w:val="20253A"/>
                <w:sz w:val="15"/>
              </w:rPr>
              <w:t>Troubleshooting checklist with verified outputs.</w:t>
            </w:r>
          </w:p>
        </w:tc>
      </w:tr>
      <w:tr>
        <w:trPr>
          <w:cantSplit/>
        </w:trPr>
        <w:tc>
          <w:tcPr>
            <w:tcW w:type="dxa" w:w="1872"/>
            <w:vAlign w:val="top"/>
            <w:shd w:fill="FFFFFF"/>
            <w:tcMar>
              <w:top w:w="70" w:type="dxa"/>
              <w:start w:w="90" w:type="dxa"/>
              <w:bottom w:w="70" w:type="dxa"/>
              <w:end w:w="90" w:type="dxa"/>
            </w:tcMar>
          </w:tcPr>
          <w:p>
            <w:pPr>
              <w:spacing w:after="20" w:line="240" w:lineRule="auto"/>
            </w:pPr>
            <w:r>
              <w:rPr>
                <w:rFonts w:ascii="Aptos" w:hAnsi="Aptos"/>
                <w:color w:val="20253A"/>
                <w:sz w:val="15"/>
              </w:rPr>
              <w:t>4. Detection engineering</w:t>
            </w:r>
          </w:p>
        </w:tc>
        <w:tc>
          <w:tcPr>
            <w:tcW w:type="dxa" w:w="4320"/>
            <w:vAlign w:val="top"/>
            <w:shd w:fill="FFFFFF"/>
            <w:tcMar>
              <w:top w:w="70" w:type="dxa"/>
              <w:start w:w="90" w:type="dxa"/>
              <w:bottom w:w="70" w:type="dxa"/>
              <w:end w:w="90" w:type="dxa"/>
            </w:tcMar>
          </w:tcPr>
          <w:p>
            <w:pPr>
              <w:spacing w:after="20" w:line="240" w:lineRule="auto"/>
            </w:pPr>
            <w:r>
              <w:rPr>
                <w:rFonts w:ascii="Aptos" w:hAnsi="Aptos"/>
                <w:color w:val="20253A"/>
                <w:sz w:val="15"/>
              </w:rPr>
              <w:t>Correlate request logs with process lineage and container events in a disposable lab.</w:t>
            </w:r>
          </w:p>
        </w:tc>
        <w:tc>
          <w:tcPr>
            <w:tcW w:type="dxa" w:w="4176"/>
            <w:vAlign w:val="top"/>
            <w:shd w:fill="FFFFFF"/>
            <w:tcMar>
              <w:top w:w="70" w:type="dxa"/>
              <w:start w:w="90" w:type="dxa"/>
              <w:bottom w:w="70" w:type="dxa"/>
              <w:end w:w="90" w:type="dxa"/>
            </w:tcMar>
          </w:tcPr>
          <w:p>
            <w:pPr>
              <w:spacing w:after="20" w:line="240" w:lineRule="auto"/>
            </w:pPr>
            <w:r>
              <w:rPr>
                <w:rFonts w:ascii="Aptos" w:hAnsi="Aptos"/>
                <w:color w:val="20253A"/>
                <w:sz w:val="15"/>
              </w:rPr>
              <w:t>Detection logic plus false-positive analysis.</w:t>
            </w:r>
          </w:p>
        </w:tc>
      </w:tr>
      <w:tr>
        <w:trPr>
          <w:cantSplit/>
        </w:trPr>
        <w:tc>
          <w:tcPr>
            <w:tcW w:type="dxa" w:w="1872"/>
            <w:vAlign w:val="top"/>
            <w:shd w:fill="F7F6FA"/>
            <w:tcMar>
              <w:top w:w="70" w:type="dxa"/>
              <w:start w:w="90" w:type="dxa"/>
              <w:bottom w:w="70" w:type="dxa"/>
              <w:end w:w="90" w:type="dxa"/>
            </w:tcMar>
          </w:tcPr>
          <w:p>
            <w:pPr>
              <w:spacing w:after="20" w:line="240" w:lineRule="auto"/>
            </w:pPr>
            <w:r>
              <w:rPr>
                <w:rFonts w:ascii="Aptos" w:hAnsi="Aptos"/>
                <w:color w:val="20253A"/>
                <w:sz w:val="15"/>
              </w:rPr>
              <w:t>5. Remediation verification</w:t>
            </w:r>
          </w:p>
        </w:tc>
        <w:tc>
          <w:tcPr>
            <w:tcW w:type="dxa" w:w="4320"/>
            <w:vAlign w:val="top"/>
            <w:shd w:fill="F7F6FA"/>
            <w:tcMar>
              <w:top w:w="70" w:type="dxa"/>
              <w:start w:w="90" w:type="dxa"/>
              <w:bottom w:w="70" w:type="dxa"/>
              <w:end w:w="90" w:type="dxa"/>
            </w:tcMar>
          </w:tcPr>
          <w:p>
            <w:pPr>
              <w:spacing w:after="20" w:line="240" w:lineRule="auto"/>
            </w:pPr>
            <w:r>
              <w:rPr>
                <w:rFonts w:ascii="Aptos" w:hAnsi="Aptos"/>
                <w:color w:val="20253A"/>
                <w:sz w:val="15"/>
              </w:rPr>
              <w:t>Patch a test deployment and verify all running instances.</w:t>
            </w:r>
          </w:p>
        </w:tc>
        <w:tc>
          <w:tcPr>
            <w:tcW w:type="dxa" w:w="4176"/>
            <w:vAlign w:val="top"/>
            <w:shd w:fill="F7F6FA"/>
            <w:tcMar>
              <w:top w:w="70" w:type="dxa"/>
              <w:start w:w="90" w:type="dxa"/>
              <w:bottom w:w="70" w:type="dxa"/>
              <w:end w:w="90" w:type="dxa"/>
            </w:tcMar>
          </w:tcPr>
          <w:p>
            <w:pPr>
              <w:spacing w:after="20" w:line="240" w:lineRule="auto"/>
            </w:pPr>
            <w:r>
              <w:rPr>
                <w:rFonts w:ascii="Aptos" w:hAnsi="Aptos"/>
                <w:color w:val="20253A"/>
                <w:sz w:val="15"/>
              </w:rPr>
              <w:t>Before/after patch checklist.</w:t>
            </w:r>
          </w:p>
        </w:tc>
      </w:tr>
      <w:tr>
        <w:trPr>
          <w:cantSplit/>
        </w:trPr>
        <w:tc>
          <w:tcPr>
            <w:tcW w:type="dxa" w:w="1872"/>
            <w:vAlign w:val="top"/>
            <w:shd w:fill="FFFFFF"/>
            <w:tcMar>
              <w:top w:w="70" w:type="dxa"/>
              <w:start w:w="90" w:type="dxa"/>
              <w:bottom w:w="70" w:type="dxa"/>
              <w:end w:w="90" w:type="dxa"/>
            </w:tcMar>
          </w:tcPr>
          <w:p>
            <w:pPr>
              <w:spacing w:after="20" w:line="240" w:lineRule="auto"/>
            </w:pPr>
            <w:r>
              <w:rPr>
                <w:rFonts w:ascii="Aptos" w:hAnsi="Aptos"/>
                <w:color w:val="20253A"/>
                <w:sz w:val="15"/>
              </w:rPr>
              <w:t>6. Purple Hat reporting</w:t>
            </w:r>
          </w:p>
        </w:tc>
        <w:tc>
          <w:tcPr>
            <w:tcW w:type="dxa" w:w="4320"/>
            <w:vAlign w:val="top"/>
            <w:shd w:fill="FFFFFF"/>
            <w:tcMar>
              <w:top w:w="70" w:type="dxa"/>
              <w:start w:w="90" w:type="dxa"/>
              <w:bottom w:w="70" w:type="dxa"/>
              <w:end w:w="90" w:type="dxa"/>
            </w:tcMar>
          </w:tcPr>
          <w:p>
            <w:pPr>
              <w:spacing w:after="20" w:line="240" w:lineRule="auto"/>
            </w:pPr>
            <w:r>
              <w:rPr>
                <w:rFonts w:ascii="Aptos" w:hAnsi="Aptos"/>
                <w:color w:val="20253A"/>
                <w:sz w:val="15"/>
              </w:rPr>
              <w:t>Write an executive summary, evidence appendix, detection gaps, and remediation validation.</w:t>
            </w:r>
          </w:p>
        </w:tc>
        <w:tc>
          <w:tcPr>
            <w:tcW w:type="dxa" w:w="4176"/>
            <w:vAlign w:val="top"/>
            <w:shd w:fill="FFFFFF"/>
            <w:tcMar>
              <w:top w:w="70" w:type="dxa"/>
              <w:start w:w="90" w:type="dxa"/>
              <w:bottom w:w="70" w:type="dxa"/>
              <w:end w:w="90" w:type="dxa"/>
            </w:tcMar>
          </w:tcPr>
          <w:p>
            <w:pPr>
              <w:spacing w:after="20" w:line="240" w:lineRule="auto"/>
            </w:pPr>
            <w:r>
              <w:rPr>
                <w:rFonts w:ascii="Aptos" w:hAnsi="Aptos"/>
                <w:color w:val="20253A"/>
                <w:sz w:val="15"/>
              </w:rPr>
              <w:t>Portfolio-ready security report.</w:t>
            </w:r>
          </w:p>
        </w:tc>
      </w:tr>
    </w:tbl>
    <w:p>
      <w:pPr>
        <w:spacing w:after="0"/>
      </w:pPr>
    </w:p>
    <w:p>
      <w:pPr>
        <w:pStyle w:val="Heading1"/>
      </w:pPr>
      <w:r>
        <w:t>10. References</w:t>
      </w:r>
    </w:p>
    <w:p>
      <w:r>
        <w:t>1. PHP official security advisory archive, “Critical remote code execution vulnerabilities, update now” (21 October 2026): https://www.php.net/archive/2026.php#2026-10-21-5</w:t>
      </w:r>
    </w:p>
    <w:p>
      <w:r>
        <w:t>2. PHP release announcement (21 October 2026): https://news-web.php.net/php.announce/512</w:t>
      </w:r>
    </w:p>
    <w:p>
      <w:r>
        <w:t>3. TryHackMe Acceptable Use Policy, version 2.0, effective 28 August 2026: https://tryhackme.com/legal/acceptable-use-policy</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 xml:space="preserve">Public portfolio edition • Evidence-led notes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63D7C"/>
        <w:sz w:val="15"/>
      </w:rPr>
      <w:t>PURPLE HAT LAB JOURNAL  |  PHP RUNTIME SECURITY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25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563D7C"/>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2025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563D7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