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맑은 고딕" w:cs="맑은 고딕" w:eastAsia="맑은 고딕" w:hAnsi="맑은 고딕"/>
        </w:rPr>
        <w:t xml:space="preserve"/>
      </w:r>
    </w:p>
    <w:p>
      <w:pPr>
        <w:spacing w:after="240"/>
        <w:jc w:val="center"/>
      </w:pPr>
      <w:r>
        <w:rPr>
          <w:rFonts w:ascii="맑은 고딕" w:cs="맑은 고딕" w:eastAsia="맑은 고딕" w:hAnsi="맑은 고딕"/>
          <w:b/>
          <w:bCs/>
          <w:color w:val="1F1F1F"/>
          <w:sz w:val="44"/>
          <w:szCs w:val="44"/>
        </w:rPr>
        <w:t xml:space="preserve">[지역명] 팝업·공실 매칭 IT 플랫폼 구축 사업</w:t>
      </w:r>
    </w:p>
    <w:p>
      <w:pPr>
        <w:spacing w:after="480"/>
        <w:jc w:val="center"/>
      </w:pPr>
      <w:r>
        <w:rPr>
          <w:rFonts w:ascii="맑은 고딕" w:cs="맑은 고딕" w:eastAsia="맑은 고딕" w:hAnsi="맑은 고딕"/>
          <w:b/>
          <w:bCs/>
          <w:color w:val="FF5A1F"/>
          <w:sz w:val="36"/>
          <w:szCs w:val="36"/>
        </w:rPr>
        <w:t xml:space="preserve">기 획 안 (Draft)</w:t>
      </w:r>
    </w:p>
    <w:p>
      <w:pPr>
        <w:spacing w:after="120"/>
        <w:jc w:val="center"/>
      </w:pPr>
      <w:r>
        <w:rPr>
          <w:rFonts w:ascii="맑은 고딕" w:cs="맑은 고딕" w:eastAsia="맑은 고딕" w:hAnsi="맑은 고딕"/>
          <w:i/>
          <w:iCs/>
          <w:color w:val="595959"/>
          <w:sz w:val="26"/>
          <w:szCs w:val="26"/>
        </w:rPr>
        <w:t xml:space="preserve">당신의 아이디어가 머물 자리.</w:t>
      </w:r>
    </w:p>
    <w:p>
      <w:pPr>
        <w:spacing w:after="2400"/>
        <w:jc w:val="center"/>
      </w:pPr>
      <w:r>
        <w:rPr>
          <w:rFonts w:ascii="맑은 고딕" w:cs="맑은 고딕" w:eastAsia="맑은 고딕" w:hAnsi="맑은 고딕"/>
          <w:i/>
          <w:iCs/>
          <w:color w:val="8C8C8C"/>
          <w:sz w:val="22"/>
          <w:szCs w:val="22"/>
        </w:rPr>
        <w:t xml:space="preserve">Empty rooms, full of possibilities.</w:t>
      </w:r>
    </w:p>
    <w:p>
      <w:pPr>
        <w:spacing w:after="120"/>
        <w:jc w:val="center"/>
      </w:pPr>
      <w:r>
        <w:rPr>
          <w:rFonts w:ascii="맑은 고딕" w:cs="맑은 고딕" w:eastAsia="맑은 고딕" w:hAnsi="맑은 고딕"/>
          <w:sz w:val="24"/>
          <w:szCs w:val="24"/>
        </w:rPr>
        <w:t xml:space="preserve">2026. 5.</w:t>
      </w:r>
    </w:p>
    <w:p>
      <w:pPr>
        <w:spacing w:after="120"/>
        <w:jc w:val="center"/>
      </w:pPr>
      <w:r>
        <w:rPr>
          <w:rFonts w:ascii="맑은 고딕" w:cs="맑은 고딕" w:eastAsia="맑은 고딕" w:hAnsi="맑은 고딕"/>
          <w:sz w:val="24"/>
          <w:szCs w:val="24"/>
        </w:rPr>
        <w:t xml:space="preserve">[운영기관]</w:t>
      </w:r>
    </w:p>
    <w:p>
      <w:r>
        <w:br w:type="page"/>
      </w:r>
    </w:p>
    <w:p>
      <w:pPr>
        <w:pStyle w:val="Heading1"/>
        <w:spacing w:after="180" w:before="360"/>
      </w:pPr>
      <w:r>
        <w:rPr>
          <w:rFonts w:ascii="맑은 고딕" w:cs="맑은 고딕" w:eastAsia="맑은 고딕" w:hAnsi="맑은 고딕"/>
          <w:b/>
          <w:bCs/>
          <w:color w:val="1F1F1F"/>
          <w:sz w:val="32"/>
          <w:szCs w:val="32"/>
        </w:rPr>
        <w:t xml:space="preserve">1. 사업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구분</w:t>
            </w:r>
          </w:p>
        </w:tc>
        <w:tc>
          <w:tcPr>
            <w:tcW w:type="dxa" w:w="746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내용</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사업명</w:t>
            </w:r>
          </w:p>
        </w:tc>
        <w:tc>
          <w:tcPr>
            <w:tcW w:type="dxa" w:w="7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(가칭) [지역명] 팝업·공실 매칭 IT 플랫폼 구축 사업</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사업 기간</w:t>
            </w:r>
          </w:p>
        </w:tc>
        <w:tc>
          <w:tcPr>
            <w:tcW w:type="dxa" w:w="7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2026. 6. ~ 2027. 12. (총 19개월) — 구축기 / 운영기 / 운영 고도화기 3단계</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사업 규모</w:t>
            </w:r>
          </w:p>
        </w:tc>
        <w:tc>
          <w:tcPr>
            <w:tcW w:type="dxa" w:w="7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기준안 3억 원 / 확장안 5억 원 (IT 영역)</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추진 주체</w:t>
            </w:r>
          </w:p>
        </w:tc>
        <w:tc>
          <w:tcPr>
            <w:tcW w:type="dxa" w:w="7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 </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사업 목표</w:t>
            </w:r>
          </w:p>
        </w:tc>
        <w:tc>
          <w:tcPr>
            <w:tcW w:type="dxa" w:w="7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지역 공실 자원의 디지털 자산화 및 팝업·브랜드 매칭을 통한 골목 상권 활성화</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핵심 산출물</w:t>
            </w:r>
          </w:p>
        </w:tc>
        <w:tc>
          <w:tcPr>
            <w:tcW w:type="dxa" w:w="7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① 공실 매칭 플랫폼 ② 프로모션·마케팅 자동화 ③ 데이터·AI 분석 대시보드 ④ 구매 연결 커머스 모듈</w:t>
            </w:r>
          </w:p>
        </w:tc>
      </w:tr>
    </w:tbl>
    <w:p>
      <w:pPr>
        <w:spacing w:after="100"/>
      </w:pPr>
      <w:r>
        <w:rPr>
          <w:rFonts w:ascii="맑은 고딕" w:cs="맑은 고딕" w:eastAsia="맑은 고딕" w:hAnsi="맑은 고딕"/>
        </w:rPr>
        <w:t xml:space="preserve"/>
      </w:r>
    </w:p>
    <w:p>
      <w:pPr>
        <w:spacing w:after="120" w:line="340"/>
      </w:pPr>
      <w:r>
        <w:rPr>
          <w:rFonts w:ascii="맑은 고딕" w:cs="맑은 고딕" w:eastAsia="맑은 고딕" w:hAnsi="맑은 고딕"/>
          <w:sz w:val="22"/>
          <w:szCs w:val="22"/>
        </w:rPr>
        <w:t xml:space="preserve">본 사업은 지역 내 비어 있는 상업 공간을 데이터로 구축하고, 팝업·브랜드·창작자와 실시간으로 연결하는 IT 플랫폼을 구축하는 것을 목표로 한다. 단순한 임대 중개를 넘어, 지역의 골목 단위 캐릭터를 콘텐츠화하고 데이터로 축적함으로써 향후 타 지자체로의 확산 시 재활용 가능한 디지털 인프라를 확보한다.</w:t>
      </w:r>
    </w:p>
    <w:p>
      <w:pPr>
        <w:spacing w:after="120" w:line="340"/>
      </w:pPr>
      <w:r>
        <w:rPr>
          <w:rFonts w:ascii="맑은 고딕" w:cs="맑은 고딕" w:eastAsia="맑은 고딕" w:hAnsi="맑은 고딕"/>
          <w:sz w:val="22"/>
          <w:szCs w:val="22"/>
        </w:rPr>
        <w:t xml:space="preserve">1차 구축기에는 핵심 기능 구축과 데이터 확보에 집중하고, 이후 운영기·운영 고도화기를 통해 실 운영 성과와 지역 데이터 자산을 축적한다.</w:t>
      </w:r>
    </w:p>
    <w:p>
      <w:r>
        <w:br w:type="page"/>
      </w:r>
    </w:p>
    <w:p>
      <w:pPr>
        <w:pStyle w:val="Heading1"/>
        <w:spacing w:after="180" w:before="360"/>
      </w:pPr>
      <w:r>
        <w:rPr>
          <w:rFonts w:ascii="맑은 고딕" w:cs="맑은 고딕" w:eastAsia="맑은 고딕" w:hAnsi="맑은 고딕"/>
          <w:b/>
          <w:bCs/>
          <w:color w:val="1F1F1F"/>
          <w:sz w:val="32"/>
          <w:szCs w:val="32"/>
        </w:rPr>
        <w:t xml:space="preserve">2. 추진 배경 및 필요성</w:t>
      </w:r>
    </w:p>
    <w:p>
      <w:pPr>
        <w:pStyle w:val="Heading2"/>
        <w:spacing w:after="140" w:before="280"/>
      </w:pPr>
      <w:r>
        <w:rPr>
          <w:rFonts w:ascii="맑은 고딕" w:cs="맑은 고딕" w:eastAsia="맑은 고딕" w:hAnsi="맑은 고딕"/>
          <w:b/>
          <w:bCs/>
          <w:color w:val="1F1F1F"/>
          <w:sz w:val="26"/>
          <w:szCs w:val="26"/>
        </w:rPr>
        <w:t xml:space="preserve">2.1 환경 분석</w:t>
      </w:r>
    </w:p>
    <w:p>
      <w:pPr>
        <w:pStyle w:val="Heading3"/>
        <w:spacing w:after="100" w:before="200"/>
      </w:pPr>
      <w:r>
        <w:rPr>
          <w:rFonts w:ascii="맑은 고딕" w:cs="맑은 고딕" w:eastAsia="맑은 고딕" w:hAnsi="맑은 고딕"/>
          <w:b/>
          <w:bCs/>
          <w:color w:val="1F1F1F"/>
          <w:sz w:val="22"/>
          <w:szCs w:val="22"/>
        </w:rPr>
        <w:t xml:space="preserve">가. 비수도권 상가 공실 현황</w:t>
      </w:r>
    </w:p>
    <w:p>
      <w:pPr>
        <w:pStyle w:val="ListParagraph"/>
        <w:numPr>
          <w:ilvl w:val="0"/>
          <w:numId w:val="2"/>
        </w:numPr>
        <w:spacing w:after="80" w:line="320"/>
      </w:pPr>
      <w:r>
        <w:rPr>
          <w:rFonts w:ascii="맑은 고딕" w:cs="맑은 고딕" w:eastAsia="맑은 고딕" w:hAnsi="맑은 고딕"/>
          <w:sz w:val="22"/>
          <w:szCs w:val="22"/>
        </w:rPr>
        <w:t xml:space="preserve">한국부동산원 상업용부동산 임대동향조사(2025년 3분기 기준)에 따르면, 전국 평균 공실률은 중대형 상가 13.6%, 집합 상가 10.5%, 소규모 상가 8.0%로 집계되며, 비수도권 지방시도의 공실률은 전국 평균을 상회한다.</w:t>
      </w:r>
    </w:p>
    <w:p>
      <w:pPr>
        <w:pStyle w:val="ListParagraph"/>
        <w:numPr>
          <w:ilvl w:val="0"/>
          <w:numId w:val="2"/>
        </w:numPr>
        <w:spacing w:after="80" w:line="320"/>
      </w:pPr>
      <w:r>
        <w:rPr>
          <w:rFonts w:ascii="맑은 고딕" w:cs="맑은 고딕" w:eastAsia="맑은 고딕" w:hAnsi="맑은 고딕"/>
          <w:sz w:val="22"/>
          <w:szCs w:val="22"/>
        </w:rPr>
        <w:t xml:space="preserve">2026년 1분기 기준 경상북도의 1층 상가 공실률은 9.2%로 전국 평균을 상회하며, 비수도권 지방시도는 임대가격지수의 하락세가 지속되고 있다.</w:t>
      </w:r>
    </w:p>
    <w:p>
      <w:pPr>
        <w:pStyle w:val="ListParagraph"/>
        <w:numPr>
          <w:ilvl w:val="0"/>
          <w:numId w:val="2"/>
        </w:numPr>
        <w:spacing w:after="80" w:line="320"/>
      </w:pPr>
      <w:r>
        <w:rPr>
          <w:rFonts w:ascii="맑은 고딕" w:cs="맑은 고딕" w:eastAsia="맑은 고딕" w:hAnsi="맑은 고딕"/>
          <w:sz w:val="22"/>
          <w:szCs w:val="22"/>
        </w:rPr>
        <w:t xml:space="preserve">코로나 이후의 구조적 변화에 더해 인구 감소·소비 역외 유출이 중첩되며, 비수도권 골목 상권의 장기 공실은 사회적 문제로 부각되고 있다.</w:t>
      </w:r>
    </w:p>
    <w:p>
      <w:pPr>
        <w:pStyle w:val="Heading3"/>
        <w:spacing w:after="100" w:before="200"/>
      </w:pPr>
      <w:r>
        <w:rPr>
          <w:rFonts w:ascii="맑은 고딕" w:cs="맑은 고딕" w:eastAsia="맑은 고딕" w:hAnsi="맑은 고딕"/>
          <w:b/>
          <w:bCs/>
          <w:color w:val="1F1F1F"/>
          <w:sz w:val="22"/>
          <w:szCs w:val="22"/>
        </w:rPr>
        <w:t xml:space="preserve">나. 포항시 지역 데이터</w:t>
      </w:r>
    </w:p>
    <w:p>
      <w:pPr>
        <w:pStyle w:val="ListParagraph"/>
        <w:numPr>
          <w:ilvl w:val="0"/>
          <w:numId w:val="2"/>
        </w:numPr>
        <w:spacing w:after="80" w:line="320"/>
      </w:pPr>
      <w:r>
        <w:rPr>
          <w:rFonts w:ascii="맑은 고딕" w:cs="맑은 고딕" w:eastAsia="맑은 고딕" w:hAnsi="맑은 고딕"/>
          <w:sz w:val="22"/>
          <w:szCs w:val="22"/>
        </w:rPr>
        <w:t xml:space="preserve">포항시 인구는 2024년 말 약 49만 1,500명에서 2025년 12월 기준 48만 8,707명으로 감소했으며, 같은 해 3월(약 49만 4,000명) 대비 9개월간 약 5,300명이 줄어들었다. 50만 시대가 마감된 이후 감소 폭이 직전 연도(약 1,400명)의 약 2배로 확대되고 있다.</w:t>
      </w:r>
    </w:p>
    <w:p>
      <w:pPr>
        <w:pStyle w:val="ListParagraph"/>
        <w:numPr>
          <w:ilvl w:val="0"/>
          <w:numId w:val="2"/>
        </w:numPr>
        <w:spacing w:after="80" w:line="320"/>
      </w:pPr>
      <w:r>
        <w:rPr>
          <w:rFonts w:ascii="맑은 고딕" w:cs="맑은 고딕" w:eastAsia="맑은 고딕" w:hAnsi="맑은 고딕"/>
          <w:sz w:val="22"/>
          <w:szCs w:val="22"/>
        </w:rPr>
        <w:t xml:space="preserve">한국은행 보고서(2026.1.)는 포항의 인구·산업·소비 구조가 동시에 약화되고 있다고 진단했으며, 철강 경기 침체 장기화·청년 인구 유출·초고령사회 진입·전자상거래 중심의 소비 역외 유출이 동시에 작용하여 지역 상권과 부동산 시장 전반에 하방 압력이 확대되고 있다고 분석하였다.</w:t>
      </w:r>
    </w:p>
    <w:p>
      <w:pPr>
        <w:pStyle w:val="ListParagraph"/>
        <w:numPr>
          <w:ilvl w:val="0"/>
          <w:numId w:val="2"/>
        </w:numPr>
        <w:spacing w:after="80" w:line="320"/>
      </w:pPr>
      <w:r>
        <w:rPr>
          <w:rFonts w:ascii="맑은 고딕" w:cs="맑은 고딕" w:eastAsia="맑은 고딕" w:hAnsi="맑은 고딕"/>
          <w:sz w:val="22"/>
          <w:szCs w:val="22"/>
        </w:rPr>
        <w:t xml:space="preserve">원도심(중앙동·구룡포 등)의 인구가 신축 아파트 단지로 이동하면서 빈집 증가와 상권 몰락이라는 '도심 슬럼화' 위기에 직면해 있으며, 일부 상권의 공실률은 전국 평균을 크게 웃돈다.</w:t>
      </w:r>
    </w:p>
    <w:p>
      <w:pPr>
        <w:pStyle w:val="Heading3"/>
        <w:spacing w:after="100" w:before="200"/>
      </w:pPr>
      <w:r>
        <w:rPr>
          <w:rFonts w:ascii="맑은 고딕" w:cs="맑은 고딕" w:eastAsia="맑은 고딕" w:hAnsi="맑은 고딕"/>
          <w:b/>
          <w:bCs/>
          <w:color w:val="1F1F1F"/>
          <w:sz w:val="22"/>
          <w:szCs w:val="22"/>
        </w:rPr>
        <w:t xml:space="preserve">다. 수요 환경</w:t>
      </w:r>
    </w:p>
    <w:p>
      <w:pPr>
        <w:pStyle w:val="ListParagraph"/>
        <w:numPr>
          <w:ilvl w:val="0"/>
          <w:numId w:val="2"/>
        </w:numPr>
        <w:spacing w:after="80" w:line="320"/>
      </w:pPr>
      <w:r>
        <w:rPr>
          <w:rFonts w:ascii="맑은 고딕" w:cs="맑은 고딕" w:eastAsia="맑은 고딕" w:hAnsi="맑은 고딕"/>
          <w:sz w:val="22"/>
          <w:szCs w:val="22"/>
        </w:rPr>
        <w:t xml:space="preserve">단기 임대 기반의 팝업스토어 시장은 빠르게 성장하고 있으며, 브랜드는 정형화된 상업 공간보다 '동네 고유의 결'을 가진 공간을 선호하는 추세이다.</w:t>
      </w:r>
    </w:p>
    <w:p>
      <w:pPr>
        <w:pStyle w:val="ListParagraph"/>
        <w:numPr>
          <w:ilvl w:val="0"/>
          <w:numId w:val="2"/>
        </w:numPr>
        <w:spacing w:after="80" w:line="320"/>
      </w:pPr>
      <w:r>
        <w:rPr>
          <w:rFonts w:ascii="맑은 고딕" w:cs="맑은 고딕" w:eastAsia="맑은 고딕" w:hAnsi="맑은 고딕"/>
          <w:sz w:val="22"/>
          <w:szCs w:val="22"/>
        </w:rPr>
        <w:t xml:space="preserve">그러나 공실 자원과 브랜드 수요를 매칭하는 디지털 인프라는 부재하며, 기존 부동산 플랫폼은 장기 임대 중심으로 단기·팝업 수요에 부적합하다.</w:t>
      </w:r>
    </w:p>
    <w:p>
      <w:pPr>
        <w:pStyle w:val="ListParagraph"/>
        <w:numPr>
          <w:ilvl w:val="0"/>
          <w:numId w:val="2"/>
        </w:numPr>
        <w:spacing w:after="80" w:line="320"/>
      </w:pPr>
      <w:r>
        <w:rPr>
          <w:rFonts w:ascii="맑은 고딕" w:cs="맑은 고딕" w:eastAsia="맑은 고딕" w:hAnsi="맑은 고딕"/>
          <w:sz w:val="22"/>
          <w:szCs w:val="22"/>
        </w:rPr>
        <w:t xml:space="preserve">이러한 환경에서, 비수도권의 공실 자원을 데이터로 구축하고 브랜드 수요와 연결하는 디지털 인프라는 지역 상권 활성화의 핵심 수단으로 요구된다.</w:t>
      </w:r>
    </w:p>
    <w:p>
      <w:pPr>
        <w:pStyle w:val="Heading2"/>
        <w:spacing w:after="140" w:before="280"/>
      </w:pPr>
      <w:r>
        <w:rPr>
          <w:rFonts w:ascii="맑은 고딕" w:cs="맑은 고딕" w:eastAsia="맑은 고딕" w:hAnsi="맑은 고딕"/>
          <w:b/>
          <w:bCs/>
          <w:color w:val="1F1F1F"/>
          <w:sz w:val="26"/>
          <w:szCs w:val="26"/>
        </w:rPr>
        <w:t xml:space="preserve">2.2 정책 부합성</w:t>
      </w:r>
    </w:p>
    <w:p>
      <w:pPr>
        <w:pStyle w:val="ListParagraph"/>
        <w:numPr>
          <w:ilvl w:val="0"/>
          <w:numId w:val="2"/>
        </w:numPr>
        <w:spacing w:after="80" w:line="320"/>
      </w:pPr>
      <w:r>
        <w:rPr>
          <w:rFonts w:ascii="맑은 고딕" w:cs="맑은 고딕" w:eastAsia="맑은 고딕" w:hAnsi="맑은 고딕"/>
          <w:sz w:val="22"/>
          <w:szCs w:val="22"/>
        </w:rPr>
        <w:t xml:space="preserve">지역경제 활성화 및 골목 상권 회복 — 공실의 단기 활성화로 상권 유입 인구 증가</w:t>
      </w:r>
    </w:p>
    <w:p>
      <w:pPr>
        <w:pStyle w:val="ListParagraph"/>
        <w:numPr>
          <w:ilvl w:val="0"/>
          <w:numId w:val="2"/>
        </w:numPr>
        <w:spacing w:after="80" w:line="320"/>
      </w:pPr>
      <w:r>
        <w:rPr>
          <w:rFonts w:ascii="맑은 고딕" w:cs="맑은 고딕" w:eastAsia="맑은 고딕" w:hAnsi="맑은 고딕"/>
          <w:sz w:val="22"/>
          <w:szCs w:val="22"/>
        </w:rPr>
        <w:t xml:space="preserve">디지털 전환 및 데이터 기반 행정 — 공실·유동·매출 데이터의 표준화된 축적</w:t>
      </w:r>
    </w:p>
    <w:p>
      <w:pPr>
        <w:pStyle w:val="ListParagraph"/>
        <w:numPr>
          <w:ilvl w:val="0"/>
          <w:numId w:val="2"/>
        </w:numPr>
        <w:spacing w:after="80" w:line="320"/>
      </w:pPr>
      <w:r>
        <w:rPr>
          <w:rFonts w:ascii="맑은 고딕" w:cs="맑은 고딕" w:eastAsia="맑은 고딕" w:hAnsi="맑은 고딕"/>
          <w:sz w:val="22"/>
          <w:szCs w:val="22"/>
        </w:rPr>
        <w:t xml:space="preserve">창업·청년 활동 기반 조성 — 진입 장벽이 낮은 단기 공간 운영 경험 제공</w:t>
      </w:r>
    </w:p>
    <w:p>
      <w:pPr>
        <w:pStyle w:val="ListParagraph"/>
        <w:numPr>
          <w:ilvl w:val="0"/>
          <w:numId w:val="2"/>
        </w:numPr>
        <w:spacing w:after="80" w:line="320"/>
      </w:pPr>
      <w:r>
        <w:rPr>
          <w:rFonts w:ascii="맑은 고딕" w:cs="맑은 고딕" w:eastAsia="맑은 고딕" w:hAnsi="맑은 고딕"/>
          <w:sz w:val="22"/>
          <w:szCs w:val="22"/>
        </w:rPr>
        <w:t xml:space="preserve">문화·관광 자원화 — 동네 단위 콘텐츠 큐레이션으로 지역 브랜드 가치 제고</w:t>
      </w:r>
    </w:p>
    <w:p>
      <w:pPr>
        <w:pStyle w:val="Heading2"/>
        <w:spacing w:after="140" w:before="280"/>
      </w:pPr>
      <w:r>
        <w:rPr>
          <w:rFonts w:ascii="맑은 고딕" w:cs="맑은 고딕" w:eastAsia="맑은 고딕" w:hAnsi="맑은 고딕"/>
          <w:b/>
          <w:bCs/>
          <w:color w:val="1F1F1F"/>
          <w:sz w:val="26"/>
          <w:szCs w:val="26"/>
        </w:rPr>
        <w:t xml:space="preserve">2.3 사업 차별점</w:t>
      </w:r>
    </w:p>
    <w:p>
      <w:pPr>
        <w:pStyle w:val="ListParagraph"/>
        <w:numPr>
          <w:ilvl w:val="0"/>
          <w:numId w:val="2"/>
        </w:numPr>
        <w:spacing w:after="80" w:line="320"/>
      </w:pPr>
      <w:r>
        <w:rPr>
          <w:rFonts w:ascii="맑은 고딕" w:cs="맑은 고딕" w:eastAsia="맑은 고딕" w:hAnsi="맑은 고딕"/>
          <w:sz w:val="22"/>
          <w:szCs w:val="22"/>
        </w:rPr>
        <w:t xml:space="preserve">매물 나열형 플랫폼이 아닌 매칭·큐레이션 중심 — AI 기반 공간-브랜드 적합도 추천</w:t>
      </w:r>
    </w:p>
    <w:p>
      <w:pPr>
        <w:pStyle w:val="ListParagraph"/>
        <w:numPr>
          <w:ilvl w:val="0"/>
          <w:numId w:val="2"/>
        </w:numPr>
        <w:spacing w:after="80" w:line="320"/>
      </w:pPr>
      <w:r>
        <w:rPr>
          <w:rFonts w:ascii="맑은 고딕" w:cs="맑은 고딕" w:eastAsia="맑은 고딕" w:hAnsi="맑은 고딕"/>
          <w:sz w:val="22"/>
          <w:szCs w:val="22"/>
        </w:rPr>
        <w:t xml:space="preserve">팝업이라는 도메인 특성에 최적화 — 단기·캠페인성·일시성 운영 모델</w:t>
      </w:r>
    </w:p>
    <w:p>
      <w:pPr>
        <w:pStyle w:val="ListParagraph"/>
        <w:numPr>
          <w:ilvl w:val="0"/>
          <w:numId w:val="2"/>
        </w:numPr>
        <w:spacing w:after="80" w:line="320"/>
      </w:pPr>
      <w:r>
        <w:rPr>
          <w:rFonts w:ascii="맑은 고딕" w:cs="맑은 고딕" w:eastAsia="맑은 고딕" w:hAnsi="맑은 고딕"/>
          <w:sz w:val="22"/>
          <w:szCs w:val="22"/>
        </w:rPr>
        <w:t xml:space="preserve">동네 단위 콘텐츠 자산 구축 — 매물이 아닌 '동네'를 매거진 형태로 다룸</w:t>
      </w:r>
    </w:p>
    <w:p>
      <w:pPr>
        <w:pStyle w:val="ListParagraph"/>
        <w:numPr>
          <w:ilvl w:val="0"/>
          <w:numId w:val="2"/>
        </w:numPr>
        <w:spacing w:after="80" w:line="320"/>
      </w:pPr>
      <w:r>
        <w:rPr>
          <w:rFonts w:ascii="맑은 고딕" w:cs="맑은 고딕" w:eastAsia="맑은 고딕" w:hAnsi="맑은 고딕"/>
          <w:sz w:val="22"/>
          <w:szCs w:val="22"/>
        </w:rPr>
        <w:t xml:space="preserve">타 지자체 확산 가능한 표준 구조 — 1차연도 결과물이 그대로 템플릿화</w:t>
      </w:r>
    </w:p>
    <w:p>
      <w:r>
        <w:br w:type="page"/>
      </w:r>
    </w:p>
    <w:p>
      <w:pPr>
        <w:pStyle w:val="Heading1"/>
        <w:spacing w:after="180" w:before="360"/>
      </w:pPr>
      <w:r>
        <w:rPr>
          <w:rFonts w:ascii="맑은 고딕" w:cs="맑은 고딕" w:eastAsia="맑은 고딕" w:hAnsi="맑은 고딕"/>
          <w:b/>
          <w:bCs/>
          <w:color w:val="1F1F1F"/>
          <w:sz w:val="32"/>
          <w:szCs w:val="32"/>
        </w:rPr>
        <w:t xml:space="preserve">3. 사업 목표</w:t>
      </w:r>
    </w:p>
    <w:p>
      <w:pPr>
        <w:pStyle w:val="Heading2"/>
        <w:spacing w:after="140" w:before="280"/>
      </w:pPr>
      <w:r>
        <w:rPr>
          <w:rFonts w:ascii="맑은 고딕" w:cs="맑은 고딕" w:eastAsia="맑은 고딕" w:hAnsi="맑은 고딕"/>
          <w:b/>
          <w:bCs/>
          <w:color w:val="1F1F1F"/>
          <w:sz w:val="26"/>
          <w:szCs w:val="26"/>
        </w:rPr>
        <w:t xml:space="preserve">3.1 정량 목표 (사업 종료 시점 누적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700"/>
        <w:gridCol w:w="1700"/>
        <w:gridCol w:w="2760"/>
      </w:tblGrid>
      <w:tr>
        <w:tc>
          <w:tcPr>
            <w:tcW w:type="dxa" w:w="120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구분</w:t>
            </w:r>
          </w:p>
        </w:tc>
        <w:tc>
          <w:tcPr>
            <w:tcW w:type="dxa" w:w="200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지표</w:t>
            </w:r>
          </w:p>
        </w:tc>
        <w:tc>
          <w:tcPr>
            <w:tcW w:type="dxa" w:w="170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기준안 (3억)</w:t>
            </w:r>
          </w:p>
        </w:tc>
        <w:tc>
          <w:tcPr>
            <w:tcW w:type="dxa" w:w="170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확장안 (5억)</w:t>
            </w:r>
          </w:p>
        </w:tc>
        <w:tc>
          <w:tcPr>
            <w:tcW w:type="dxa" w:w="276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산정 기준</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공급 측</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등록 공실 수</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150 건</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300 건</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임대인 등록 대시보드 기반 누적 등록 건수 (사업 종료 시점)</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수요 측</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입점 신청 브랜드 수</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200 건</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400 건</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플랫폼 입점 신청 양식 제출 기준 누적 건수</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매칭</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성사 매칭 건수</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60 건</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120 건</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전자계약 체결 완료 기준 누적 건수</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콘텐츠</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동네 매거진 콘텐츠 발행</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8 편</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16 편</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자체 에디터 발행 콘텐츠 (인터뷰 포함)</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트래픽</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월 활성 사용자 (MAU)</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5,000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12,000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GA4 등 분석 도구 기반 월간 순방문 사용자, 사업 종료 시점 직전 3개월 평균</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거래</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누적 거래 GMV (추정)</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1.2억 원</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3.0억 원</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플랫폼 내 단기 임대 거래액 + 입점 브랜드 자사몰 연결 거래 추정치 (개인정보 비식별 통계)</w:t>
            </w:r>
          </w:p>
        </w:tc>
      </w:tr>
    </w:tbl>
    <w:p>
      <w:pPr>
        <w:pStyle w:val="Heading2"/>
        <w:spacing w:after="140" w:before="280"/>
      </w:pPr>
      <w:r>
        <w:rPr>
          <w:rFonts w:ascii="맑은 고딕" w:cs="맑은 고딕" w:eastAsia="맑은 고딕" w:hAnsi="맑은 고딕"/>
          <w:b/>
          <w:bCs/>
          <w:color w:val="1F1F1F"/>
          <w:sz w:val="26"/>
          <w:szCs w:val="26"/>
        </w:rPr>
        <w:t xml:space="preserve">3.2 정성 목표</w:t>
      </w:r>
    </w:p>
    <w:p>
      <w:pPr>
        <w:pStyle w:val="ListParagraph"/>
        <w:numPr>
          <w:ilvl w:val="0"/>
          <w:numId w:val="2"/>
        </w:numPr>
        <w:spacing w:after="80" w:line="320"/>
      </w:pPr>
      <w:r>
        <w:rPr>
          <w:rFonts w:ascii="맑은 고딕" w:cs="맑은 고딕" w:eastAsia="맑은 고딕" w:hAnsi="맑은 고딕"/>
          <w:sz w:val="22"/>
          <w:szCs w:val="22"/>
        </w:rPr>
        <w:t xml:space="preserve">지역 골목 단위 캐릭터를 콘텐츠로 가시화하여 외부 브랜드·관광객의 인지 형성</w:t>
      </w:r>
    </w:p>
    <w:p>
      <w:pPr>
        <w:pStyle w:val="ListParagraph"/>
        <w:numPr>
          <w:ilvl w:val="0"/>
          <w:numId w:val="2"/>
        </w:numPr>
        <w:spacing w:after="80" w:line="320"/>
      </w:pPr>
      <w:r>
        <w:rPr>
          <w:rFonts w:ascii="맑은 고딕" w:cs="맑은 고딕" w:eastAsia="맑은 고딕" w:hAnsi="맑은 고딕"/>
          <w:sz w:val="22"/>
          <w:szCs w:val="22"/>
        </w:rPr>
        <w:t xml:space="preserve">공실의 단기 활성화 경험을 통해 임대인의 장기 임대 부담 완화 및 지역 정착 유도</w:t>
      </w:r>
    </w:p>
    <w:p>
      <w:pPr>
        <w:pStyle w:val="ListParagraph"/>
        <w:numPr>
          <w:ilvl w:val="0"/>
          <w:numId w:val="2"/>
        </w:numPr>
        <w:spacing w:after="80" w:line="320"/>
      </w:pPr>
      <w:r>
        <w:rPr>
          <w:rFonts w:ascii="맑은 고딕" w:cs="맑은 고딕" w:eastAsia="맑은 고딕" w:hAnsi="맑은 고딕"/>
          <w:sz w:val="22"/>
          <w:szCs w:val="22"/>
        </w:rPr>
        <w:t xml:space="preserve">청년·창작자에게 진입 장벽이 낮은 공간 운영 기회 제공</w:t>
      </w:r>
    </w:p>
    <w:p>
      <w:pPr>
        <w:pStyle w:val="ListParagraph"/>
        <w:numPr>
          <w:ilvl w:val="0"/>
          <w:numId w:val="2"/>
        </w:numPr>
        <w:spacing w:after="80" w:line="320"/>
      </w:pPr>
      <w:r>
        <w:rPr>
          <w:rFonts w:ascii="맑은 고딕" w:cs="맑은 고딕" w:eastAsia="맑은 고딕" w:hAnsi="맑은 고딕"/>
          <w:sz w:val="22"/>
          <w:szCs w:val="22"/>
        </w:rPr>
        <w:t xml:space="preserve">데이터·운영 노하우의 표준화로 타 지자체 확산 시 즉시 활용 가능한 자산 축적</w:t>
      </w:r>
    </w:p>
    <w:p>
      <w:r>
        <w:br w:type="page"/>
      </w:r>
    </w:p>
    <w:p>
      <w:pPr>
        <w:pStyle w:val="Heading1"/>
        <w:spacing w:after="180" w:before="360"/>
      </w:pPr>
      <w:r>
        <w:rPr>
          <w:rFonts w:ascii="맑은 고딕" w:cs="맑은 고딕" w:eastAsia="맑은 고딕" w:hAnsi="맑은 고딕"/>
          <w:b/>
          <w:bCs/>
          <w:color w:val="1F1F1F"/>
          <w:sz w:val="32"/>
          <w:szCs w:val="32"/>
        </w:rPr>
        <w:t xml:space="preserve">4. 사업 내용</w:t>
      </w:r>
    </w:p>
    <w:p>
      <w:pPr>
        <w:spacing w:after="120" w:line="340"/>
      </w:pPr>
      <w:r>
        <w:rPr>
          <w:rFonts w:ascii="맑은 고딕" w:cs="맑은 고딕" w:eastAsia="맑은 고딕" w:hAnsi="맑은 고딕"/>
          <w:sz w:val="22"/>
          <w:szCs w:val="22"/>
        </w:rPr>
        <w:t xml:space="preserve">본 사업 IT 영역은 다음 4개 축으로 구성된다. 4개 축은 상호 보완적으로 작동하며, 공실 매칭 플랫폼을 핵심 축으로 두고 프로모션·데이터 분석·커머스 모듈이 운영 성과를 누적·확장하는 구조로 설계되었다.</w:t>
      </w:r>
    </w:p>
    <w:p>
      <w:pPr>
        <w:pStyle w:val="Heading2"/>
        <w:spacing w:after="140" w:before="280"/>
      </w:pPr>
      <w:r>
        <w:rPr>
          <w:rFonts w:ascii="맑은 고딕" w:cs="맑은 고딕" w:eastAsia="맑은 고딕" w:hAnsi="맑은 고딕"/>
          <w:b/>
          <w:bCs/>
          <w:color w:val="1F1F1F"/>
          <w:sz w:val="26"/>
          <w:szCs w:val="26"/>
        </w:rPr>
        <w:t xml:space="preserve">4.1 [축 A] 공실 매칭 플랫폼 — 핵심 축</w:t>
      </w:r>
    </w:p>
    <w:p>
      <w:pPr>
        <w:spacing w:after="120" w:line="340"/>
      </w:pPr>
      <w:r>
        <w:rPr>
          <w:rFonts w:ascii="맑은 고딕" w:cs="맑은 고딕" w:eastAsia="맑은 고딕" w:hAnsi="맑은 고딕"/>
          <w:sz w:val="22"/>
          <w:szCs w:val="22"/>
        </w:rPr>
        <w:t xml:space="preserve">지역 내 단기 임대 가능 공실과 팝업·브랜드·창작자를 매칭하는 핵심 플랫폼을 구축한다.</w:t>
      </w:r>
    </w:p>
    <w:p>
      <w:pPr>
        <w:pStyle w:val="Heading3"/>
        <w:spacing w:after="100" w:before="200"/>
      </w:pPr>
      <w:r>
        <w:rPr>
          <w:rFonts w:ascii="맑은 고딕" w:cs="맑은 고딕" w:eastAsia="맑은 고딕" w:hAnsi="맑은 고딕"/>
          <w:b/>
          <w:bCs/>
          <w:color w:val="1F1F1F"/>
          <w:sz w:val="22"/>
          <w:szCs w:val="22"/>
        </w:rPr>
        <w:t xml:space="preserve">주요 기능</w:t>
      </w:r>
    </w:p>
    <w:p>
      <w:pPr>
        <w:pStyle w:val="ListParagraph"/>
        <w:numPr>
          <w:ilvl w:val="0"/>
          <w:numId w:val="2"/>
        </w:numPr>
        <w:spacing w:after="80" w:line="320"/>
      </w:pPr>
      <w:r>
        <w:rPr>
          <w:rFonts w:ascii="맑은 고딕" w:cs="맑은 고딕" w:eastAsia="맑은 고딕" w:hAnsi="맑은 고딕"/>
          <w:sz w:val="22"/>
          <w:szCs w:val="22"/>
        </w:rPr>
        <w:t xml:space="preserve">공실 등록·관리 시스템 (임대인용 대시보드, 매물 사진·평면도·가격·일정 관리)</w:t>
      </w:r>
    </w:p>
    <w:p>
      <w:pPr>
        <w:pStyle w:val="ListParagraph"/>
        <w:numPr>
          <w:ilvl w:val="0"/>
          <w:numId w:val="2"/>
        </w:numPr>
        <w:spacing w:after="80" w:line="320"/>
      </w:pPr>
      <w:r>
        <w:rPr>
          <w:rFonts w:ascii="맑은 고딕" w:cs="맑은 고딕" w:eastAsia="맑은 고딕" w:hAnsi="맑은 고딕"/>
          <w:sz w:val="22"/>
          <w:szCs w:val="22"/>
        </w:rPr>
        <w:t xml:space="preserve">동네별 매물 탐색 (지도 기반, 동네 단위 큐레이션 UI)</w:t>
      </w:r>
    </w:p>
    <w:p>
      <w:pPr>
        <w:pStyle w:val="ListParagraph"/>
        <w:numPr>
          <w:ilvl w:val="0"/>
          <w:numId w:val="2"/>
        </w:numPr>
        <w:spacing w:after="80" w:line="320"/>
      </w:pPr>
      <w:r>
        <w:rPr>
          <w:rFonts w:ascii="맑은 고딕" w:cs="맑은 고딕" w:eastAsia="맑은 고딕" w:hAnsi="맑은 고딕"/>
          <w:sz w:val="22"/>
          <w:szCs w:val="22"/>
        </w:rPr>
        <w:t xml:space="preserve">브랜드 매칭 신청·견적·계약 흐름 (단기·팝업 특화 양식)</w:t>
      </w:r>
    </w:p>
    <w:p>
      <w:pPr>
        <w:pStyle w:val="ListParagraph"/>
        <w:numPr>
          <w:ilvl w:val="0"/>
          <w:numId w:val="2"/>
        </w:numPr>
        <w:spacing w:after="80" w:line="320"/>
      </w:pPr>
      <w:r>
        <w:rPr>
          <w:rFonts w:ascii="맑은 고딕" w:cs="맑은 고딕" w:eastAsia="맑은 고딕" w:hAnsi="맑은 고딕"/>
          <w:sz w:val="22"/>
          <w:szCs w:val="22"/>
        </w:rPr>
        <w:t xml:space="preserve">AI 기반 공간-브랜드 적합도 추천 (업종·평수·동네 톤·예산 매칭)</w:t>
      </w:r>
    </w:p>
    <w:p>
      <w:pPr>
        <w:pStyle w:val="ListParagraph"/>
        <w:numPr>
          <w:ilvl w:val="0"/>
          <w:numId w:val="2"/>
        </w:numPr>
        <w:spacing w:after="80" w:line="320"/>
      </w:pPr>
      <w:r>
        <w:rPr>
          <w:rFonts w:ascii="맑은 고딕" w:cs="맑은 고딕" w:eastAsia="맑은 고딕" w:hAnsi="맑은 고딕"/>
          <w:sz w:val="22"/>
          <w:szCs w:val="22"/>
        </w:rPr>
        <w:t xml:space="preserve">일정 캘린더·결제·전자계약 연동</w:t>
      </w:r>
    </w:p>
    <w:p>
      <w:pPr>
        <w:pStyle w:val="ListParagraph"/>
        <w:numPr>
          <w:ilvl w:val="0"/>
          <w:numId w:val="2"/>
        </w:numPr>
        <w:spacing w:after="80" w:line="320"/>
      </w:pPr>
      <w:r>
        <w:rPr>
          <w:rFonts w:ascii="맑은 고딕" w:cs="맑은 고딕" w:eastAsia="맑은 고딕" w:hAnsi="맑은 고딕"/>
          <w:sz w:val="22"/>
          <w:szCs w:val="22"/>
        </w:rPr>
        <w:t xml:space="preserve">리뷰·운영 후기 누적으로 신뢰 지표 구축</w:t>
      </w:r>
    </w:p>
    <w:p>
      <w:pPr>
        <w:pStyle w:val="Heading3"/>
        <w:spacing w:after="100" w:before="200"/>
      </w:pPr>
      <w:r>
        <w:rPr>
          <w:rFonts w:ascii="맑은 고딕" w:cs="맑은 고딕" w:eastAsia="맑은 고딕" w:hAnsi="맑은 고딕"/>
          <w:b/>
          <w:bCs/>
          <w:color w:val="1F1F1F"/>
          <w:sz w:val="22"/>
          <w:szCs w:val="22"/>
        </w:rPr>
        <w:t xml:space="preserve">기술 구성</w:t>
      </w:r>
    </w:p>
    <w:p>
      <w:pPr>
        <w:pStyle w:val="ListParagraph"/>
        <w:numPr>
          <w:ilvl w:val="0"/>
          <w:numId w:val="2"/>
        </w:numPr>
        <w:spacing w:after="80" w:line="320"/>
      </w:pPr>
      <w:r>
        <w:rPr>
          <w:rFonts w:ascii="맑은 고딕" w:cs="맑은 고딕" w:eastAsia="맑은 고딕" w:hAnsi="맑은 고딕"/>
          <w:sz w:val="22"/>
          <w:szCs w:val="22"/>
        </w:rPr>
        <w:t xml:space="preserve">프론트엔드: Next.js · React · TypeScript (PC/모바일 반응형)</w:t>
      </w:r>
    </w:p>
    <w:p>
      <w:pPr>
        <w:pStyle w:val="ListParagraph"/>
        <w:numPr>
          <w:ilvl w:val="0"/>
          <w:numId w:val="2"/>
        </w:numPr>
        <w:spacing w:after="80" w:line="320"/>
      </w:pPr>
      <w:r>
        <w:rPr>
          <w:rFonts w:ascii="맑은 고딕" w:cs="맑은 고딕" w:eastAsia="맑은 고딕" w:hAnsi="맑은 고딕"/>
          <w:sz w:val="22"/>
          <w:szCs w:val="22"/>
        </w:rPr>
        <w:t xml:space="preserve">백엔드: Node.js · PostgreSQL · Redis · 매니지드 클라우드</w:t>
      </w:r>
    </w:p>
    <w:p>
      <w:pPr>
        <w:pStyle w:val="ListParagraph"/>
        <w:numPr>
          <w:ilvl w:val="0"/>
          <w:numId w:val="2"/>
        </w:numPr>
        <w:spacing w:after="80" w:line="320"/>
      </w:pPr>
      <w:r>
        <w:rPr>
          <w:rFonts w:ascii="맑은 고딕" w:cs="맑은 고딕" w:eastAsia="맑은 고딕" w:hAnsi="맑은 고딕"/>
          <w:sz w:val="22"/>
          <w:szCs w:val="22"/>
        </w:rPr>
        <w:t xml:space="preserve">지도·위치: 외부 지도 API 연동, 동네 폴리곤 데이터 자체 구축</w:t>
      </w:r>
    </w:p>
    <w:p>
      <w:pPr>
        <w:pStyle w:val="ListParagraph"/>
        <w:numPr>
          <w:ilvl w:val="0"/>
          <w:numId w:val="2"/>
        </w:numPr>
        <w:spacing w:after="80" w:line="320"/>
      </w:pPr>
      <w:r>
        <w:rPr>
          <w:rFonts w:ascii="맑은 고딕" w:cs="맑은 고딕" w:eastAsia="맑은 고딕" w:hAnsi="맑은 고딕"/>
          <w:sz w:val="22"/>
          <w:szCs w:val="22"/>
        </w:rPr>
        <w:t xml:space="preserve">결제·전자계약: PG사·전자계약 SaaS 연동</w:t>
      </w:r>
    </w:p>
    <w:p>
      <w:pPr>
        <w:pStyle w:val="Heading2"/>
        <w:spacing w:after="140" w:before="280"/>
      </w:pPr>
      <w:r>
        <w:rPr>
          <w:rFonts w:ascii="맑은 고딕" w:cs="맑은 고딕" w:eastAsia="맑은 고딕" w:hAnsi="맑은 고딕"/>
          <w:b/>
          <w:bCs/>
          <w:color w:val="1F1F1F"/>
          <w:sz w:val="26"/>
          <w:szCs w:val="26"/>
        </w:rPr>
        <w:t xml:space="preserve">4.2 [축 B] 프로모션·마케팅 자동화</w:t>
      </w:r>
    </w:p>
    <w:p>
      <w:pPr>
        <w:spacing w:after="120" w:line="340"/>
      </w:pPr>
      <w:r>
        <w:rPr>
          <w:rFonts w:ascii="맑은 고딕" w:cs="맑은 고딕" w:eastAsia="맑은 고딕" w:hAnsi="맑은 고딕"/>
          <w:sz w:val="22"/>
          <w:szCs w:val="22"/>
        </w:rPr>
        <w:t xml:space="preserve">입점 브랜드의 팝업 운영 기간 중 프로모션·마케팅 활동을 자동화하여 지역 유입을 극대화한다.</w:t>
      </w:r>
    </w:p>
    <w:p>
      <w:pPr>
        <w:pStyle w:val="Heading3"/>
        <w:spacing w:after="100" w:before="200"/>
      </w:pPr>
      <w:r>
        <w:rPr>
          <w:rFonts w:ascii="맑은 고딕" w:cs="맑은 고딕" w:eastAsia="맑은 고딕" w:hAnsi="맑은 고딕"/>
          <w:b/>
          <w:bCs/>
          <w:color w:val="1F1F1F"/>
          <w:sz w:val="22"/>
          <w:szCs w:val="22"/>
        </w:rPr>
        <w:t xml:space="preserve">주요 기능</w:t>
      </w:r>
    </w:p>
    <w:p>
      <w:pPr>
        <w:pStyle w:val="ListParagraph"/>
        <w:numPr>
          <w:ilvl w:val="0"/>
          <w:numId w:val="2"/>
        </w:numPr>
        <w:spacing w:after="80" w:line="320"/>
      </w:pPr>
      <w:r>
        <w:rPr>
          <w:rFonts w:ascii="맑은 고딕" w:cs="맑은 고딕" w:eastAsia="맑은 고딕" w:hAnsi="맑은 고딕"/>
          <w:sz w:val="22"/>
          <w:szCs w:val="22"/>
        </w:rPr>
        <w:t xml:space="preserve">팝업별 캠페인 페이지 자동 생성 (브랜드 정보 + 동네 콘텐츠 결합)</w:t>
      </w:r>
    </w:p>
    <w:p>
      <w:pPr>
        <w:pStyle w:val="ListParagraph"/>
        <w:numPr>
          <w:ilvl w:val="0"/>
          <w:numId w:val="2"/>
        </w:numPr>
        <w:spacing w:after="80" w:line="320"/>
      </w:pPr>
      <w:r>
        <w:rPr>
          <w:rFonts w:ascii="맑은 고딕" w:cs="맑은 고딕" w:eastAsia="맑은 고딕" w:hAnsi="맑은 고딕"/>
          <w:sz w:val="22"/>
          <w:szCs w:val="22"/>
        </w:rPr>
        <w:t xml:space="preserve">SNS·검색 광고 소재 자동 생성 (AI 카피·이미지 생성 활용)</w:t>
      </w:r>
    </w:p>
    <w:p>
      <w:pPr>
        <w:pStyle w:val="ListParagraph"/>
        <w:numPr>
          <w:ilvl w:val="0"/>
          <w:numId w:val="2"/>
        </w:numPr>
        <w:spacing w:after="80" w:line="320"/>
      </w:pPr>
      <w:r>
        <w:rPr>
          <w:rFonts w:ascii="맑은 고딕" w:cs="맑은 고딕" w:eastAsia="맑은 고딕" w:hAnsi="맑은 고딕"/>
          <w:sz w:val="22"/>
          <w:szCs w:val="22"/>
        </w:rPr>
        <w:t xml:space="preserve">운영 기간·재고·이벤트 일정에 따른 자동 알림 (카카오 알림톡·SMS·이메일)</w:t>
      </w:r>
    </w:p>
    <w:p>
      <w:pPr>
        <w:pStyle w:val="ListParagraph"/>
        <w:numPr>
          <w:ilvl w:val="0"/>
          <w:numId w:val="2"/>
        </w:numPr>
        <w:spacing w:after="80" w:line="320"/>
      </w:pPr>
      <w:r>
        <w:rPr>
          <w:rFonts w:ascii="맑은 고딕" w:cs="맑은 고딕" w:eastAsia="맑은 고딕" w:hAnsi="맑은 고딕"/>
          <w:sz w:val="22"/>
          <w:szCs w:val="22"/>
        </w:rPr>
        <w:t xml:space="preserve">쿠폰·바우처 발행 및 QR 회수 관리</w:t>
      </w:r>
    </w:p>
    <w:p>
      <w:pPr>
        <w:pStyle w:val="ListParagraph"/>
        <w:numPr>
          <w:ilvl w:val="0"/>
          <w:numId w:val="2"/>
        </w:numPr>
        <w:spacing w:after="80" w:line="320"/>
      </w:pPr>
      <w:r>
        <w:rPr>
          <w:rFonts w:ascii="맑은 고딕" w:cs="맑은 고딕" w:eastAsia="맑은 고딕" w:hAnsi="맑은 고딕"/>
          <w:sz w:val="22"/>
          <w:szCs w:val="22"/>
        </w:rPr>
        <w:t xml:space="preserve">인근 매장·관광지와의 연계 프로모션 패키지</w:t>
      </w:r>
    </w:p>
    <w:p>
      <w:pPr>
        <w:pStyle w:val="ListParagraph"/>
        <w:numPr>
          <w:ilvl w:val="0"/>
          <w:numId w:val="2"/>
        </w:numPr>
        <w:spacing w:after="80" w:line="320"/>
      </w:pPr>
      <w:r>
        <w:rPr>
          <w:rFonts w:ascii="맑은 고딕" w:cs="맑은 고딕" w:eastAsia="맑은 고딕" w:hAnsi="맑은 고딕"/>
          <w:sz w:val="22"/>
          <w:szCs w:val="22"/>
        </w:rPr>
        <w:t xml:space="preserve">매거진형 동네 콘텐츠와 결합된 SEO 최적화 랜딩</w:t>
      </w:r>
    </w:p>
    <w:p>
      <w:pPr>
        <w:pStyle w:val="Heading3"/>
        <w:spacing w:after="100" w:before="200"/>
      </w:pPr>
      <w:r>
        <w:rPr>
          <w:rFonts w:ascii="맑은 고딕" w:cs="맑은 고딕" w:eastAsia="맑은 고딕" w:hAnsi="맑은 고딕"/>
          <w:b/>
          <w:bCs/>
          <w:color w:val="1F1F1F"/>
          <w:sz w:val="22"/>
          <w:szCs w:val="22"/>
        </w:rPr>
        <w:t xml:space="preserve">기술 구성</w:t>
      </w:r>
    </w:p>
    <w:p>
      <w:pPr>
        <w:pStyle w:val="ListParagraph"/>
        <w:numPr>
          <w:ilvl w:val="0"/>
          <w:numId w:val="2"/>
        </w:numPr>
        <w:spacing w:after="80" w:line="320"/>
      </w:pPr>
      <w:r>
        <w:rPr>
          <w:rFonts w:ascii="맑은 고딕" w:cs="맑은 고딕" w:eastAsia="맑은 고딕" w:hAnsi="맑은 고딕"/>
          <w:sz w:val="22"/>
          <w:szCs w:val="22"/>
        </w:rPr>
        <w:t xml:space="preserve">LLM·이미지 생성 API 기반 콘텐츠 자동 생성</w:t>
      </w:r>
    </w:p>
    <w:p>
      <w:pPr>
        <w:pStyle w:val="ListParagraph"/>
        <w:numPr>
          <w:ilvl w:val="0"/>
          <w:numId w:val="2"/>
        </w:numPr>
        <w:spacing w:after="80" w:line="320"/>
      </w:pPr>
      <w:r>
        <w:rPr>
          <w:rFonts w:ascii="맑은 고딕" w:cs="맑은 고딕" w:eastAsia="맑은 고딕" w:hAnsi="맑은 고딕"/>
          <w:sz w:val="22"/>
          <w:szCs w:val="22"/>
        </w:rPr>
        <w:t xml:space="preserve">카카오 비즈메시지·SMS·이메일 발송 인프라</w:t>
      </w:r>
    </w:p>
    <w:p>
      <w:pPr>
        <w:pStyle w:val="ListParagraph"/>
        <w:numPr>
          <w:ilvl w:val="0"/>
          <w:numId w:val="2"/>
        </w:numPr>
        <w:spacing w:after="80" w:line="320"/>
      </w:pPr>
      <w:r>
        <w:rPr>
          <w:rFonts w:ascii="맑은 고딕" w:cs="맑은 고딕" w:eastAsia="맑은 고딕" w:hAnsi="맑은 고딕"/>
          <w:sz w:val="22"/>
          <w:szCs w:val="22"/>
        </w:rPr>
        <w:t xml:space="preserve">쿠폰 발행·QR 검증 서비스</w:t>
      </w:r>
    </w:p>
    <w:p>
      <w:pPr>
        <w:pStyle w:val="ListParagraph"/>
        <w:numPr>
          <w:ilvl w:val="0"/>
          <w:numId w:val="2"/>
        </w:numPr>
        <w:spacing w:after="80" w:line="320"/>
      </w:pPr>
      <w:r>
        <w:rPr>
          <w:rFonts w:ascii="맑은 고딕" w:cs="맑은 고딕" w:eastAsia="맑은 고딕" w:hAnsi="맑은 고딕"/>
          <w:sz w:val="22"/>
          <w:szCs w:val="22"/>
        </w:rPr>
        <w:t xml:space="preserve">SEO·SNS 메타 자동 생성 (브랜드별 OG 이미지 동적 생성)</w:t>
      </w:r>
    </w:p>
    <w:p>
      <w:pPr>
        <w:pStyle w:val="Heading2"/>
        <w:spacing w:after="140" w:before="280"/>
      </w:pPr>
      <w:r>
        <w:rPr>
          <w:rFonts w:ascii="맑은 고딕" w:cs="맑은 고딕" w:eastAsia="맑은 고딕" w:hAnsi="맑은 고딕"/>
          <w:b/>
          <w:bCs/>
          <w:color w:val="1F1F1F"/>
          <w:sz w:val="26"/>
          <w:szCs w:val="26"/>
        </w:rPr>
        <w:t xml:space="preserve">4.3 [축 C] 데이터·AI 분석 대시보드</w:t>
      </w:r>
    </w:p>
    <w:p>
      <w:pPr>
        <w:spacing w:after="120" w:line="340"/>
      </w:pPr>
      <w:r>
        <w:rPr>
          <w:rFonts w:ascii="맑은 고딕" w:cs="맑은 고딕" w:eastAsia="맑은 고딕" w:hAnsi="맑은 고딕"/>
          <w:sz w:val="22"/>
          <w:szCs w:val="22"/>
        </w:rPr>
        <w:t xml:space="preserve">공실 운영 결과를 데이터로 축적하고, 지자체·운영기관·임대인이 의사결정에 활용할 수 있는 대시보드를 제공한다.</w:t>
      </w:r>
    </w:p>
    <w:p>
      <w:pPr>
        <w:pStyle w:val="Heading3"/>
        <w:spacing w:after="100" w:before="200"/>
      </w:pPr>
      <w:r>
        <w:rPr>
          <w:rFonts w:ascii="맑은 고딕" w:cs="맑은 고딕" w:eastAsia="맑은 고딕" w:hAnsi="맑은 고딕"/>
          <w:b/>
          <w:bCs/>
          <w:color w:val="1F1F1F"/>
          <w:sz w:val="22"/>
          <w:szCs w:val="22"/>
        </w:rPr>
        <w:t xml:space="preserve">주요 기능</w:t>
      </w:r>
    </w:p>
    <w:p>
      <w:pPr>
        <w:pStyle w:val="ListParagraph"/>
        <w:numPr>
          <w:ilvl w:val="0"/>
          <w:numId w:val="2"/>
        </w:numPr>
        <w:spacing w:after="80" w:line="320"/>
      </w:pPr>
      <w:r>
        <w:rPr>
          <w:rFonts w:ascii="맑은 고딕" w:cs="맑은 고딕" w:eastAsia="맑은 고딕" w:hAnsi="맑은 고딕"/>
          <w:sz w:val="22"/>
          <w:szCs w:val="22"/>
        </w:rPr>
        <w:t xml:space="preserve">지자체용 대시보드: 동네별 공실률·매칭률·유입·체류·매출 추정</w:t>
      </w:r>
    </w:p>
    <w:p>
      <w:pPr>
        <w:pStyle w:val="ListParagraph"/>
        <w:numPr>
          <w:ilvl w:val="0"/>
          <w:numId w:val="2"/>
        </w:numPr>
        <w:spacing w:after="80" w:line="320"/>
      </w:pPr>
      <w:r>
        <w:rPr>
          <w:rFonts w:ascii="맑은 고딕" w:cs="맑은 고딕" w:eastAsia="맑은 고딕" w:hAnsi="맑은 고딕"/>
          <w:sz w:val="22"/>
          <w:szCs w:val="22"/>
        </w:rPr>
        <w:t xml:space="preserve">운영기관용 대시보드: 매칭 퍼널·전환율·운영 KPI 모니터링</w:t>
      </w:r>
    </w:p>
    <w:p>
      <w:pPr>
        <w:pStyle w:val="ListParagraph"/>
        <w:numPr>
          <w:ilvl w:val="0"/>
          <w:numId w:val="2"/>
        </w:numPr>
        <w:spacing w:after="80" w:line="320"/>
      </w:pPr>
      <w:r>
        <w:rPr>
          <w:rFonts w:ascii="맑은 고딕" w:cs="맑은 고딕" w:eastAsia="맑은 고딕" w:hAnsi="맑은 고딕"/>
          <w:sz w:val="22"/>
          <w:szCs w:val="22"/>
        </w:rPr>
        <w:t xml:space="preserve">임대인용 리포트: 공실 운영 이력·예상 수익·재계약 가능성</w:t>
      </w:r>
    </w:p>
    <w:p>
      <w:pPr>
        <w:pStyle w:val="ListParagraph"/>
        <w:numPr>
          <w:ilvl w:val="0"/>
          <w:numId w:val="2"/>
        </w:numPr>
        <w:spacing w:after="80" w:line="320"/>
      </w:pPr>
      <w:r>
        <w:rPr>
          <w:rFonts w:ascii="맑은 고딕" w:cs="맑은 고딕" w:eastAsia="맑은 고딕" w:hAnsi="맑은 고딕"/>
          <w:sz w:val="22"/>
          <w:szCs w:val="22"/>
        </w:rPr>
        <w:t xml:space="preserve">브랜드용 리포트: 팝업 운영 결과·유입 분석·재방문 의사</w:t>
      </w:r>
    </w:p>
    <w:p>
      <w:pPr>
        <w:pStyle w:val="ListParagraph"/>
        <w:numPr>
          <w:ilvl w:val="0"/>
          <w:numId w:val="2"/>
        </w:numPr>
        <w:spacing w:after="80" w:line="320"/>
      </w:pPr>
      <w:r>
        <w:rPr>
          <w:rFonts w:ascii="맑은 고딕" w:cs="맑은 고딕" w:eastAsia="맑은 고딕" w:hAnsi="맑은 고딕"/>
          <w:sz w:val="22"/>
          <w:szCs w:val="22"/>
        </w:rPr>
        <w:t xml:space="preserve">AI 기반 동네 매칭 추천 (브랜드 톤·타깃·예산 입력 시 최적 동네 추천)</w:t>
      </w:r>
    </w:p>
    <w:p>
      <w:pPr>
        <w:pStyle w:val="ListParagraph"/>
        <w:numPr>
          <w:ilvl w:val="0"/>
          <w:numId w:val="2"/>
        </w:numPr>
        <w:spacing w:after="80" w:line="320"/>
      </w:pPr>
      <w:r>
        <w:rPr>
          <w:rFonts w:ascii="맑은 고딕" w:cs="맑은 고딕" w:eastAsia="맑은 고딕" w:hAnsi="맑은 고딕"/>
          <w:sz w:val="22"/>
          <w:szCs w:val="22"/>
        </w:rPr>
        <w:t xml:space="preserve">연간·분기별 자동 리포트 PDF 생성</w:t>
      </w:r>
    </w:p>
    <w:p>
      <w:pPr>
        <w:pStyle w:val="Heading3"/>
        <w:spacing w:after="100" w:before="200"/>
      </w:pPr>
      <w:r>
        <w:rPr>
          <w:rFonts w:ascii="맑은 고딕" w:cs="맑은 고딕" w:eastAsia="맑은 고딕" w:hAnsi="맑은 고딕"/>
          <w:b/>
          <w:bCs/>
          <w:color w:val="1F1F1F"/>
          <w:sz w:val="22"/>
          <w:szCs w:val="22"/>
        </w:rPr>
        <w:t xml:space="preserve">기술 구성</w:t>
      </w:r>
    </w:p>
    <w:p>
      <w:pPr>
        <w:pStyle w:val="ListParagraph"/>
        <w:numPr>
          <w:ilvl w:val="0"/>
          <w:numId w:val="2"/>
        </w:numPr>
        <w:spacing w:after="80" w:line="320"/>
      </w:pPr>
      <w:r>
        <w:rPr>
          <w:rFonts w:ascii="맑은 고딕" w:cs="맑은 고딕" w:eastAsia="맑은 고딕" w:hAnsi="맑은 고딕"/>
          <w:sz w:val="22"/>
          <w:szCs w:val="22"/>
        </w:rPr>
        <w:t xml:space="preserve">데이터 파이프라인: 이벤트 로그·결제·외부 행정 데이터 통합</w:t>
      </w:r>
    </w:p>
    <w:p>
      <w:pPr>
        <w:pStyle w:val="ListParagraph"/>
        <w:numPr>
          <w:ilvl w:val="0"/>
          <w:numId w:val="2"/>
        </w:numPr>
        <w:spacing w:after="80" w:line="320"/>
      </w:pPr>
      <w:r>
        <w:rPr>
          <w:rFonts w:ascii="맑은 고딕" w:cs="맑은 고딕" w:eastAsia="맑은 고딕" w:hAnsi="맑은 고딕"/>
          <w:sz w:val="22"/>
          <w:szCs w:val="22"/>
        </w:rPr>
        <w:t xml:space="preserve">BI 도구·임베디드 차트 라이브러리</w:t>
      </w:r>
    </w:p>
    <w:p>
      <w:pPr>
        <w:pStyle w:val="ListParagraph"/>
        <w:numPr>
          <w:ilvl w:val="0"/>
          <w:numId w:val="2"/>
        </w:numPr>
        <w:spacing w:after="80" w:line="320"/>
      </w:pPr>
      <w:r>
        <w:rPr>
          <w:rFonts w:ascii="맑은 고딕" w:cs="맑은 고딕" w:eastAsia="맑은 고딕" w:hAnsi="맑은 고딕"/>
          <w:sz w:val="22"/>
          <w:szCs w:val="22"/>
        </w:rPr>
        <w:t xml:space="preserve">LLM 기반 자연어 질의 (Text-to-Insight) 모듈</w:t>
      </w:r>
    </w:p>
    <w:p>
      <w:pPr>
        <w:pStyle w:val="ListParagraph"/>
        <w:numPr>
          <w:ilvl w:val="0"/>
          <w:numId w:val="2"/>
        </w:numPr>
        <w:spacing w:after="80" w:line="320"/>
      </w:pPr>
      <w:r>
        <w:rPr>
          <w:rFonts w:ascii="맑은 고딕" w:cs="맑은 고딕" w:eastAsia="맑은 고딕" w:hAnsi="맑은 고딕"/>
          <w:sz w:val="22"/>
          <w:szCs w:val="22"/>
        </w:rPr>
        <w:t xml:space="preserve">개인정보 비식별화 처리 파이프라인</w:t>
      </w:r>
    </w:p>
    <w:p>
      <w:pPr>
        <w:pStyle w:val="Heading2"/>
        <w:spacing w:after="140" w:before="280"/>
      </w:pPr>
      <w:r>
        <w:rPr>
          <w:rFonts w:ascii="맑은 고딕" w:cs="맑은 고딕" w:eastAsia="맑은 고딕" w:hAnsi="맑은 고딕"/>
          <w:b/>
          <w:bCs/>
          <w:color w:val="1F1F1F"/>
          <w:sz w:val="26"/>
          <w:szCs w:val="26"/>
        </w:rPr>
        <w:t xml:space="preserve">4.4 [축 D] 구매 연결 / 커머스 모듈</w:t>
      </w:r>
    </w:p>
    <w:p>
      <w:pPr>
        <w:spacing w:after="120" w:line="340"/>
      </w:pPr>
      <w:r>
        <w:rPr>
          <w:rFonts w:ascii="맑은 고딕" w:cs="맑은 고딕" w:eastAsia="맑은 고딕" w:hAnsi="맑은 고딕"/>
          <w:sz w:val="22"/>
          <w:szCs w:val="22"/>
        </w:rPr>
        <w:t xml:space="preserve">팝업 현장 방문 이후 구매·재구매로 이어지는 커머스 흐름을 지원하여 브랜드·임대인·지역의 누적 가치를 높인다.</w:t>
      </w:r>
    </w:p>
    <w:p>
      <w:pPr>
        <w:pStyle w:val="Heading3"/>
        <w:spacing w:after="100" w:before="200"/>
      </w:pPr>
      <w:r>
        <w:rPr>
          <w:rFonts w:ascii="맑은 고딕" w:cs="맑은 고딕" w:eastAsia="맑은 고딕" w:hAnsi="맑은 고딕"/>
          <w:b/>
          <w:bCs/>
          <w:color w:val="1F1F1F"/>
          <w:sz w:val="22"/>
          <w:szCs w:val="22"/>
        </w:rPr>
        <w:t xml:space="preserve">주요 기능</w:t>
      </w:r>
    </w:p>
    <w:p>
      <w:pPr>
        <w:pStyle w:val="ListParagraph"/>
        <w:numPr>
          <w:ilvl w:val="0"/>
          <w:numId w:val="2"/>
        </w:numPr>
        <w:spacing w:after="80" w:line="320"/>
      </w:pPr>
      <w:r>
        <w:rPr>
          <w:rFonts w:ascii="맑은 고딕" w:cs="맑은 고딕" w:eastAsia="맑은 고딕" w:hAnsi="맑은 고딕"/>
          <w:sz w:val="22"/>
          <w:szCs w:val="22"/>
        </w:rPr>
        <w:t xml:space="preserve">팝업 현장 QR → 브랜드 자사몰·온라인 구매 채널 연결</w:t>
      </w:r>
    </w:p>
    <w:p>
      <w:pPr>
        <w:pStyle w:val="ListParagraph"/>
        <w:numPr>
          <w:ilvl w:val="0"/>
          <w:numId w:val="2"/>
        </w:numPr>
        <w:spacing w:after="80" w:line="320"/>
      </w:pPr>
      <w:r>
        <w:rPr>
          <w:rFonts w:ascii="맑은 고딕" w:cs="맑은 고딕" w:eastAsia="맑은 고딕" w:hAnsi="맑은 고딕"/>
          <w:sz w:val="22"/>
          <w:szCs w:val="22"/>
        </w:rPr>
        <w:t xml:space="preserve">팝업 한정 상품·예약 주문 관리</w:t>
      </w:r>
    </w:p>
    <w:p>
      <w:pPr>
        <w:pStyle w:val="ListParagraph"/>
        <w:numPr>
          <w:ilvl w:val="0"/>
          <w:numId w:val="2"/>
        </w:numPr>
        <w:spacing w:after="80" w:line="320"/>
      </w:pPr>
      <w:r>
        <w:rPr>
          <w:rFonts w:ascii="맑은 고딕" w:cs="맑은 고딕" w:eastAsia="맑은 고딕" w:hAnsi="맑은 고딕"/>
          <w:sz w:val="22"/>
          <w:szCs w:val="22"/>
        </w:rPr>
        <w:t xml:space="preserve">간이 결제·픽업 예약 기능 (브랜드 자사몰이 없는 소규모 브랜드 대상)</w:t>
      </w:r>
    </w:p>
    <w:p>
      <w:pPr>
        <w:pStyle w:val="ListParagraph"/>
        <w:numPr>
          <w:ilvl w:val="0"/>
          <w:numId w:val="2"/>
        </w:numPr>
        <w:spacing w:after="80" w:line="320"/>
      </w:pPr>
      <w:r>
        <w:rPr>
          <w:rFonts w:ascii="맑은 고딕" w:cs="맑은 고딕" w:eastAsia="맑은 고딕" w:hAnsi="맑은 고딕"/>
          <w:sz w:val="22"/>
          <w:szCs w:val="22"/>
        </w:rPr>
        <w:t xml:space="preserve">동네 단위 큐레이션 마켓 (시즌·테마별 상품 모음)</w:t>
      </w:r>
    </w:p>
    <w:p>
      <w:pPr>
        <w:pStyle w:val="ListParagraph"/>
        <w:numPr>
          <w:ilvl w:val="0"/>
          <w:numId w:val="2"/>
        </w:numPr>
        <w:spacing w:after="80" w:line="320"/>
      </w:pPr>
      <w:r>
        <w:rPr>
          <w:rFonts w:ascii="맑은 고딕" w:cs="맑은 고딕" w:eastAsia="맑은 고딕" w:hAnsi="맑은 고딕"/>
          <w:sz w:val="22"/>
          <w:szCs w:val="22"/>
        </w:rPr>
        <w:t xml:space="preserve">구매 데이터의 익명화 통계 → 임대인·지자체 리포트 환류</w:t>
      </w:r>
    </w:p>
    <w:p>
      <w:pPr>
        <w:pStyle w:val="ListParagraph"/>
        <w:numPr>
          <w:ilvl w:val="0"/>
          <w:numId w:val="2"/>
        </w:numPr>
        <w:spacing w:after="80" w:line="320"/>
      </w:pPr>
      <w:r>
        <w:rPr>
          <w:rFonts w:ascii="맑은 고딕" w:cs="맑은 고딕" w:eastAsia="맑은 고딕" w:hAnsi="맑은 고딕"/>
          <w:sz w:val="22"/>
          <w:szCs w:val="22"/>
        </w:rPr>
        <w:t xml:space="preserve">재고·매출 정산 모듈</w:t>
      </w:r>
    </w:p>
    <w:p>
      <w:pPr>
        <w:pStyle w:val="Heading3"/>
        <w:spacing w:after="100" w:before="200"/>
      </w:pPr>
      <w:r>
        <w:rPr>
          <w:rFonts w:ascii="맑은 고딕" w:cs="맑은 고딕" w:eastAsia="맑은 고딕" w:hAnsi="맑은 고딕"/>
          <w:b/>
          <w:bCs/>
          <w:color w:val="1F1F1F"/>
          <w:sz w:val="22"/>
          <w:szCs w:val="22"/>
        </w:rPr>
        <w:t xml:space="preserve">기술 구성</w:t>
      </w:r>
    </w:p>
    <w:p>
      <w:pPr>
        <w:pStyle w:val="ListParagraph"/>
        <w:numPr>
          <w:ilvl w:val="0"/>
          <w:numId w:val="2"/>
        </w:numPr>
        <w:spacing w:after="80" w:line="320"/>
      </w:pPr>
      <w:r>
        <w:rPr>
          <w:rFonts w:ascii="맑은 고딕" w:cs="맑은 고딕" w:eastAsia="맑은 고딕" w:hAnsi="맑은 고딕"/>
          <w:sz w:val="22"/>
          <w:szCs w:val="22"/>
        </w:rPr>
        <w:t xml:space="preserve">결제 PG·정산 시스템</w:t>
      </w:r>
    </w:p>
    <w:p>
      <w:pPr>
        <w:pStyle w:val="ListParagraph"/>
        <w:numPr>
          <w:ilvl w:val="0"/>
          <w:numId w:val="2"/>
        </w:numPr>
        <w:spacing w:after="80" w:line="320"/>
      </w:pPr>
      <w:r>
        <w:rPr>
          <w:rFonts w:ascii="맑은 고딕" w:cs="맑은 고딕" w:eastAsia="맑은 고딕" w:hAnsi="맑은 고딕"/>
          <w:sz w:val="22"/>
          <w:szCs w:val="22"/>
        </w:rPr>
        <w:t xml:space="preserve">QR 발행·트래킹 인프라</w:t>
      </w:r>
    </w:p>
    <w:p>
      <w:pPr>
        <w:pStyle w:val="ListParagraph"/>
        <w:numPr>
          <w:ilvl w:val="0"/>
          <w:numId w:val="2"/>
        </w:numPr>
        <w:spacing w:after="80" w:line="320"/>
      </w:pPr>
      <w:r>
        <w:rPr>
          <w:rFonts w:ascii="맑은 고딕" w:cs="맑은 고딕" w:eastAsia="맑은 고딕" w:hAnsi="맑은 고딕"/>
          <w:sz w:val="22"/>
          <w:szCs w:val="22"/>
        </w:rPr>
        <w:t xml:space="preserve">외부 자사몰 연동 API (Shopify·Cafe24 등)</w:t>
      </w:r>
    </w:p>
    <w:p>
      <w:pPr>
        <w:pStyle w:val="ListParagraph"/>
        <w:numPr>
          <w:ilvl w:val="0"/>
          <w:numId w:val="2"/>
        </w:numPr>
        <w:spacing w:after="80" w:line="320"/>
      </w:pPr>
      <w:r>
        <w:rPr>
          <w:rFonts w:ascii="맑은 고딕" w:cs="맑은 고딕" w:eastAsia="맑은 고딕" w:hAnsi="맑은 고딕"/>
          <w:sz w:val="22"/>
          <w:szCs w:val="22"/>
        </w:rPr>
        <w:t xml:space="preserve">주문·재고 관리 백오피스</w:t>
      </w:r>
    </w:p>
    <w:p>
      <w:r>
        <w:br w:type="page"/>
      </w:r>
    </w:p>
    <w:p>
      <w:pPr>
        <w:pStyle w:val="Heading1"/>
        <w:spacing w:after="180" w:before="360"/>
      </w:pPr>
      <w:r>
        <w:rPr>
          <w:rFonts w:ascii="맑은 고딕" w:cs="맑은 고딕" w:eastAsia="맑은 고딕" w:hAnsi="맑은 고딕"/>
          <w:b/>
          <w:bCs/>
          <w:color w:val="1F1F1F"/>
          <w:sz w:val="32"/>
          <w:szCs w:val="32"/>
        </w:rPr>
        <w:t xml:space="preserve">5. 추진 일정 및 협력 체계</w:t>
      </w:r>
    </w:p>
    <w:p>
      <w:pPr>
        <w:pStyle w:val="Heading2"/>
        <w:spacing w:after="140" w:before="280"/>
      </w:pPr>
      <w:r>
        <w:rPr>
          <w:rFonts w:ascii="맑은 고딕" w:cs="맑은 고딕" w:eastAsia="맑은 고딕" w:hAnsi="맑은 고딕"/>
          <w:b/>
          <w:bCs/>
          <w:color w:val="1F1F1F"/>
          <w:sz w:val="26"/>
          <w:szCs w:val="26"/>
        </w:rPr>
        <w:t xml:space="preserve">5.1 추진 일정 (총 19개월, 3단계)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360"/>
        <w:gridCol w:w="2500"/>
      </w:tblGrid>
      <w:tr>
        <w:tc>
          <w:tcPr>
            <w:tcW w:type="dxa" w:w="150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단계</w:t>
            </w:r>
          </w:p>
        </w:tc>
        <w:tc>
          <w:tcPr>
            <w:tcW w:type="dxa" w:w="200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기간</w:t>
            </w:r>
          </w:p>
        </w:tc>
        <w:tc>
          <w:tcPr>
            <w:tcW w:type="dxa" w:w="336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주요 활동</w:t>
            </w:r>
          </w:p>
        </w:tc>
        <w:tc>
          <w:tcPr>
            <w:tcW w:type="dxa" w:w="250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주요 산출물</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구축기</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2026. 6. ~ 2026. 12.</w:t>
            </w:r>
          </w:p>
          <w:p>
            <w:pPr>
              <w:jc w:val="left"/>
            </w:pPr>
            <w:r>
              <w:rPr>
                <w:rFonts w:ascii="맑은 고딕" w:cs="맑은 고딕" w:eastAsia="맑은 고딕" w:hAnsi="맑은 고딕"/>
                <w:b w:val="false"/>
                <w:bCs w:val="false"/>
                <w:sz w:val="20"/>
                <w:szCs w:val="20"/>
              </w:rPr>
              <w:t xml:space="preserve">(M1–M7)</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요구사항 정의 및 디자인 시스템 착수, 인프라·클라우드 환경 구축, 공실 매칭 MVP 및 프로모션·분석·커머스 모듈 개발, 폐쇄 베타 및 공식 오픈</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요구사항서·디자인 시스템, MVP α/β, 정식 서비스 오픈, 첫 동네 매거진 콘텐츠</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운영기</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2027. 1. ~ 2027. 6.</w:t>
            </w:r>
          </w:p>
          <w:p>
            <w:pPr>
              <w:jc w:val="left"/>
            </w:pPr>
            <w:r>
              <w:rPr>
                <w:rFonts w:ascii="맑은 고딕" w:cs="맑은 고딕" w:eastAsia="맑은 고딕" w:hAnsi="맑은 고딕"/>
                <w:b w:val="false"/>
                <w:bCs w:val="false"/>
                <w:sz w:val="20"/>
                <w:szCs w:val="20"/>
              </w:rPr>
              <w:t xml:space="preserve">(M8–M13)</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임대인·브랜드 온보딩 확대, 첫 팝업 운영 시즌, 매거진·인터뷰 콘텐츠 정기 발행, 매칭 성과 누적</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1차 매칭 결과·운영 성과 데이터, 콘텐츠 자산, 운영 매뉴얼 정착</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운영 고도화기</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2027. 7. ~ 2027. 12.</w:t>
            </w:r>
          </w:p>
          <w:p>
            <w:pPr>
              <w:jc w:val="left"/>
            </w:pPr>
            <w:r>
              <w:rPr>
                <w:rFonts w:ascii="맑은 고딕" w:cs="맑은 고딕" w:eastAsia="맑은 고딕" w:hAnsi="맑은 고딕"/>
                <w:b w:val="false"/>
                <w:bCs w:val="false"/>
                <w:sz w:val="20"/>
                <w:szCs w:val="20"/>
              </w:rPr>
              <w:t xml:space="preserve">(M14–M19)</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추천 알고리즘 고도화 및 분석 대시보드 안정화, 1주년 결과 분석, 차년도 확산 계획 수립</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1년차 성과 보고서, 데이터 표준 및 운영 노하우 정리, 차년도 확산 제안</w:t>
            </w:r>
          </w:p>
        </w:tc>
      </w:tr>
    </w:tbl>
    <w:p>
      <w:pPr>
        <w:pStyle w:val="Heading2"/>
        <w:spacing w:after="140" w:before="280"/>
      </w:pPr>
      <w:r>
        <w:rPr>
          <w:rFonts w:ascii="맑은 고딕" w:cs="맑은 고딕" w:eastAsia="맑은 고딕" w:hAnsi="맑은 고딕"/>
          <w:b/>
          <w:bCs/>
          <w:color w:val="1F1F1F"/>
          <w:sz w:val="26"/>
          <w:szCs w:val="26"/>
        </w:rPr>
        <w:t xml:space="preserve">5.2 외부 협력</w:t>
      </w:r>
    </w:p>
    <w:p>
      <w:pPr>
        <w:pStyle w:val="ListParagraph"/>
        <w:numPr>
          <w:ilvl w:val="0"/>
          <w:numId w:val="2"/>
        </w:numPr>
        <w:spacing w:after="80" w:line="320"/>
      </w:pPr>
      <w:r>
        <w:rPr>
          <w:rFonts w:ascii="맑은 고딕" w:cs="맑은 고딕" w:eastAsia="맑은 고딕" w:hAnsi="맑은 고딕"/>
          <w:sz w:val="22"/>
          <w:szCs w:val="22"/>
        </w:rPr>
        <w:t xml:space="preserve">결제·전자계약·지도·LLM 등 외부 API 공급사</w:t>
      </w:r>
    </w:p>
    <w:p>
      <w:pPr>
        <w:pStyle w:val="ListParagraph"/>
        <w:numPr>
          <w:ilvl w:val="0"/>
          <w:numId w:val="2"/>
        </w:numPr>
        <w:spacing w:after="80" w:line="320"/>
      </w:pPr>
      <w:r>
        <w:rPr>
          <w:rFonts w:ascii="맑은 고딕" w:cs="맑은 고딕" w:eastAsia="맑은 고딕" w:hAnsi="맑은 고딕"/>
          <w:sz w:val="22"/>
          <w:szCs w:val="22"/>
        </w:rPr>
        <w:t xml:space="preserve">지역 임대인 협회·상권 관리 단체</w:t>
      </w:r>
    </w:p>
    <w:p>
      <w:pPr>
        <w:pStyle w:val="ListParagraph"/>
        <w:numPr>
          <w:ilvl w:val="0"/>
          <w:numId w:val="2"/>
        </w:numPr>
        <w:spacing w:after="80" w:line="320"/>
      </w:pPr>
      <w:r>
        <w:rPr>
          <w:rFonts w:ascii="맑은 고딕" w:cs="맑은 고딕" w:eastAsia="맑은 고딕" w:hAnsi="맑은 고딕"/>
          <w:sz w:val="22"/>
          <w:szCs w:val="22"/>
        </w:rPr>
        <w:t xml:space="preserve">매거진·콘텐츠 협력사</w:t>
      </w:r>
    </w:p>
    <w:p>
      <w:pPr>
        <w:pStyle w:val="ListParagraph"/>
        <w:numPr>
          <w:ilvl w:val="0"/>
          <w:numId w:val="2"/>
        </w:numPr>
        <w:spacing w:after="80" w:line="320"/>
      </w:pPr>
      <w:r>
        <w:rPr>
          <w:rFonts w:ascii="맑은 고딕" w:cs="맑은 고딕" w:eastAsia="맑은 고딕" w:hAnsi="맑은 고딕"/>
          <w:sz w:val="22"/>
          <w:szCs w:val="22"/>
        </w:rPr>
        <w:t xml:space="preserve">[지자체] 행정 데이터 제공 부서</w:t>
      </w:r>
    </w:p>
    <w:p>
      <w:r>
        <w:br w:type="page"/>
      </w:r>
    </w:p>
    <w:p>
      <w:pPr>
        <w:pStyle w:val="Heading1"/>
        <w:spacing w:after="180" w:before="360"/>
      </w:pPr>
      <w:r>
        <w:rPr>
          <w:rFonts w:ascii="맑은 고딕" w:cs="맑은 고딕" w:eastAsia="맑은 고딕" w:hAnsi="맑은 고딕"/>
          <w:b/>
          <w:bCs/>
          <w:color w:val="1F1F1F"/>
          <w:sz w:val="32"/>
          <w:szCs w:val="32"/>
        </w:rPr>
        <w:t xml:space="preserve">6. 예산 개요</w:t>
      </w:r>
    </w:p>
    <w:p>
      <w:pPr>
        <w:spacing w:after="120" w:line="340"/>
      </w:pPr>
      <w:r>
        <w:rPr>
          <w:rFonts w:ascii="맑은 고딕" w:cs="맑은 고딕" w:eastAsia="맑은 고딕" w:hAnsi="맑은 고딕"/>
          <w:sz w:val="22"/>
          <w:szCs w:val="22"/>
        </w:rPr>
        <w:t xml:space="preserve">상세 예산안은 별첨 엑셀 파일에 포함되며, 본 항에서는 시나리오별 총괄 요약을 제시한다. 본 예산은 IT 영역을 대상으로 하며, 인프라·AI·인건비·디자인·데이터·운영·마케팅 등 10개 대분류로 구성된다.</w:t>
      </w:r>
    </w:p>
    <w:p>
      <w:pPr>
        <w:pStyle w:val="Heading2"/>
        <w:spacing w:after="140" w:before="280"/>
      </w:pPr>
      <w:r>
        <w:rPr>
          <w:rFonts w:ascii="맑은 고딕" w:cs="맑은 고딕" w:eastAsia="맑은 고딕" w:hAnsi="맑은 고딕"/>
          <w:b/>
          <w:bCs/>
          <w:color w:val="1F1F1F"/>
          <w:sz w:val="26"/>
          <w:szCs w:val="26"/>
        </w:rPr>
        <w:t xml:space="preserve">6.1 시나리오 요약 (단위: 백만 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대분류</w:t>
            </w:r>
          </w:p>
        </w:tc>
        <w:tc>
          <w:tcPr>
            <w:tcW w:type="dxa" w:w="192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기준안 (3억)</w:t>
            </w:r>
          </w:p>
        </w:tc>
        <w:tc>
          <w:tcPr>
            <w:tcW w:type="dxa" w:w="192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확장안 (5억)</w:t>
            </w:r>
          </w:p>
        </w:tc>
        <w:tc>
          <w:tcPr>
            <w:tcW w:type="dxa" w:w="192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비중 (기준안)</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 인프라·클라우드</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19.1</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33.5</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6.4%</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 AI·외부 API</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17.7</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30.3</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5.9%</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3. SW 라이센스·툴</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7.9</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14.0</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2.6%</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4. 개발 인건비 (외주·계약)</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135.3</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225.9</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45.1%</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5. 디자인·콘텐츠</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29.0</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46.7</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9.7%</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6. 데이터 구축</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16.2</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28.8</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5.4%</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7. 보안·법무·인증</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12.0</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20.0</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4.0%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8. 운영·고객지원</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18.2</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28.6</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6.0%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9. 마케팅 (IT 영역)</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21.2</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31.7</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7.1%</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10. 사업관리·예비비</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23.5</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40.5</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7.8%</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합계</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300.0</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500.0</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100.0%</w:t>
            </w:r>
          </w:p>
        </w:tc>
      </w:tr>
    </w:tbl>
    <w:p>
      <w:pPr>
        <w:pStyle w:val="Heading2"/>
        <w:spacing w:after="140" w:before="280"/>
      </w:pPr>
      <w:r>
        <w:rPr>
          <w:rFonts w:ascii="맑은 고딕" w:cs="맑은 고딕" w:eastAsia="맑은 고딕" w:hAnsi="맑은 고딕"/>
          <w:b/>
          <w:bCs/>
          <w:color w:val="1F1F1F"/>
          <w:sz w:val="26"/>
          <w:szCs w:val="26"/>
        </w:rPr>
        <w:t xml:space="preserve">6.2 시나리오 구성 원칙</w:t>
      </w:r>
    </w:p>
    <w:p>
      <w:pPr>
        <w:pStyle w:val="ListParagraph"/>
        <w:numPr>
          <w:ilvl w:val="0"/>
          <w:numId w:val="2"/>
        </w:numPr>
        <w:spacing w:after="80" w:line="320"/>
      </w:pPr>
      <w:r>
        <w:rPr>
          <w:rFonts w:ascii="맑은 고딕" w:cs="맑은 고딕" w:eastAsia="맑은 고딕" w:hAnsi="맑은 고딕"/>
          <w:sz w:val="22"/>
          <w:szCs w:val="22"/>
        </w:rPr>
        <w:t xml:space="preserve">기준안(3억)은 4개 축의 최소 기능 구축과 안정적 운영이 가능한 수준으로 설계된다.</w:t>
      </w:r>
    </w:p>
    <w:p>
      <w:pPr>
        <w:pStyle w:val="ListParagraph"/>
        <w:numPr>
          <w:ilvl w:val="0"/>
          <w:numId w:val="2"/>
        </w:numPr>
        <w:spacing w:after="80" w:line="320"/>
      </w:pPr>
      <w:r>
        <w:rPr>
          <w:rFonts w:ascii="맑은 고딕" w:cs="맑은 고딕" w:eastAsia="맑은 고딕" w:hAnsi="맑은 고딕"/>
          <w:sz w:val="22"/>
          <w:szCs w:val="22"/>
        </w:rPr>
        <w:t xml:space="preserve">확장안(5억)은 동일한 항목 구조에서 단가·인력·기간 규모를 확대한 형태로, 기준안과 일관된 분류 체계를 유지한다.</w:t>
      </w:r>
    </w:p>
    <w:p>
      <w:pPr>
        <w:pStyle w:val="ListParagraph"/>
        <w:numPr>
          <w:ilvl w:val="0"/>
          <w:numId w:val="2"/>
        </w:numPr>
        <w:spacing w:after="80" w:line="320"/>
      </w:pPr>
      <w:r>
        <w:rPr>
          <w:rFonts w:ascii="맑은 고딕" w:cs="맑은 고딕" w:eastAsia="맑은 고딕" w:hAnsi="맑은 고딕"/>
          <w:sz w:val="22"/>
          <w:szCs w:val="22"/>
        </w:rPr>
        <w:t xml:space="preserve">예산은 부가세 별도이며, 항목별 단가는 시장 일반 단가를 기준으로 산정하였다. 세부 단가는 사업 확정 단계에서 견적·계약 시 재산정한다.</w:t>
      </w:r>
    </w:p>
    <w:p>
      <w:r>
        <w:br w:type="page"/>
      </w:r>
    </w:p>
    <w:p>
      <w:pPr>
        <w:pStyle w:val="Heading1"/>
        <w:spacing w:after="180" w:before="360"/>
      </w:pPr>
      <w:r>
        <w:rPr>
          <w:rFonts w:ascii="맑은 고딕" w:cs="맑은 고딕" w:eastAsia="맑은 고딕" w:hAnsi="맑은 고딕"/>
          <w:b/>
          <w:bCs/>
          <w:color w:val="1F1F1F"/>
          <w:sz w:val="32"/>
          <w:szCs w:val="32"/>
        </w:rPr>
        <w:t xml:space="preserve">7. 기대 효과</w:t>
      </w:r>
    </w:p>
    <w:p>
      <w:pPr>
        <w:pStyle w:val="Heading2"/>
        <w:spacing w:after="140" w:before="280"/>
      </w:pPr>
      <w:r>
        <w:rPr>
          <w:rFonts w:ascii="맑은 고딕" w:cs="맑은 고딕" w:eastAsia="맑은 고딕" w:hAnsi="맑은 고딕"/>
          <w:b/>
          <w:bCs/>
          <w:color w:val="1F1F1F"/>
          <w:sz w:val="26"/>
          <w:szCs w:val="26"/>
        </w:rPr>
        <w:t xml:space="preserve">7.1 지역경제 측면</w:t>
      </w:r>
    </w:p>
    <w:p>
      <w:pPr>
        <w:pStyle w:val="ListParagraph"/>
        <w:numPr>
          <w:ilvl w:val="0"/>
          <w:numId w:val="2"/>
        </w:numPr>
        <w:spacing w:after="80" w:line="320"/>
      </w:pPr>
      <w:r>
        <w:rPr>
          <w:rFonts w:ascii="맑은 고딕" w:cs="맑은 고딕" w:eastAsia="맑은 고딕" w:hAnsi="맑은 고딕"/>
          <w:sz w:val="22"/>
          <w:szCs w:val="22"/>
        </w:rPr>
        <w:t xml:space="preserve">골목 단위 공실의 단기 활성화로 유동 인구 및 인근 매장 매출 동반 상승</w:t>
      </w:r>
    </w:p>
    <w:p>
      <w:pPr>
        <w:pStyle w:val="ListParagraph"/>
        <w:numPr>
          <w:ilvl w:val="0"/>
          <w:numId w:val="2"/>
        </w:numPr>
        <w:spacing w:after="80" w:line="320"/>
      </w:pPr>
      <w:r>
        <w:rPr>
          <w:rFonts w:ascii="맑은 고딕" w:cs="맑은 고딕" w:eastAsia="맑은 고딕" w:hAnsi="맑은 고딕"/>
          <w:sz w:val="22"/>
          <w:szCs w:val="22"/>
        </w:rPr>
        <w:t xml:space="preserve">임대인의 공실 부담 완화 및 지역 정착 유도</w:t>
      </w:r>
    </w:p>
    <w:p>
      <w:pPr>
        <w:pStyle w:val="ListParagraph"/>
        <w:numPr>
          <w:ilvl w:val="0"/>
          <w:numId w:val="2"/>
        </w:numPr>
        <w:spacing w:after="80" w:line="320"/>
      </w:pPr>
      <w:r>
        <w:rPr>
          <w:rFonts w:ascii="맑은 고딕" w:cs="맑은 고딕" w:eastAsia="맑은 고딕" w:hAnsi="맑은 고딕"/>
          <w:sz w:val="22"/>
          <w:szCs w:val="22"/>
        </w:rPr>
        <w:t xml:space="preserve">외부 브랜드의 지역 진입 비용 절감, 신규 입점 가능성 확대</w:t>
      </w:r>
    </w:p>
    <w:p>
      <w:pPr>
        <w:pStyle w:val="Heading2"/>
        <w:spacing w:after="140" w:before="280"/>
      </w:pPr>
      <w:r>
        <w:rPr>
          <w:rFonts w:ascii="맑은 고딕" w:cs="맑은 고딕" w:eastAsia="맑은 고딕" w:hAnsi="맑은 고딕"/>
          <w:b/>
          <w:bCs/>
          <w:color w:val="1F1F1F"/>
          <w:sz w:val="26"/>
          <w:szCs w:val="26"/>
        </w:rPr>
        <w:t xml:space="preserve">7.2 디지털 자산 측면</w:t>
      </w:r>
    </w:p>
    <w:p>
      <w:pPr>
        <w:pStyle w:val="ListParagraph"/>
        <w:numPr>
          <w:ilvl w:val="0"/>
          <w:numId w:val="2"/>
        </w:numPr>
        <w:spacing w:after="80" w:line="320"/>
      </w:pPr>
      <w:r>
        <w:rPr>
          <w:rFonts w:ascii="맑은 고딕" w:cs="맑은 고딕" w:eastAsia="맑은 고딕" w:hAnsi="맑은 고딕"/>
          <w:sz w:val="22"/>
          <w:szCs w:val="22"/>
        </w:rPr>
        <w:t xml:space="preserve">동네·공실·매칭·운영·매출 데이터의 표준화된 축적</w:t>
      </w:r>
    </w:p>
    <w:p>
      <w:pPr>
        <w:pStyle w:val="ListParagraph"/>
        <w:numPr>
          <w:ilvl w:val="0"/>
          <w:numId w:val="2"/>
        </w:numPr>
        <w:spacing w:after="80" w:line="320"/>
      </w:pPr>
      <w:r>
        <w:rPr>
          <w:rFonts w:ascii="맑은 고딕" w:cs="맑은 고딕" w:eastAsia="맑은 고딕" w:hAnsi="맑은 고딕"/>
          <w:sz w:val="22"/>
          <w:szCs w:val="22"/>
        </w:rPr>
        <w:t xml:space="preserve">이후 정책 의사결정, 학술 연구, 민간 협력에 재활용 가능한 데이터셋 확보</w:t>
      </w:r>
    </w:p>
    <w:p>
      <w:pPr>
        <w:pStyle w:val="ListParagraph"/>
        <w:numPr>
          <w:ilvl w:val="0"/>
          <w:numId w:val="2"/>
        </w:numPr>
        <w:spacing w:after="80" w:line="320"/>
      </w:pPr>
      <w:r>
        <w:rPr>
          <w:rFonts w:ascii="맑은 고딕" w:cs="맑은 고딕" w:eastAsia="맑은 고딕" w:hAnsi="맑은 고딕"/>
          <w:sz w:val="22"/>
          <w:szCs w:val="22"/>
        </w:rPr>
        <w:t xml:space="preserve">타 지자체 확산 시 즉시 활용 가능한 IT 자산 (플랫폼·콘텐츠·운영 노하우)</w:t>
      </w:r>
    </w:p>
    <w:p>
      <w:pPr>
        <w:pStyle w:val="Heading2"/>
        <w:spacing w:after="140" w:before="280"/>
      </w:pPr>
      <w:r>
        <w:rPr>
          <w:rFonts w:ascii="맑은 고딕" w:cs="맑은 고딕" w:eastAsia="맑은 고딕" w:hAnsi="맑은 고딕"/>
          <w:b/>
          <w:bCs/>
          <w:color w:val="1F1F1F"/>
          <w:sz w:val="26"/>
          <w:szCs w:val="26"/>
        </w:rPr>
        <w:t xml:space="preserve">7.3 브랜드·창작자 측면</w:t>
      </w:r>
    </w:p>
    <w:p>
      <w:pPr>
        <w:pStyle w:val="ListParagraph"/>
        <w:numPr>
          <w:ilvl w:val="0"/>
          <w:numId w:val="2"/>
        </w:numPr>
        <w:spacing w:after="80" w:line="320"/>
      </w:pPr>
      <w:r>
        <w:rPr>
          <w:rFonts w:ascii="맑은 고딕" w:cs="맑은 고딕" w:eastAsia="맑은 고딕" w:hAnsi="맑은 고딕"/>
          <w:sz w:val="22"/>
          <w:szCs w:val="22"/>
        </w:rPr>
        <w:t xml:space="preserve">팝업 진입 장벽 완화 — 공간 탐색·계약·운영의 일원화</w:t>
      </w:r>
    </w:p>
    <w:p>
      <w:pPr>
        <w:pStyle w:val="ListParagraph"/>
        <w:numPr>
          <w:ilvl w:val="0"/>
          <w:numId w:val="2"/>
        </w:numPr>
        <w:spacing w:after="80" w:line="320"/>
      </w:pPr>
      <w:r>
        <w:rPr>
          <w:rFonts w:ascii="맑은 고딕" w:cs="맑은 고딕" w:eastAsia="맑은 고딕" w:hAnsi="맑은 고딕"/>
          <w:sz w:val="22"/>
          <w:szCs w:val="22"/>
        </w:rPr>
        <w:t xml:space="preserve">운영 결과 데이터 기반의 재방문·재계약·재투자 의사결정</w:t>
      </w:r>
    </w:p>
    <w:p>
      <w:pPr>
        <w:pStyle w:val="ListParagraph"/>
        <w:numPr>
          <w:ilvl w:val="0"/>
          <w:numId w:val="2"/>
        </w:numPr>
        <w:spacing w:after="80" w:line="320"/>
      </w:pPr>
      <w:r>
        <w:rPr>
          <w:rFonts w:ascii="맑은 고딕" w:cs="맑은 고딕" w:eastAsia="맑은 고딕" w:hAnsi="맑은 고딕"/>
          <w:sz w:val="22"/>
          <w:szCs w:val="22"/>
        </w:rPr>
        <w:t xml:space="preserve">동네 매거진 콘텐츠와의 결합으로 브랜드 노출·인지 확대</w:t>
      </w:r>
    </w:p>
    <w:p>
      <w:r>
        <w:br w:type="page"/>
      </w:r>
    </w:p>
    <w:p>
      <w:pPr>
        <w:pStyle w:val="Heading1"/>
        <w:spacing w:after="180" w:before="360"/>
      </w:pPr>
      <w:r>
        <w:rPr>
          <w:rFonts w:ascii="맑은 고딕" w:cs="맑은 고딕" w:eastAsia="맑은 고딕" w:hAnsi="맑은 고딕"/>
          <w:b/>
          <w:bCs/>
          <w:color w:val="1F1F1F"/>
          <w:sz w:val="32"/>
          <w:szCs w:val="32"/>
        </w:rPr>
        <w:t xml:space="preserve">8. 향후 확장 계획</w:t>
      </w:r>
    </w:p>
    <w:p>
      <w:pPr>
        <w:pStyle w:val="Heading2"/>
        <w:spacing w:after="140" w:before="280"/>
      </w:pPr>
      <w:r>
        <w:rPr>
          <w:rFonts w:ascii="맑은 고딕" w:cs="맑은 고딕" w:eastAsia="맑은 고딕" w:hAnsi="맑은 고딕"/>
          <w:b/>
          <w:bCs/>
          <w:color w:val="1F1F1F"/>
          <w:sz w:val="26"/>
          <w:szCs w:val="26"/>
        </w:rPr>
        <w:t xml:space="preserve">8.1 다년도 로드맵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80"/>
        <w:gridCol w:w="4380"/>
      </w:tblGrid>
      <w:tr>
        <w:tc>
          <w:tcPr>
            <w:tcW w:type="dxa" w:w="220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연차</w:t>
            </w:r>
          </w:p>
        </w:tc>
        <w:tc>
          <w:tcPr>
            <w:tcW w:type="dxa" w:w="278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방향</w:t>
            </w:r>
          </w:p>
        </w:tc>
        <w:tc>
          <w:tcPr>
            <w:tcW w:type="dxa" w:w="4380"/>
            <w:tcBorders>
              <w:top w:val="single" w:color="BFBFBF" w:sz="4"/>
              <w:left w:val="single" w:color="BFBFBF" w:sz="4"/>
              <w:bottom w:val="single" w:color="BFBFBF" w:sz="4"/>
              <w:right w:val="single" w:color="BFBFBF" w:sz="4"/>
            </w:tcBorders>
            <w:shd w:fill="F4EFE6" w:val="clear"/>
            <w:tcMar>
              <w:top w:type="dxa" w:w="100"/>
              <w:left w:type="dxa" w:w="140"/>
              <w:bottom w:type="dxa" w:w="100"/>
              <w:right w:type="dxa" w:w="140"/>
            </w:tcMar>
          </w:tcPr>
          <w:p>
            <w:pPr>
              <w:jc w:val="left"/>
            </w:pPr>
            <w:r>
              <w:rPr>
                <w:rFonts w:ascii="맑은 고딕" w:cs="맑은 고딕" w:eastAsia="맑은 고딕" w:hAnsi="맑은 고딕"/>
                <w:b/>
                <w:bCs/>
                <w:sz w:val="20"/>
                <w:szCs w:val="20"/>
              </w:rPr>
              <w:t xml:space="preserve">주요 과제</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1차연도 (본 사업)</w:t>
            </w:r>
          </w:p>
        </w:tc>
        <w:tc>
          <w:tcPr>
            <w:tcW w:type="dxa" w:w="2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지역 1개소 MVP·데이터 축적</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4개 축 구축, 첫 팝업 운영 시즌</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2차연도</w:t>
            </w:r>
          </w:p>
        </w:tc>
        <w:tc>
          <w:tcPr>
            <w:tcW w:type="dxa" w:w="2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운영 고도화 + 인접 지자체 확산 1~2곳</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AI 추천 고도화, 멀티-지자체 운영 구조</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3차연도</w:t>
            </w:r>
          </w:p>
        </w:tc>
        <w:tc>
          <w:tcPr>
            <w:tcW w:type="dxa" w:w="2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전국 확산 + 데이터 사업화</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맑은 고딕" w:cs="맑은 고딕" w:eastAsia="맑은 고딕" w:hAnsi="맑은 고딕"/>
                <w:b w:val="false"/>
                <w:bCs w:val="false"/>
                <w:sz w:val="20"/>
                <w:szCs w:val="20"/>
              </w:rPr>
              <w:t xml:space="preserve">5~10개 지자체, 데이터·리포트 상품화</w:t>
            </w:r>
          </w:p>
        </w:tc>
      </w:tr>
    </w:tbl>
    <w:p>
      <w:pPr>
        <w:pStyle w:val="Heading2"/>
        <w:spacing w:after="140" w:before="280"/>
      </w:pPr>
      <w:r>
        <w:rPr>
          <w:rFonts w:ascii="맑은 고딕" w:cs="맑은 고딕" w:eastAsia="맑은 고딕" w:hAnsi="맑은 고딕"/>
          <w:b/>
          <w:bCs/>
          <w:color w:val="1F1F1F"/>
          <w:sz w:val="26"/>
          <w:szCs w:val="26"/>
        </w:rPr>
        <w:t xml:space="preserve">8.2 확장 시 재활용 가능한 자산</w:t>
      </w:r>
    </w:p>
    <w:p>
      <w:pPr>
        <w:pStyle w:val="ListParagraph"/>
        <w:numPr>
          <w:ilvl w:val="0"/>
          <w:numId w:val="2"/>
        </w:numPr>
        <w:spacing w:after="80" w:line="320"/>
      </w:pPr>
      <w:r>
        <w:rPr>
          <w:rFonts w:ascii="맑은 고딕" w:cs="맑은 고딕" w:eastAsia="맑은 고딕" w:hAnsi="맑은 고딕"/>
          <w:sz w:val="22"/>
          <w:szCs w:val="22"/>
        </w:rPr>
        <w:t xml:space="preserve">플랫폼 코드베이스 (멀티 테넌트 구조로 설계)</w:t>
      </w:r>
    </w:p>
    <w:p>
      <w:pPr>
        <w:pStyle w:val="ListParagraph"/>
        <w:numPr>
          <w:ilvl w:val="0"/>
          <w:numId w:val="2"/>
        </w:numPr>
        <w:spacing w:after="80" w:line="320"/>
      </w:pPr>
      <w:r>
        <w:rPr>
          <w:rFonts w:ascii="맑은 고딕" w:cs="맑은 고딕" w:eastAsia="맑은 고딕" w:hAnsi="맑은 고딕"/>
          <w:sz w:val="22"/>
          <w:szCs w:val="22"/>
        </w:rPr>
        <w:t xml:space="preserve">매거진·동네 콘텐츠 제작 가이드 및 운영 매뉴얼</w:t>
      </w:r>
    </w:p>
    <w:p>
      <w:pPr>
        <w:pStyle w:val="ListParagraph"/>
        <w:numPr>
          <w:ilvl w:val="0"/>
          <w:numId w:val="2"/>
        </w:numPr>
        <w:spacing w:after="80" w:line="320"/>
      </w:pPr>
      <w:r>
        <w:rPr>
          <w:rFonts w:ascii="맑은 고딕" w:cs="맑은 고딕" w:eastAsia="맑은 고딕" w:hAnsi="맑은 고딕"/>
          <w:sz w:val="22"/>
          <w:szCs w:val="22"/>
        </w:rPr>
        <w:t xml:space="preserve">브랜드·임대인 온보딩 프로세스</w:t>
      </w:r>
    </w:p>
    <w:p>
      <w:pPr>
        <w:pStyle w:val="ListParagraph"/>
        <w:numPr>
          <w:ilvl w:val="0"/>
          <w:numId w:val="2"/>
        </w:numPr>
        <w:spacing w:after="80" w:line="320"/>
      </w:pPr>
      <w:r>
        <w:rPr>
          <w:rFonts w:ascii="맑은 고딕" w:cs="맑은 고딕" w:eastAsia="맑은 고딕" w:hAnsi="맑은 고딕"/>
          <w:sz w:val="22"/>
          <w:szCs w:val="22"/>
        </w:rPr>
        <w:t xml:space="preserve">데이터 표준 (공실·매칭·운영 데이터 스키마)</w:t>
      </w:r>
    </w:p>
    <w:p>
      <w:pPr>
        <w:pStyle w:val="ListParagraph"/>
        <w:numPr>
          <w:ilvl w:val="0"/>
          <w:numId w:val="2"/>
        </w:numPr>
        <w:spacing w:after="80" w:line="320"/>
      </w:pPr>
      <w:r>
        <w:rPr>
          <w:rFonts w:ascii="맑은 고딕" w:cs="맑은 고딕" w:eastAsia="맑은 고딕" w:hAnsi="맑은 고딕"/>
          <w:sz w:val="22"/>
          <w:szCs w:val="22"/>
        </w:rPr>
        <w:t xml:space="preserve">디자인 시스템·브랜드 자산</w:t>
      </w:r>
    </w:p>
    <w:p>
      <w:pPr>
        <w:pStyle w:val="Heading2"/>
        <w:spacing w:after="140" w:before="280"/>
      </w:pPr>
      <w:r>
        <w:rPr>
          <w:rFonts w:ascii="맑은 고딕" w:cs="맑은 고딕" w:eastAsia="맑은 고딕" w:hAnsi="맑은 고딕"/>
          <w:b/>
          <w:bCs/>
          <w:color w:val="1F1F1F"/>
          <w:sz w:val="26"/>
          <w:szCs w:val="26"/>
        </w:rPr>
        <w:t xml:space="preserve">8.3 운영 자립화 경로</w:t>
      </w:r>
    </w:p>
    <w:p>
      <w:pPr>
        <w:pStyle w:val="ListParagraph"/>
        <w:numPr>
          <w:ilvl w:val="0"/>
          <w:numId w:val="2"/>
        </w:numPr>
        <w:spacing w:after="80" w:line="320"/>
      </w:pPr>
      <w:r>
        <w:rPr>
          <w:rFonts w:ascii="맑은 고딕" w:cs="맑은 고딕" w:eastAsia="맑은 고딕" w:hAnsi="맑은 고딕"/>
          <w:sz w:val="22"/>
          <w:szCs w:val="22"/>
        </w:rPr>
        <w:t xml:space="preserve">초기: 지자체 예산 중심, 매칭 수수료 일부 발생</w:t>
      </w:r>
    </w:p>
    <w:p>
      <w:pPr>
        <w:pStyle w:val="ListParagraph"/>
        <w:numPr>
          <w:ilvl w:val="0"/>
          <w:numId w:val="2"/>
        </w:numPr>
        <w:spacing w:after="80" w:line="320"/>
      </w:pPr>
      <w:r>
        <w:rPr>
          <w:rFonts w:ascii="맑은 고딕" w:cs="맑은 고딕" w:eastAsia="맑은 고딕" w:hAnsi="맑은 고딕"/>
          <w:sz w:val="22"/>
          <w:szCs w:val="22"/>
        </w:rPr>
        <w:t xml:space="preserve">중기: 매칭 수수료·마케팅 자동화 SaaS·데이터 리포트로 자체 수익 비중 확대</w:t>
      </w:r>
    </w:p>
    <w:p>
      <w:pPr>
        <w:pStyle w:val="ListParagraph"/>
        <w:numPr>
          <w:ilvl w:val="0"/>
          <w:numId w:val="2"/>
        </w:numPr>
        <w:spacing w:after="80" w:line="320"/>
      </w:pPr>
      <w:r>
        <w:rPr>
          <w:rFonts w:ascii="맑은 고딕" w:cs="맑은 고딕" w:eastAsia="맑은 고딕" w:hAnsi="맑은 고딕"/>
          <w:sz w:val="22"/>
          <w:szCs w:val="22"/>
        </w:rPr>
        <w:t xml:space="preserve">장기: 운영기관이 자립 가능한 민관 협력 디지털 인프라로 정착</w:t>
      </w:r>
    </w:p>
    <w:p>
      <w:r>
        <w:br w:type="page"/>
      </w:r>
    </w:p>
    <w:p>
      <w:pPr>
        <w:pStyle w:val="Heading1"/>
        <w:spacing w:after="180" w:before="360"/>
      </w:pPr>
      <w:r>
        <w:rPr>
          <w:rFonts w:ascii="맑은 고딕" w:cs="맑은 고딕" w:eastAsia="맑은 고딕" w:hAnsi="맑은 고딕"/>
          <w:b/>
          <w:bCs/>
          <w:color w:val="1F1F1F"/>
          <w:sz w:val="32"/>
          <w:szCs w:val="32"/>
        </w:rPr>
        <w:t xml:space="preserve">별첨</w:t>
      </w:r>
    </w:p>
    <w:p>
      <w:pPr>
        <w:pStyle w:val="ListParagraph"/>
        <w:numPr>
          <w:ilvl w:val="0"/>
          <w:numId w:val="2"/>
        </w:numPr>
        <w:spacing w:after="80" w:line="320"/>
      </w:pPr>
      <w:r>
        <w:rPr>
          <w:rFonts w:ascii="맑은 고딕" w:cs="맑은 고딕" w:eastAsia="맑은 고딕" w:hAnsi="맑은 고딕"/>
          <w:sz w:val="22"/>
          <w:szCs w:val="22"/>
        </w:rPr>
        <w:t xml:space="preserve">[별첨 1] 예산안 상세 (Excel) — 3억 / 5억 시나리오 항목별 단가·수량·기간 수식 모델</w:t>
      </w:r>
    </w:p>
    <w:p>
      <w:pPr>
        <w:pStyle w:val="ListParagraph"/>
        <w:numPr>
          <w:ilvl w:val="0"/>
          <w:numId w:val="2"/>
        </w:numPr>
        <w:spacing w:after="80" w:line="320"/>
      </w:pPr>
      <w:r>
        <w:rPr>
          <w:rFonts w:ascii="맑은 고딕" w:cs="맑은 고딕" w:eastAsia="맑은 고딕" w:hAnsi="맑은 고딕"/>
          <w:sz w:val="22"/>
          <w:szCs w:val="22"/>
        </w:rPr>
        <w:t xml:space="preserve">[별첨 2] 4개 축별 기능 정의서 (추후 보강)</w:t>
      </w:r>
    </w:p>
    <w:p>
      <w:pPr>
        <w:pStyle w:val="ListParagraph"/>
        <w:numPr>
          <w:ilvl w:val="0"/>
          <w:numId w:val="2"/>
        </w:numPr>
        <w:spacing w:after="80" w:line="320"/>
      </w:pPr>
      <w:r>
        <w:rPr>
          <w:rFonts w:ascii="맑은 고딕" w:cs="맑은 고딕" w:eastAsia="맑은 고딕" w:hAnsi="맑은 고딕"/>
          <w:sz w:val="22"/>
          <w:szCs w:val="22"/>
        </w:rPr>
        <w:t xml:space="preserve">[별첨 3] KPI 측정 정의서 (추후 보강)</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C8C8C"/>
        <w:sz w:val="18"/>
        <w:szCs w:val="18"/>
      </w:rPr>
      <w:t xml:space="preserve">— </w:t>
    </w:r>
    <w:r>
      <w:rPr>
        <w:rFonts w:ascii="맑은 고딕" w:cs="맑은 고딕" w:eastAsia="맑은 고딕" w:hAnsi="맑은 고딕"/>
        <w:color w:val="8C8C8C"/>
        <w:sz w:val="18"/>
        <w:szCs w:val="18"/>
      </w:rPr>
      <w:fldChar w:fldCharType="begin"/>
      <w:instrText xml:space="preserve">PAGE</w:instrText>
      <w:fldChar w:fldCharType="separate"/>
      <w:fldChar w:fldCharType="end"/>
    </w:r>
    <w:r>
      <w:rPr>
        <w:rFonts w:ascii="맑은 고딕" w:cs="맑은 고딕" w:eastAsia="맑은 고딕" w:hAnsi="맑은 고딕"/>
        <w:color w:val="8C8C8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sz w:val="26"/>
      <w:szCs w:val="26"/>
    </w:rPr>
  </w:style>
  <w:style w:type="paragraph" w:styleId="Heading3">
    <w:name w:val="Heading 3"/>
    <w:basedOn w:val="Normal"/>
    <w:next w:val="Normal"/>
    <w:qFormat/>
    <w:pPr>
      <w:spacing w:after="100" w:before="200"/>
      <w:outlineLvl w:val="2"/>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2026-05-23T08:07:41.468Z</dcterms:created>
  <dcterms:modified xsi:type="dcterms:W3CDTF">2026-05-23T08:07:41.468Z</dcterms:modified>
</cp:coreProperties>
</file>

<file path=docProps/custom.xml><?xml version="1.0" encoding="utf-8"?>
<Properties xmlns="http://schemas.openxmlformats.org/officeDocument/2006/custom-properties" xmlns:vt="http://schemas.openxmlformats.org/officeDocument/2006/docPropsVTypes"/>
</file>