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8BF" w:rsidRPr="006548BF" w:rsidRDefault="006548BF" w:rsidP="006548BF">
      <w:pPr>
        <w:spacing w:after="240" w:line="257" w:lineRule="auto"/>
        <w:jc w:val="center"/>
        <w:rPr>
          <w:rFonts w:ascii="Bodoni MT" w:hAnsi="Bodoni MT"/>
          <w:sz w:val="40"/>
        </w:rPr>
      </w:pPr>
      <w:r w:rsidRPr="006548BF">
        <w:rPr>
          <w:rFonts w:ascii="Bodoni MT" w:hAnsi="Bodoni MT"/>
          <w:sz w:val="40"/>
          <w:highlight w:val="yellow"/>
        </w:rPr>
        <w:t>Partisanship</w:t>
      </w:r>
      <w:r w:rsidRPr="006548BF">
        <w:rPr>
          <w:rFonts w:ascii="Bodoni MT" w:hAnsi="Bodoni MT"/>
          <w:sz w:val="40"/>
        </w:rPr>
        <w:t xml:space="preserve">, </w:t>
      </w:r>
      <w:r w:rsidRPr="006548BF">
        <w:rPr>
          <w:rFonts w:ascii="Bodoni MT" w:hAnsi="Bodoni MT"/>
          <w:sz w:val="40"/>
          <w:highlight w:val="yellow"/>
        </w:rPr>
        <w:t>disgust</w:t>
      </w:r>
      <w:r w:rsidRPr="006548BF">
        <w:rPr>
          <w:rFonts w:ascii="Bodoni MT" w:hAnsi="Bodoni MT"/>
          <w:sz w:val="40"/>
        </w:rPr>
        <w:t>, and Covid-19 n</w:t>
      </w:r>
      <w:bookmarkStart w:id="0" w:name="_GoBack"/>
      <w:bookmarkEnd w:id="0"/>
      <w:r w:rsidRPr="006548BF">
        <w:rPr>
          <w:rFonts w:ascii="Bodoni MT" w:hAnsi="Bodoni MT"/>
          <w:sz w:val="40"/>
        </w:rPr>
        <w:t>orm enforcement</w:t>
      </w:r>
    </w:p>
    <w:p w:rsidR="003930F6" w:rsidRPr="006548BF" w:rsidRDefault="0072305A" w:rsidP="003930F6">
      <w:pPr>
        <w:rPr>
          <w:rFonts w:ascii="Helvetica" w:hAnsi="Helvetica"/>
          <w:sz w:val="26"/>
        </w:rPr>
      </w:pPr>
      <w:r w:rsidRPr="006548BF">
        <w:rPr>
          <w:rFonts w:ascii="Helvetica" w:hAnsi="Helvetica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735330</wp:posOffset>
                </wp:positionV>
                <wp:extent cx="5918200" cy="27432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05A" w:rsidRPr="00AF7A0B" w:rsidRDefault="0072305A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8pt;margin-top:57.9pt;width:466pt;height:3in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">
                <v:textbox>
                  <w:txbxContent>
                    <w:p w:rsidR="0072305A" w:rsidRPr="00AF7A0B" w:rsidRDefault="0072305A">
                      <w:pPr>
                        <w:rPr>
                          <w:rFonts w:ascii="Helvetica" w:hAnsi="Helveti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8BF">
        <w:rPr>
          <w:rFonts w:ascii="Helvetica" w:hAnsi="Helvetica"/>
          <w:sz w:val="26"/>
        </w:rPr>
        <w:t xml:space="preserve">Iyengar S, Westwood SJ. </w:t>
      </w:r>
      <w:r w:rsidR="003930F6" w:rsidRPr="006548BF">
        <w:rPr>
          <w:rFonts w:ascii="Helvetica" w:hAnsi="Helvetica"/>
          <w:sz w:val="26"/>
        </w:rPr>
        <w:t xml:space="preserve">Fear </w:t>
      </w:r>
      <w:r w:rsidRPr="006548BF">
        <w:rPr>
          <w:rFonts w:ascii="Helvetica" w:hAnsi="Helvetica"/>
          <w:sz w:val="26"/>
        </w:rPr>
        <w:t>and loathing across party lin</w:t>
      </w:r>
      <w:r w:rsidR="003930F6" w:rsidRPr="006548BF">
        <w:rPr>
          <w:rFonts w:ascii="Helvetica" w:hAnsi="Helvetica"/>
          <w:sz w:val="26"/>
        </w:rPr>
        <w:t xml:space="preserve">es: New </w:t>
      </w:r>
      <w:r w:rsidRPr="006548BF">
        <w:rPr>
          <w:rFonts w:ascii="Helvetica" w:hAnsi="Helvetica"/>
          <w:sz w:val="26"/>
        </w:rPr>
        <w:t>evidence on group polarization</w:t>
      </w:r>
      <w:r w:rsidR="003930F6" w:rsidRPr="006548BF">
        <w:rPr>
          <w:rFonts w:ascii="Helvetica" w:hAnsi="Helvetica"/>
          <w:sz w:val="26"/>
        </w:rPr>
        <w:t xml:space="preserve">. </w:t>
      </w:r>
      <w:r w:rsidR="003930F6" w:rsidRPr="006548BF">
        <w:rPr>
          <w:rFonts w:ascii="Helvetica" w:hAnsi="Helvetica"/>
          <w:sz w:val="26"/>
        </w:rPr>
        <w:br/>
      </w:r>
      <w:r w:rsidR="003930F6" w:rsidRPr="006548BF">
        <w:rPr>
          <w:rFonts w:ascii="Helvetica" w:hAnsi="Helvetica"/>
          <w:color w:val="7F7F7F" w:themeColor="text1" w:themeTint="80"/>
        </w:rPr>
        <w:t>American Journal of Political Science. 2015;59: 690–707. doi:10.1111/ajps.12152</w:t>
      </w:r>
    </w:p>
    <w:p w:rsidR="0072305A" w:rsidRPr="006548BF" w:rsidRDefault="0072305A" w:rsidP="003930F6">
      <w:pPr>
        <w:rPr>
          <w:rFonts w:ascii="Helvetica" w:hAnsi="Helvetica"/>
          <w:sz w:val="26"/>
        </w:rPr>
      </w:pPr>
    </w:p>
    <w:p w:rsidR="003930F6" w:rsidRPr="006548BF" w:rsidRDefault="0072305A" w:rsidP="003930F6">
      <w:pPr>
        <w:rPr>
          <w:rFonts w:ascii="Helvetica" w:hAnsi="Helvetica"/>
          <w:sz w:val="26"/>
        </w:rPr>
      </w:pPr>
      <w:r w:rsidRPr="006548BF">
        <w:rPr>
          <w:rFonts w:ascii="Helvetica" w:hAnsi="Helvetica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874AE1" wp14:editId="0F50523D">
                <wp:simplePos x="0" y="0"/>
                <wp:positionH relativeFrom="margin">
                  <wp:posOffset>0</wp:posOffset>
                </wp:positionH>
                <wp:positionV relativeFrom="paragraph">
                  <wp:posOffset>744220</wp:posOffset>
                </wp:positionV>
                <wp:extent cx="5918200" cy="274320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05A" w:rsidRPr="00AF7A0B" w:rsidRDefault="0072305A" w:rsidP="0072305A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4AE1" id="_x0000_s1027" type="#_x0000_t202" style="position:absolute;margin-left:0;margin-top:58.6pt;width:466pt;height:3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">
                <v:textbox>
                  <w:txbxContent>
                    <w:p w:rsidR="0072305A" w:rsidRPr="00AF7A0B" w:rsidRDefault="0072305A" w:rsidP="0072305A">
                      <w:pPr>
                        <w:rPr>
                          <w:rFonts w:ascii="Helvetica" w:hAnsi="Helveti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0F6" w:rsidRPr="006548BF">
        <w:rPr>
          <w:rFonts w:ascii="Helvetica" w:hAnsi="Helvetica"/>
          <w:sz w:val="26"/>
        </w:rPr>
        <w:t xml:space="preserve">Schiller B, Baumgartner T, </w:t>
      </w:r>
      <w:proofErr w:type="spellStart"/>
      <w:r w:rsidR="003930F6" w:rsidRPr="006548BF">
        <w:rPr>
          <w:rFonts w:ascii="Helvetica" w:hAnsi="Helvetica"/>
          <w:sz w:val="26"/>
        </w:rPr>
        <w:t>Knoch</w:t>
      </w:r>
      <w:proofErr w:type="spellEnd"/>
      <w:r w:rsidR="003930F6" w:rsidRPr="006548BF">
        <w:rPr>
          <w:rFonts w:ascii="Helvetica" w:hAnsi="Helvetica"/>
          <w:sz w:val="26"/>
        </w:rPr>
        <w:t xml:space="preserve"> D. Intergroup bias in third-party punishment stems from both ingroup favoritism and outgroup discrimination.</w:t>
      </w:r>
      <w:r w:rsidR="003930F6" w:rsidRPr="006548BF">
        <w:rPr>
          <w:rFonts w:ascii="Helvetica" w:hAnsi="Helvetica"/>
          <w:sz w:val="26"/>
        </w:rPr>
        <w:br/>
      </w:r>
      <w:r w:rsidR="003930F6" w:rsidRPr="006548BF">
        <w:rPr>
          <w:rFonts w:ascii="Helvetica" w:hAnsi="Helvetica"/>
          <w:color w:val="7F7F7F" w:themeColor="text1" w:themeTint="80"/>
        </w:rPr>
        <w:t xml:space="preserve">Evolution and Human Behavior. 2014;35: 169–175. </w:t>
      </w:r>
      <w:proofErr w:type="gramStart"/>
      <w:r w:rsidR="003930F6" w:rsidRPr="006548BF">
        <w:rPr>
          <w:rFonts w:ascii="Helvetica" w:hAnsi="Helvetica"/>
          <w:color w:val="7F7F7F" w:themeColor="text1" w:themeTint="80"/>
        </w:rPr>
        <w:t>doi:10.1016/j.evolhumbehav</w:t>
      </w:r>
      <w:proofErr w:type="gramEnd"/>
      <w:r w:rsidR="003930F6" w:rsidRPr="006548BF">
        <w:rPr>
          <w:rFonts w:ascii="Helvetica" w:hAnsi="Helvetica"/>
          <w:color w:val="7F7F7F" w:themeColor="text1" w:themeTint="80"/>
        </w:rPr>
        <w:t>.2013.12.006</w:t>
      </w:r>
    </w:p>
    <w:p w:rsidR="0072305A" w:rsidRPr="006548BF" w:rsidRDefault="0072305A" w:rsidP="003930F6">
      <w:pPr>
        <w:rPr>
          <w:rFonts w:ascii="Helvetica" w:hAnsi="Helvetica"/>
          <w:sz w:val="26"/>
        </w:rPr>
      </w:pPr>
    </w:p>
    <w:p w:rsidR="003930F6" w:rsidRPr="006548BF" w:rsidRDefault="0072305A" w:rsidP="0072305A">
      <w:pPr>
        <w:spacing w:line="259" w:lineRule="auto"/>
        <w:rPr>
          <w:rFonts w:ascii="Helvetica" w:hAnsi="Helvetica"/>
          <w:sz w:val="26"/>
        </w:rPr>
      </w:pPr>
      <w:r w:rsidRPr="006548BF">
        <w:rPr>
          <w:rFonts w:ascii="Helvetica" w:hAnsi="Helvetica"/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6B23A6" wp14:editId="214384ED">
                <wp:simplePos x="0" y="0"/>
                <wp:positionH relativeFrom="margin">
                  <wp:align>right</wp:align>
                </wp:positionH>
                <wp:positionV relativeFrom="paragraph">
                  <wp:posOffset>756285</wp:posOffset>
                </wp:positionV>
                <wp:extent cx="5918200" cy="3657600"/>
                <wp:effectExtent l="0" t="0" r="2540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05A" w:rsidRPr="00AF7A0B" w:rsidRDefault="0072305A" w:rsidP="0072305A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23A6" id="_x0000_s1028" type="#_x0000_t202" style="position:absolute;margin-left:414.8pt;margin-top:59.55pt;width:466pt;height:4in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">
                <v:textbox>
                  <w:txbxContent>
                    <w:p w:rsidR="0072305A" w:rsidRPr="00AF7A0B" w:rsidRDefault="0072305A" w:rsidP="0072305A">
                      <w:pPr>
                        <w:rPr>
                          <w:rFonts w:ascii="Helvetica" w:hAnsi="Helveti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0F6" w:rsidRPr="006548BF">
        <w:rPr>
          <w:rFonts w:ascii="Helvetica" w:hAnsi="Helvetica"/>
          <w:sz w:val="26"/>
        </w:rPr>
        <w:t xml:space="preserve">Inbar Y, Pizarro DA, Bloom P. Conservatives are more easily disgusted than liberals. </w:t>
      </w:r>
      <w:r w:rsidR="003930F6" w:rsidRPr="006548BF">
        <w:rPr>
          <w:rFonts w:ascii="Helvetica" w:hAnsi="Helvetica"/>
          <w:sz w:val="26"/>
        </w:rPr>
        <w:br/>
      </w:r>
      <w:r w:rsidR="003930F6" w:rsidRPr="006548BF">
        <w:rPr>
          <w:rFonts w:ascii="Helvetica" w:hAnsi="Helvetica"/>
          <w:color w:val="7F7F7F" w:themeColor="text1" w:themeTint="80"/>
        </w:rPr>
        <w:t>Cognition &amp; Emotion. 2009;23: 714–725. doi:10.1080/02699930802110007</w:t>
      </w:r>
    </w:p>
    <w:p w:rsidR="00A14EE3" w:rsidRPr="006548BF" w:rsidRDefault="00686A15">
      <w:pPr>
        <w:rPr>
          <w:rFonts w:ascii="Helvetica" w:hAnsi="Helvetica"/>
          <w:sz w:val="20"/>
        </w:rPr>
      </w:pPr>
    </w:p>
    <w:sectPr w:rsidR="00A14EE3" w:rsidRPr="006548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A15" w:rsidRDefault="00686A15" w:rsidP="004F2724">
      <w:pPr>
        <w:spacing w:after="0" w:line="240" w:lineRule="auto"/>
      </w:pPr>
      <w:r>
        <w:separator/>
      </w:r>
    </w:p>
  </w:endnote>
  <w:endnote w:type="continuationSeparator" w:id="0">
    <w:p w:rsidR="00686A15" w:rsidRDefault="00686A15" w:rsidP="004F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A15" w:rsidRDefault="00686A15" w:rsidP="004F2724">
      <w:pPr>
        <w:spacing w:after="0" w:line="240" w:lineRule="auto"/>
      </w:pPr>
      <w:r>
        <w:separator/>
      </w:r>
    </w:p>
  </w:footnote>
  <w:footnote w:type="continuationSeparator" w:id="0">
    <w:p w:rsidR="00686A15" w:rsidRDefault="00686A15" w:rsidP="004F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24" w:rsidRPr="006548BF" w:rsidRDefault="006548BF">
    <w:pPr>
      <w:pStyle w:val="Header"/>
      <w:rPr>
        <w:rFonts w:ascii="Helvetica" w:hAnsi="Helvetica"/>
      </w:rPr>
    </w:pPr>
    <w:r w:rsidRPr="006548BF">
      <w:rPr>
        <w:rFonts w:ascii="Helvetica" w:hAnsi="Helvetica"/>
      </w:rPr>
      <w:t xml:space="preserve">15.341 | </w:t>
    </w:r>
    <w:r w:rsidR="004F2724" w:rsidRPr="006548BF">
      <w:rPr>
        <w:rFonts w:ascii="Helvetica" w:hAnsi="Helvetica"/>
      </w:rPr>
      <w:t>Week 11: Intergroup conflict</w:t>
    </w:r>
    <w:r w:rsidR="004F2724" w:rsidRPr="006548BF">
      <w:rPr>
        <w:rFonts w:ascii="Helvetica" w:hAnsi="Helvetica"/>
      </w:rPr>
      <w:tab/>
    </w:r>
    <w:r w:rsidR="004F2724" w:rsidRPr="006548BF">
      <w:rPr>
        <w:rFonts w:ascii="Helvetica" w:hAnsi="Helvetica"/>
      </w:rPr>
      <w:tab/>
      <w:t>Graelyn Humiston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F6"/>
    <w:rsid w:val="001F7FCA"/>
    <w:rsid w:val="003930F6"/>
    <w:rsid w:val="004467AA"/>
    <w:rsid w:val="004F2724"/>
    <w:rsid w:val="006548BF"/>
    <w:rsid w:val="00686A15"/>
    <w:rsid w:val="0072305A"/>
    <w:rsid w:val="00895DCE"/>
    <w:rsid w:val="00A07C60"/>
    <w:rsid w:val="00AF7A0B"/>
    <w:rsid w:val="00BA6D4D"/>
    <w:rsid w:val="00E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C95B"/>
  <w15:chartTrackingRefBased/>
  <w15:docId w15:val="{2DFBDA26-55E9-4E8F-84F2-8D2E036C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0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724"/>
  </w:style>
  <w:style w:type="paragraph" w:styleId="Footer">
    <w:name w:val="footer"/>
    <w:basedOn w:val="Normal"/>
    <w:link w:val="FooterChar"/>
    <w:uiPriority w:val="99"/>
    <w:unhideWhenUsed/>
    <w:rsid w:val="004F2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F871C-5515-4A99-B807-776AA26C6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Graelyn Humiston</dc:creator>
  <cp:keywords/>
  <dc:description/>
  <cp:lastModifiedBy>Graelyn Humiston</cp:lastModifiedBy>
  <cp:revision>8</cp:revision>
  <dcterms:created xsi:type="dcterms:W3CDTF">2020-04-28T20:17:00Z</dcterms:created>
  <dcterms:modified xsi:type="dcterms:W3CDTF">2020-04-28T20:37:00Z</dcterms:modified>
</cp:coreProperties>
</file>