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Pd / PdO / PdO₂ DMC Formation DFT Project</w:t>
      </w:r>
    </w:p>
    <w:p>
      <w:pPr>
        <w:jc w:val="center"/>
      </w:pPr>
      <w:r>
        <w:rPr>
          <w:rFonts w:ascii="Arial" w:hAnsi="Arial"/>
          <w:b/>
          <w:i w:val="0"/>
          <w:sz w:val="26"/>
        </w:rPr>
        <w:t>Pre-DFT Final Report — DFT Submission Ready (T1.16)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작성일: 2026-06-24 | 작성자: 이현진 (지도: 이태훈 교수, DGIST DDMM)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Anchor: Shi et al., Angew. Chem. Int. Ed. 2024 (Pd₃Cu anodic methanol carbonylation)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Framework: Paimon-extended 5-judge committee (Park et al., arXiv:2606.09422, 2026)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GitHub: hyunjinlee12/DMC + DDMM-dgist/Pd-DMC (mirror, Pattern A 브랜치 관리)</w:t>
      </w:r>
    </w:p>
    <w:p/>
    <w:p>
      <w:pPr>
        <w:pStyle w:val="Heading1"/>
      </w:pPr>
      <w:r>
        <w:rPr>
          <w:rFonts w:ascii="Arial" w:hAnsi="Arial"/>
        </w:rPr>
        <w:t>Executive Summary</w:t>
      </w:r>
    </w:p>
    <w:p>
      <w:r>
        <w:rPr>
          <w:rFonts w:ascii="Arial" w:hAnsi="Arial"/>
          <w:b w:val="0"/>
          <w:i w:val="0"/>
          <w:sz w:val="22"/>
        </w:rPr>
        <w:t>본 보고서는 G1 → G2 → G3 (T1.10-T1.15) 단계 완료 + T1.16 DFT 진입 직전 상태를 종합하여 advisor 검토를 요청한다. Paimon-extended 5-judge committee 가 11개 verification cycle 을 수행했으며, 두 차례의 silent bug 를 잡고 fix 함으로써 65 시간짜리 MLIP 데이터를 재실행 없이 재활용. 가이드 docs/DMC_Pd_workplan.md §P1-C 의 ranking 우선순위 5개를 strict 적용한 v2 shortlist (48 candidates) 가 DFT 입력으로 준비됨.</w:t>
      </w:r>
    </w:p>
    <w:p>
      <w:r>
        <w:rPr>
          <w:rFonts w:ascii="Arial" w:hAnsi="Arial"/>
          <w:b/>
          <w:i w:val="0"/>
          <w:sz w:val="24"/>
        </w:rPr>
        <w:t>진행 단계 요약:</w:t>
      </w:r>
    </w:p>
    <w:p>
      <w:r>
        <w:rPr>
          <w:rFonts w:ascii="Arial" w:hAnsi="Arial"/>
          <w:b w:val="0"/>
          <w:i w:val="0"/>
          <w:sz w:val="22"/>
        </w:rPr>
        <w:t xml:space="preserve">  • G1 bulk (Pd, PdO, PdO₂)              : ✓ 통과 (Pass-with-caveats)</w:t>
        <w:br/>
        <w:t xml:space="preserve">  • G2 slab (5 surfaces)                  : ✓ 통과 (Pass-with-caveats + literature 일치)</w:t>
        <w:br/>
        <w:t xml:space="preserve">  • G3 T1.10-T1.14 MLIP ranking            : ✓ 완료 (MACE-MH+D3+cueq, ~48k 후보)</w:t>
        <w:br/>
        <w:t xml:space="preserve">  • G3 T1.15 DFT shortlist (v2 strict)    : ✓ 완료 (48 candidates)</w:t>
        <w:br/>
        <w:t xml:space="preserve">  • G3 T1.16 Level 1 vacuum DFT            : ⏳ 진입 대기 (user 승인 요청)</w:t>
        <w:br/>
        <w:t xml:space="preserve">  • G3 T1.17-T1.20 (VASPsol → Case A-D)    : 예정</w:t>
        <w:br/>
        <w:t xml:space="preserve">  • G4 workplan Phase 2 (NEB)              : 예정</w:t>
      </w:r>
    </w:p>
    <w:p>
      <w:r>
        <w:rPr>
          <w:rFonts w:ascii="Arial" w:hAnsi="Arial"/>
          <w:b/>
          <w:i w:val="0"/>
          <w:sz w:val="24"/>
        </w:rPr>
        <w:t>주요 chemistry 발견 (MLIP 단계, DFT 로 확정 예정):</w:t>
      </w:r>
    </w:p>
    <w:p>
      <w:r>
        <w:rPr>
          <w:rFonts w:ascii="Arial" w:hAnsi="Arial"/>
          <w:b w:val="0"/>
          <w:i w:val="0"/>
          <w:sz w:val="22"/>
        </w:rPr>
        <w:t xml:space="preserve">  ① Shi 2024 가설 직접 검증: Pd⁰→Pd⁴⁺ 산화 시 CO* 결합 약화 (S1 Pd-C 1.97 Å → S4 4.05 Å)</w:t>
        <w:br/>
        <w:t xml:space="preserve">  ② S3 PdO(100) O-term 에서 CH₃OCO* product 형성 신호 (d_react 1.34 Å) — Shi 미언급 신규</w:t>
        <w:br/>
        <w:t xml:space="preserve">  ③ S2/S4 에서 CO + lattice O → CO₂-like side-path 자발 sampling</w:t>
        <w:br/>
        <w:t xml:space="preserve">  ④ Cross-MLIP validation: MACE-MH+D3 vs SevenNet-Omni+D3 일치</w:t>
      </w:r>
    </w:p>
    <w:p>
      <w:r>
        <w:rPr>
          <w:rFonts w:ascii="Arial" w:hAnsi="Arial"/>
          <w:b/>
          <w:i w:val="0"/>
          <w:color w:val="C0392B"/>
          <w:sz w:val="22"/>
        </w:rPr>
        <w:t>Decision request:</w:t>
      </w:r>
    </w:p>
    <w:p>
      <w:r>
        <w:rPr>
          <w:rFonts w:ascii="Arial" w:hAnsi="Arial"/>
          <w:b w:val="0"/>
          <w:i w:val="0"/>
          <w:sz w:val="22"/>
        </w:rPr>
        <w:t>T1.16 Level 1 vacuum DFT 진입 승인 (47-48 jobs, ~7-14 day wall time on 2 GPUs).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Pipeline &amp; Method</w:t>
      </w:r>
    </w:p>
    <w:p>
      <w:r>
        <w:rPr>
          <w:rFonts w:ascii="Arial" w:hAnsi="Arial"/>
          <w:b w:val="0"/>
          <w:i w:val="0"/>
          <w:sz w:val="22"/>
        </w:rPr>
        <w:t>본 연구는 Shi 2024 의 SSW-NN + DFT 접근을 AutoAdsorbate (heuristic enumeration) + MACE-MH foundation MLIP (mh-1 + oc20_usemppbe head) + DFT 의 3단 파이프라인으로 대체. Foundation MLIP 는 OC20 PBE 사전학습 가중치를 그대로 사용 (system-specific 학습 불필요). 각 단계의 출력은 Paimon-extended 5-judge committee 가 blind parallel review 로 검증.</w:t>
      </w:r>
    </w:p>
    <w:p>
      <w:r>
        <w:rPr>
          <w:rFonts w:ascii="Arial" w:hAnsi="Arial"/>
          <w:b/>
          <w:i w:val="0"/>
          <w:sz w:val="24"/>
        </w:rPr>
        <w:t>MACE calculator 설정 (advisor 권고 반영):</w:t>
      </w:r>
    </w:p>
    <w:p>
      <w:r>
        <w:rPr>
          <w:rFonts w:ascii="Arial" w:hAnsi="Arial"/>
          <w:b w:val="0"/>
          <w:i w:val="0"/>
          <w:sz w:val="22"/>
        </w:rPr>
        <w:t xml:space="preserve">  mace_mp(model='mh-1',                  # MACE-MH multihead foundation</w:t>
        <w:br/>
        <w:t xml:space="preserve">          head='oc20_usemppbe',          # Open Catalyst 20 PBE</w:t>
        <w:br/>
        <w:t xml:space="preserve">          default_dtype='float64',        # 정확도 (이용혁 교수 조언)</w:t>
        <w:br/>
        <w:t xml:space="preserve">          enable_cueq=True,               # cuEquivariance 가속 (~2× 빠름)</w:t>
        <w:br/>
        <w:t xml:space="preserve">          dispersion=True,                # D3 dispersion (advisor 권고)</w:t>
        <w:br/>
        <w:t xml:space="preserve">          damping='bj', dispersion_xc='pbe')</w:t>
      </w:r>
    </w:p>
    <w:p>
      <w:pPr>
        <w:pStyle w:val="Heading1"/>
      </w:pPr>
      <w:r>
        <w:rPr>
          <w:rFonts w:ascii="Arial" w:hAnsi="Arial"/>
        </w:rPr>
        <w:t>2. Surface Models (5 slabs)</w:t>
      </w:r>
    </w:p>
    <w:p>
      <w:r>
        <w:rPr>
          <w:rFonts w:ascii="Arial" w:hAnsi="Arial"/>
          <w:b w:val="0"/>
          <w:i w:val="0"/>
          <w:sz w:val="22"/>
        </w:rPr>
        <w:t>Pd⁰ → Pd⁴⁺ 산화 진행 축을 따라 5개 slab. 각 표면은 published DFT literature 와 sub-percent lattice 일치 (Reuter PRL 2007, Lundgren cond-mat/0304107, Rogal-Reuter PRB 2004). S4 PdO₂(110) 만 직접 DFT benchmark 없음 (rutile TiO₂/RuO₂ 유추) — Shi 2024 의 Pd⁴⁺ representation 으로 해석.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표면 모델</w:t>
            </w:r>
          </w:p>
        </w:tc>
        <w:tc>
          <w:tcPr>
            <w:tcW w:type="dxa" w:w="1728"/>
          </w:tcPr>
          <w:p>
            <w:r>
              <w:t>산화 상태</w:t>
            </w:r>
          </w:p>
        </w:tc>
        <w:tc>
          <w:tcPr>
            <w:tcW w:type="dxa" w:w="1728"/>
          </w:tcPr>
          <w:p>
            <w:r>
              <w:t>Atoms</w:t>
            </w:r>
          </w:p>
        </w:tc>
        <w:tc>
          <w:tcPr>
            <w:tcW w:type="dxa" w:w="1728"/>
          </w:tcPr>
          <w:p>
            <w:r>
              <w:t>E (E₀, eV)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Pd(100) clean</w:t>
            </w:r>
          </w:p>
        </w:tc>
        <w:tc>
          <w:tcPr>
            <w:tcW w:type="dxa" w:w="1728"/>
          </w:tcPr>
          <w:p>
            <w:r>
              <w:t>Pd⁰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-434.380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1 ML PdO(101)/Pd(100) (√5×√5)R27°</w:t>
            </w:r>
          </w:p>
        </w:tc>
        <w:tc>
          <w:tcPr>
            <w:tcW w:type="dxa" w:w="1728"/>
          </w:tcPr>
          <w:p>
            <w:r>
              <w:t>Pd⁰+Pd²⁺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-618.565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PdO(100) O-rich top (stoichiometric)</w:t>
            </w:r>
          </w:p>
        </w:tc>
        <w:tc>
          <w:tcPr>
            <w:tcW w:type="dxa" w:w="1728"/>
          </w:tcPr>
          <w:p>
            <w:r>
              <w:t>Pd²⁺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-724.103</w:t>
            </w:r>
          </w:p>
        </w:tc>
      </w:tr>
      <w:tr>
        <w:tc>
          <w:tcPr>
            <w:tcW w:type="dxa" w:w="1728"/>
          </w:tcPr>
          <w:p>
            <w:r>
              <w:t>S3b</w:t>
            </w:r>
          </w:p>
        </w:tc>
        <w:tc>
          <w:tcPr>
            <w:tcW w:type="dxa" w:w="1728"/>
          </w:tcPr>
          <w:p>
            <w:r>
              <w:t>PdO(100) Pd-rich top</w:t>
            </w:r>
          </w:p>
        </w:tc>
        <w:tc>
          <w:tcPr>
            <w:tcW w:type="dxa" w:w="1728"/>
          </w:tcPr>
          <w:p>
            <w:r>
              <w:t>Pd²⁺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-570.772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PdO₂(110) stoichiometric</w:t>
            </w:r>
          </w:p>
        </w:tc>
        <w:tc>
          <w:tcPr>
            <w:tcW w:type="dxa" w:w="1728"/>
          </w:tcPr>
          <w:p>
            <w:r>
              <w:t>Pd⁴⁺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-788.493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3. MLIP Ranking — Phase 1+2+3 Results</w:t>
      </w:r>
    </w:p>
    <w:p>
      <w:r>
        <w:rPr>
          <w:rFonts w:ascii="Arial" w:hAnsi="Arial"/>
          <w:b w:val="0"/>
          <w:i w:val="0"/>
          <w:sz w:val="22"/>
        </w:rPr>
        <w:t>Phase 1 (단일 흡착 CO*, CH3O* 2,516 후보) + Phase 2 (co-ads SetA reactive 37,956) + Phase 3 (SetTS + SetB 6,314). 총 ~46,786 relaxation. Phase 2/3 에서 PBC fragmentation silent bug 발견 후 direct-distance refilter 적용 (~50% 생존). Phase 3 SetTS pool 은 가이드 T2.5 재해석으로 사실상 불필요 판정 (NEB 가 endpoint 에서 saddle 탐색).</w:t>
      </w:r>
    </w:p>
    <w:p>
      <w:pPr>
        <w:pStyle w:val="Heading2"/>
      </w:pPr>
      <w:r>
        <w:rPr>
          <w:rFonts w:ascii="Arial" w:hAnsi="Arial"/>
        </w:rPr>
        <w:t>3.1 표면별 chemistry summary (MLIP top-1)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산화</w:t>
            </w:r>
          </w:p>
        </w:tc>
        <w:tc>
          <w:tcPr>
            <w:tcW w:type="dxa" w:w="1234"/>
          </w:tcPr>
          <w:p>
            <w:r>
              <w:t>CO d_min (Å)</w:t>
            </w:r>
          </w:p>
        </w:tc>
        <w:tc>
          <w:tcPr>
            <w:tcW w:type="dxa" w:w="1234"/>
          </w:tcPr>
          <w:p>
            <w:r>
              <w:t>CO E_range (meV)</w:t>
            </w:r>
          </w:p>
        </w:tc>
        <w:tc>
          <w:tcPr>
            <w:tcW w:type="dxa" w:w="1234"/>
          </w:tcPr>
          <w:p>
            <w:r>
              <w:t>CH₃O d_min (Å)</w:t>
            </w:r>
          </w:p>
        </w:tc>
        <w:tc>
          <w:tcPr>
            <w:tcW w:type="dxa" w:w="1234"/>
          </w:tcPr>
          <w:p>
            <w:r>
              <w:t>co-ads d_react (Å)</w:t>
            </w:r>
          </w:p>
        </w:tc>
        <w:tc>
          <w:tcPr>
            <w:tcW w:type="dxa" w:w="1234"/>
          </w:tcPr>
          <w:p>
            <w:r>
              <w:t>Case 예상</w:t>
            </w:r>
          </w:p>
        </w:tc>
      </w:tr>
      <w:tr>
        <w:tc>
          <w:tcPr>
            <w:tcW w:type="dxa" w:w="1234"/>
          </w:tcPr>
          <w:p>
            <w:r>
              <w:t>S1</w:t>
            </w:r>
          </w:p>
        </w:tc>
        <w:tc>
          <w:tcPr>
            <w:tcW w:type="dxa" w:w="1234"/>
          </w:tcPr>
          <w:p>
            <w:r>
              <w:t>Pd⁰</w:t>
            </w:r>
          </w:p>
        </w:tc>
        <w:tc>
          <w:tcPr>
            <w:tcW w:type="dxa" w:w="1234"/>
          </w:tcPr>
          <w:p>
            <w:r>
              <w:t>1.97 ✓</w:t>
            </w:r>
          </w:p>
        </w:tc>
        <w:tc>
          <w:tcPr>
            <w:tcW w:type="dxa" w:w="1234"/>
          </w:tcPr>
          <w:p>
            <w:r>
              <w:t>1692</w:t>
            </w:r>
          </w:p>
        </w:tc>
        <w:tc>
          <w:tcPr>
            <w:tcW w:type="dxa" w:w="1234"/>
          </w:tcPr>
          <w:p>
            <w:r>
              <w:t>2.11 ✓</w:t>
            </w:r>
          </w:p>
        </w:tc>
        <w:tc>
          <w:tcPr>
            <w:tcW w:type="dxa" w:w="1234"/>
          </w:tcPr>
          <w:p>
            <w:r>
              <w:t>3.10 (SetA)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  <w:tr>
        <w:tc>
          <w:tcPr>
            <w:tcW w:type="dxa" w:w="1234"/>
          </w:tcPr>
          <w:p>
            <w:r>
              <w:t>S2</w:t>
            </w:r>
          </w:p>
        </w:tc>
        <w:tc>
          <w:tcPr>
            <w:tcW w:type="dxa" w:w="1234"/>
          </w:tcPr>
          <w:p>
            <w:r>
              <w:t>Pd⁰+Pd²⁺</w:t>
            </w:r>
          </w:p>
        </w:tc>
        <w:tc>
          <w:tcPr>
            <w:tcW w:type="dxa" w:w="1234"/>
          </w:tcPr>
          <w:p>
            <w:r>
              <w:t>2.01 ✓</w:t>
            </w:r>
          </w:p>
        </w:tc>
        <w:tc>
          <w:tcPr>
            <w:tcW w:type="dxa" w:w="1234"/>
          </w:tcPr>
          <w:p>
            <w:r>
              <w:t>818</w:t>
            </w:r>
          </w:p>
        </w:tc>
        <w:tc>
          <w:tcPr>
            <w:tcW w:type="dxa" w:w="1234"/>
          </w:tcPr>
          <w:p>
            <w:r>
              <w:t>2.14 ✓</w:t>
            </w:r>
          </w:p>
        </w:tc>
        <w:tc>
          <w:tcPr>
            <w:tcW w:type="dxa" w:w="1234"/>
          </w:tcPr>
          <w:p>
            <w:r>
              <w:t>5.26 (drift→B)</w:t>
            </w:r>
          </w:p>
        </w:tc>
        <w:tc>
          <w:tcPr>
            <w:tcW w:type="dxa" w:w="1234"/>
          </w:tcPr>
          <w:p>
            <w:r>
              <w:t>A/B</w:t>
            </w:r>
          </w:p>
        </w:tc>
      </w:tr>
      <w:tr>
        <w:tc>
          <w:tcPr>
            <w:tcW w:type="dxa" w:w="1234"/>
          </w:tcPr>
          <w:p>
            <w:r>
              <w:t>S3</w:t>
            </w:r>
          </w:p>
        </w:tc>
        <w:tc>
          <w:tcPr>
            <w:tcW w:type="dxa" w:w="1234"/>
          </w:tcPr>
          <w:p>
            <w:r>
              <w:t>Pd²⁺ O-top</w:t>
            </w:r>
          </w:p>
        </w:tc>
        <w:tc>
          <w:tcPr>
            <w:tcW w:type="dxa" w:w="1234"/>
          </w:tcPr>
          <w:p>
            <w:r>
              <w:t>2.46 ⚠</w:t>
            </w:r>
          </w:p>
        </w:tc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2.79 ⚠</w:t>
            </w:r>
          </w:p>
        </w:tc>
        <w:tc>
          <w:tcPr>
            <w:tcW w:type="dxa" w:w="1234"/>
          </w:tcPr>
          <w:p>
            <w:r>
              <w:t>1.34 (product) ⭐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S3b</w:t>
            </w:r>
          </w:p>
        </w:tc>
        <w:tc>
          <w:tcPr>
            <w:tcW w:type="dxa" w:w="1234"/>
          </w:tcPr>
          <w:p>
            <w:r>
              <w:t>Pd²⁺ Pd-top</w:t>
            </w:r>
          </w:p>
        </w:tc>
        <w:tc>
          <w:tcPr>
            <w:tcW w:type="dxa" w:w="1234"/>
          </w:tcPr>
          <w:p>
            <w:r>
              <w:t>3.54 ❌</w:t>
            </w:r>
          </w:p>
        </w:tc>
        <w:tc>
          <w:tcPr>
            <w:tcW w:type="dxa" w:w="1234"/>
          </w:tcPr>
          <w:p>
            <w:r>
              <w:t>2314</w:t>
            </w:r>
          </w:p>
        </w:tc>
        <w:tc>
          <w:tcPr>
            <w:tcW w:type="dxa" w:w="1234"/>
          </w:tcPr>
          <w:p>
            <w:r>
              <w:t>2.55 ⚠</w:t>
            </w:r>
          </w:p>
        </w:tc>
        <w:tc>
          <w:tcPr>
            <w:tcW w:type="dxa" w:w="1234"/>
          </w:tcPr>
          <w:p>
            <w:r>
              <w:t>5.30 (drift→B)</w:t>
            </w:r>
          </w:p>
        </w:tc>
        <w:tc>
          <w:tcPr>
            <w:tcW w:type="dxa" w:w="1234"/>
          </w:tcPr>
          <w:p>
            <w:r>
              <w:t>A/B</w:t>
            </w:r>
          </w:p>
        </w:tc>
      </w:tr>
      <w:tr>
        <w:tc>
          <w:tcPr>
            <w:tcW w:type="dxa" w:w="1234"/>
          </w:tcPr>
          <w:p>
            <w:r>
              <w:t>S4</w:t>
            </w:r>
          </w:p>
        </w:tc>
        <w:tc>
          <w:tcPr>
            <w:tcW w:type="dxa" w:w="1234"/>
          </w:tcPr>
          <w:p>
            <w:r>
              <w:t>Pd⁴⁺</w:t>
            </w:r>
          </w:p>
        </w:tc>
        <w:tc>
          <w:tcPr>
            <w:tcW w:type="dxa" w:w="1234"/>
          </w:tcPr>
          <w:p>
            <w:r>
              <w:t>4.05 ❌</w:t>
            </w:r>
          </w:p>
        </w:tc>
        <w:tc>
          <w:tcPr>
            <w:tcW w:type="dxa" w:w="1234"/>
          </w:tcPr>
          <w:p>
            <w:r>
              <w:t>3184</w:t>
            </w:r>
          </w:p>
        </w:tc>
        <w:tc>
          <w:tcPr>
            <w:tcW w:type="dxa" w:w="1234"/>
          </w:tcPr>
          <w:p>
            <w:r>
              <w:t>0.98 ❌</w:t>
            </w:r>
          </w:p>
        </w:tc>
        <w:tc>
          <w:tcPr>
            <w:tcW w:type="dxa" w:w="1234"/>
          </w:tcPr>
          <w:p>
            <w:r>
              <w:t>1.33 (broken)</w:t>
            </w:r>
          </w:p>
        </w:tc>
        <w:tc>
          <w:tcPr>
            <w:tcW w:type="dxa" w:w="1234"/>
          </w:tcPr>
          <w:p>
            <w:r>
              <w:t>C/D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28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oxidation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8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1. Pd⁰ → Pd⁴⁺ 산화 진행에 따른 chemisorption 강도 변화. CO* (Pd–C) 가 1.97 Å → 4.05 Å 로 단조 증가하며 chemisorbed band (1.85-2.15 Å) 이탈. CH₃O* (Pd–O) 도 유사 경향, S4 PdO₂ 에서 0.98 Å 까지 단축은 분해 신호. Shi 2024 의 anodic 산화 → CO* 안정성 손실 가설 정확 재현.</w:t>
      </w:r>
    </w:p>
    <w:p>
      <w:r>
        <w:drawing>
          <wp:inline xmlns:a="http://schemas.openxmlformats.org/drawingml/2006/main" xmlns:pic="http://schemas.openxmlformats.org/drawingml/2006/picture">
            <wp:extent cx="5029200" cy="4128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descriptor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2. 예비 descriptor map (MLIP top-1, slab E 차감). 5 surfaces 가 Case A-D 영역 분포. DFT 후 T1.19 에서 ΔG_CO* vs ΔG_CH3O*^MeOH(U) 로 최종 갱신 예정.</w:t>
      </w:r>
    </w:p>
    <w:p>
      <w:r>
        <w:drawing>
          <wp:inline xmlns:a="http://schemas.openxmlformats.org/drawingml/2006/main" xmlns:pic="http://schemas.openxmlformats.org/drawingml/2006/picture">
            <wp:extent cx="5943600" cy="2451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d_min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3. Phase 1 (단일 흡착) d_min 분포. (a) CO* Pd–C, (b) CH₃O* Pd–O. S1, S3b 가 chemisorbed band 안에 가장 많이 모여있고, S3, S4 는 physisorbed/borderline 영역 집중 — Pd 산화 영향.</w:t>
      </w:r>
    </w:p>
    <w:p>
      <w:r>
        <w:drawing>
          <wp:inline xmlns:a="http://schemas.openxmlformats.org/drawingml/2006/main" xmlns:pic="http://schemas.openxmlformats.org/drawingml/2006/picture">
            <wp:extent cx="5943600" cy="35314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d_reactive_coa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4. Phase 2 filtered SetA co-adsorption: 반응 거리 d(C_CO ↔ O_methoxy) vs MACE+D3 ΔE. SetA band [2.1, 4.0] Å 음영 표시. S3, S4 에서 1.3-1.5 Å 영역 (product collapse) signal 관찰.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4. T1.15 v2 DFT Shortlist — Guide-Strict (48 candidates)</w:t>
      </w:r>
    </w:p>
    <w:p>
      <w:r>
        <w:rPr>
          <w:rFonts w:ascii="Arial" w:hAnsi="Arial"/>
          <w:b w:val="0"/>
          <w:i w:val="0"/>
          <w:sz w:val="22"/>
        </w:rPr>
        <w:t>docs/DMC_Pd_workplan.md §P1-C 의 MLIP ranking 우선순위 5개 모두 strict 적용:</w:t>
      </w:r>
    </w:p>
    <w:p>
      <w:r>
        <w:rPr>
          <w:rFonts w:ascii="Arial" w:hAnsi="Arial"/>
          <w:b w:val="0"/>
          <w:i w:val="0"/>
          <w:sz w:val="22"/>
        </w:rPr>
        <w:t xml:space="preserve">  ① coadsorption total energy 낮은 구조</w:t>
        <w:br/>
        <w:t xml:space="preserve">  ② C_CO–O_CH3O = 2.0–3.5 Å (Set A reactive band)</w:t>
        <w:br/>
        <w:t xml:space="preserve">  ③ CO·CH3O 서로 다른 기능성 site (co-adsorption)</w:t>
        <w:br/>
        <w:t xml:space="preserve">  ④ S2 에서는 interface pair 우선</w:t>
        <w:br/>
        <w:t xml:space="preserve">  ⑤ O-rich PdO/PdO₂ 에서 CO₂-like 무너진 구조 → side-path 보관</w:t>
      </w:r>
    </w:p>
    <w:p>
      <w:pPr>
        <w:pStyle w:val="Heading2"/>
      </w:pPr>
      <w:r>
        <w:rPr>
          <w:rFonts w:ascii="Arial" w:hAnsi="Arial"/>
        </w:rPr>
        <w:t>4.1 후보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Surface</w:t>
            </w:r>
          </w:p>
        </w:tc>
        <w:tc>
          <w:tcPr>
            <w:tcW w:type="dxa" w:w="1728"/>
          </w:tcPr>
          <w:p>
            <w:r>
              <w:t>CO*</w:t>
            </w:r>
          </w:p>
        </w:tc>
        <w:tc>
          <w:tcPr>
            <w:tcW w:type="dxa" w:w="1728"/>
          </w:tcPr>
          <w:p>
            <w:r>
              <w:t>CH₃O*</w:t>
            </w:r>
          </w:p>
        </w:tc>
        <w:tc>
          <w:tcPr>
            <w:tcW w:type="dxa" w:w="1728"/>
          </w:tcPr>
          <w:p>
            <w:r>
              <w:t>co-ads (SetA)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S3b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049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sit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5. v2 shortlist site type 분포. (a) CO* 의 C anchor 위치, (b) CH₃O* 의 methoxy O anchor 위치, (c) co-ads (CO·CH3O 두 anchor 합산). 5 surfaces 모두 다양한 site type 포함: atop_Pd, bridge_Pd-Pd, hollow_3Pd (S1, S3b), atop_O, bridge_Pd-O (S3, S4 oxide). 가이드 ③ "서로 다른 기능성 site" strict 적용 결과.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Representative Structures (48 DFT candidates 시각화)</w:t>
      </w:r>
    </w:p>
    <w:p>
      <w:r>
        <w:rPr>
          <w:rFonts w:ascii="Arial" w:hAnsi="Arial"/>
          <w:b w:val="0"/>
          <w:i w:val="0"/>
          <w:sz w:val="22"/>
        </w:rPr>
        <w:t>각 surface 별 v2 shortlist candidates 의 top view (왼쪽) + side view (오른쪽). Surface 별로 페이지 구성:</w:t>
      </w:r>
    </w:p>
    <w:p>
      <w:pPr>
        <w:pStyle w:val="Heading2"/>
      </w:pPr>
      <w:r>
        <w:rPr>
          <w:rFonts w:ascii="Arial" w:hAnsi="Arial"/>
        </w:rPr>
        <w:t>5.1  S1 — Pd(100) [Pd⁰]</w:t>
      </w:r>
    </w:p>
    <w:p>
      <w:r>
        <w:drawing>
          <wp:inline xmlns:a="http://schemas.openxmlformats.org/drawingml/2006/main" xmlns:pic="http://schemas.openxmlformats.org/drawingml/2006/picture">
            <wp:extent cx="5943600" cy="3581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representative_S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6+. S1 v2 shortlist 후보들. 좌: top view, 우: side view. 각 cell 좌상단 label = rank + site type.</w:t>
      </w:r>
    </w:p>
    <w:p/>
    <w:p>
      <w:pPr>
        <w:pStyle w:val="Heading2"/>
      </w:pPr>
      <w:r>
        <w:rPr>
          <w:rFonts w:ascii="Arial" w:hAnsi="Arial"/>
        </w:rPr>
        <w:t>5.2  S2 — PdO(101)/Pd(100) (√5×√5)R27° [Pd⁰+Pd²⁺ interface]</w:t>
      </w:r>
    </w:p>
    <w:p>
      <w:r>
        <w:drawing>
          <wp:inline xmlns:a="http://schemas.openxmlformats.org/drawingml/2006/main" xmlns:pic="http://schemas.openxmlformats.org/drawingml/2006/picture">
            <wp:extent cx="5943600" cy="58030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representative_S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6+. S2 v2 shortlist 후보들. 좌: top view, 우: side view. 각 cell 좌상단 label = rank + site type.</w:t>
      </w:r>
    </w:p>
    <w:p/>
    <w:p>
      <w:pPr>
        <w:pStyle w:val="Heading2"/>
      </w:pPr>
      <w:r>
        <w:rPr>
          <w:rFonts w:ascii="Arial" w:hAnsi="Arial"/>
        </w:rPr>
        <w:t>5.3  S3 — PdO(100) O-rich top [Pd²⁺]</w:t>
      </w:r>
    </w:p>
    <w:p>
      <w:r>
        <w:drawing>
          <wp:inline xmlns:a="http://schemas.openxmlformats.org/drawingml/2006/main" xmlns:pic="http://schemas.openxmlformats.org/drawingml/2006/picture">
            <wp:extent cx="5943600" cy="35462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representative_S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6+. S3 v2 shortlist 후보들. 좌: top view, 우: side view. 각 cell 좌상단 label = rank + site type.</w:t>
      </w:r>
    </w:p>
    <w:p/>
    <w:p>
      <w:pPr>
        <w:pStyle w:val="Heading2"/>
      </w:pPr>
      <w:r>
        <w:rPr>
          <w:rFonts w:ascii="Arial" w:hAnsi="Arial"/>
        </w:rPr>
        <w:t>5.4  S3b — PdO(100) Pd-rich top [Pd²⁺]</w:t>
      </w:r>
    </w:p>
    <w:p>
      <w:r>
        <w:drawing>
          <wp:inline xmlns:a="http://schemas.openxmlformats.org/drawingml/2006/main" xmlns:pic="http://schemas.openxmlformats.org/drawingml/2006/picture">
            <wp:extent cx="5943600" cy="35617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representative_S3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6+. S3b v2 shortlist 후보들. 좌: top view, 우: side view. 각 cell 좌상단 label = rank + site type.</w:t>
      </w:r>
    </w:p>
    <w:p/>
    <w:p>
      <w:pPr>
        <w:pStyle w:val="Heading2"/>
      </w:pPr>
      <w:r>
        <w:rPr>
          <w:rFonts w:ascii="Arial" w:hAnsi="Arial"/>
        </w:rPr>
        <w:t>5.5  S4 — PdO₂(110) stoichiometric [Pd⁴⁺]</w:t>
      </w:r>
    </w:p>
    <w:p>
      <w:r>
        <w:drawing>
          <wp:inline xmlns:a="http://schemas.openxmlformats.org/drawingml/2006/main" xmlns:pic="http://schemas.openxmlformats.org/drawingml/2006/picture">
            <wp:extent cx="5943600" cy="36405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representative_S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6+. S4 v2 shortlist 후보들. 좌: top view, 우: side view. 각 cell 좌상단 label = rank + site type.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</w:rPr>
        <w:t>6. Committee Validation History (Paimon-Extended 5-Judge)</w:t>
      </w:r>
    </w:p>
    <w:p>
      <w:r>
        <w:rPr>
          <w:rFonts w:ascii="Arial" w:hAnsi="Arial"/>
          <w:b w:val="0"/>
          <w:i w:val="0"/>
          <w:sz w:val="22"/>
        </w:rPr>
        <w:t>Paimon framework (Park et al., arXiv:2606.09422) 영감으로 5-judge blind parallel committee. judge-methods (룰 준수), judge-physics (chemistry sanity), judge-statistics (분포 validity), judge-silent-error (Paimon §2.2 — 'plausible but wrong' 감지), judge-malicious (Paimon §3.3 — trust audit). 모든 high-stakes 산출물 검증, silent bug 2회 발견 + fix.</w:t>
      </w:r>
    </w:p>
    <w:p>
      <w:r>
        <w:drawing>
          <wp:inline xmlns:a="http://schemas.openxmlformats.org/drawingml/2006/main" xmlns:pic="http://schemas.openxmlformats.org/drawingml/2006/picture">
            <wp:extent cx="5943600" cy="26884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committee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Figure 11. 11개 committee verification cycle. P=Pass, P-c=Pass-with-caveats, C=Concern, R=Reject. Phase 2/3 raw 의 silent-error judge REJECT 가 결정적 PBC bug fix 트리거. T1.15 v2 site-strict 에서 모든 judge Pass.</w:t>
      </w:r>
    </w:p>
    <w:p>
      <w:pPr>
        <w:pStyle w:val="Heading1"/>
      </w:pPr>
      <w:r>
        <w:rPr>
          <w:rFonts w:ascii="Arial" w:hAnsi="Arial"/>
        </w:rPr>
        <w:t>7. VASP Input Verification</w:t>
      </w:r>
    </w:p>
    <w:p>
      <w:r>
        <w:rPr>
          <w:rFonts w:ascii="Arial" w:hAnsi="Arial"/>
          <w:b/>
          <w:i w:val="0"/>
          <w:sz w:val="24"/>
        </w:rPr>
        <w:t>INCAR 표준 (workplan §1):</w:t>
      </w:r>
    </w:p>
    <w:p>
      <w:r>
        <w:rPr>
          <w:rFonts w:ascii="Arial" w:hAnsi="Arial"/>
          <w:b w:val="0"/>
          <w:i w:val="0"/>
          <w:sz w:val="22"/>
        </w:rPr>
        <w:t xml:space="preserve">  ENCUT=520, PREC=Accurate, LASPH=.TRUE., ADDGRID=.TRUE., ISPIN=2</w:t>
        <w:br/>
        <w:t xml:space="preserve">  IVDW=12 (D3-BJ),  EDIFF=1e-06,  IBRION=2,  NSW=300,  ISIF=2 (ionic only)</w:t>
        <w:br/>
        <w:t xml:space="preserve">  EDIFFG=-0.03,  ISYM=0,  LDIPOL=.TRUE.,  IDIPOL=3,  KSPACING=0.25</w:t>
        <w:br/>
        <w:br/>
        <w:t>Material-specific:</w:t>
        <w:br/>
        <w:t xml:space="preserve">  S1 (Pd metal) : ISMEAR=1, SIGMA=0.10</w:t>
        <w:br/>
        <w:t xml:space="preserve">  S2-S4 (oxides): ISMEAR=0, SIGMA=0.05</w:t>
        <w:br/>
        <w:br/>
        <w:t>POTCAR: Pd_pv (28Jan2005, 16 valence) + O (08Apr2002) + C/H for co-ads.</w:t>
        <w:br/>
        <w:t>POTCAR library: /home/hyunjin/POTENTIAL/potpaw_PBE/</w:t>
      </w:r>
    </w:p>
    <w:p>
      <w:pPr>
        <w:pStyle w:val="Heading1"/>
      </w:pPr>
      <w:r>
        <w:rPr>
          <w:rFonts w:ascii="Arial" w:hAnsi="Arial"/>
        </w:rPr>
        <w:t>8. DFT 비용 견적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단계</w:t>
            </w:r>
          </w:p>
        </w:tc>
        <w:tc>
          <w:tcPr>
            <w:tcW w:type="dxa" w:w="1728"/>
          </w:tcPr>
          <w:p>
            <w:r>
              <w:t>후보</w:t>
            </w:r>
          </w:p>
        </w:tc>
        <w:tc>
          <w:tcPr>
            <w:tcW w:type="dxa" w:w="1728"/>
          </w:tcPr>
          <w:p>
            <w:r>
              <w:t>시간/job</w:t>
            </w:r>
          </w:p>
        </w:tc>
        <w:tc>
          <w:tcPr>
            <w:tcW w:type="dxa" w:w="1728"/>
          </w:tcPr>
          <w:p>
            <w:r>
              <w:t>GPU-hr 합계</w:t>
            </w:r>
          </w:p>
        </w:tc>
        <w:tc>
          <w:tcPr>
            <w:tcW w:type="dxa" w:w="1728"/>
          </w:tcPr>
          <w:p>
            <w:r>
              <w:t>Wall (2 GPUs)</w:t>
            </w:r>
          </w:p>
        </w:tc>
      </w:tr>
      <w:tr>
        <w:tc>
          <w:tcPr>
            <w:tcW w:type="dxa" w:w="1728"/>
          </w:tcPr>
          <w:p>
            <w:r>
              <w:t>T1.16 Level 1 (vacuum)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6-12 hr</w:t>
            </w:r>
          </w:p>
        </w:tc>
        <w:tc>
          <w:tcPr>
            <w:tcW w:type="dxa" w:w="1728"/>
          </w:tcPr>
          <w:p>
            <w:r>
              <w:t>288-576</w:t>
            </w:r>
          </w:p>
        </w:tc>
        <w:tc>
          <w:tcPr>
            <w:tcW w:type="dxa" w:w="1728"/>
          </w:tcPr>
          <w:p>
            <w:r>
              <w:t>6.0-12.0 day</w:t>
            </w:r>
          </w:p>
        </w:tc>
      </w:tr>
      <w:tr>
        <w:tc>
          <w:tcPr>
            <w:tcW w:type="dxa" w:w="1728"/>
          </w:tcPr>
          <w:p>
            <w:r>
              <w:t>T1.17 Level 2 (VASPsol SP)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1-2 hr</w:t>
            </w:r>
          </w:p>
        </w:tc>
        <w:tc>
          <w:tcPr>
            <w:tcW w:type="dxa" w:w="1728"/>
          </w:tcPr>
          <w:p>
            <w:r>
              <w:t>48-96</w:t>
            </w:r>
          </w:p>
        </w:tc>
        <w:tc>
          <w:tcPr>
            <w:tcW w:type="dxa" w:w="1728"/>
          </w:tcPr>
          <w:p>
            <w:r>
              <w:t>1.0-2.0 day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96 calc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336-672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7.0-14.0 day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  <w:t>GPU 자원: 2× RTX 6000 Ada Generation. SLURM debug partition. NVHPC compiler + MPI.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9. Version Management — Pattern A (Gate-Based Branches)</w:t>
      </w:r>
    </w:p>
    <w:p>
      <w:r>
        <w:rPr>
          <w:rFonts w:ascii="Arial" w:hAnsi="Arial"/>
          <w:b w:val="0"/>
          <w:i w:val="0"/>
          <w:sz w:val="22"/>
        </w:rPr>
        <w:t>Advisor 이태훈 교수 권고 (2026-06-22): gate 별 long-running branch 영구 보존.</w:t>
      </w:r>
    </w:p>
    <w:p>
      <w:r>
        <w:rPr>
          <w:rFonts w:ascii="Arial" w:hAnsi="Arial"/>
          <w:b/>
          <w:i w:val="0"/>
          <w:sz w:val="24"/>
        </w:rPr>
        <w:t>GitHub repositories (양쪽 mirror):</w:t>
      </w:r>
    </w:p>
    <w:p>
      <w:r>
        <w:rPr>
          <w:rFonts w:ascii="Arial" w:hAnsi="Arial"/>
          <w:b w:val="0"/>
          <w:i w:val="0"/>
          <w:sz w:val="22"/>
        </w:rPr>
        <w:t xml:space="preserve">  • https://github.com/hyunjinlee12/DMC      (개인 backup, origin)</w:t>
        <w:br/>
        <w:t xml:space="preserve">  • https://github.com/DDMM-dgist/Pd-DMC     (research group, ddmm)</w:t>
      </w:r>
    </w:p>
    <w:p>
      <w:pPr>
        <w:pStyle w:val="Heading2"/>
      </w:pPr>
      <w:r>
        <w:rPr>
          <w:rFonts w:ascii="Arial" w:hAnsi="Arial"/>
        </w:rPr>
        <w:t>Branch 구조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  <w:tc>
          <w:tcPr>
            <w:tcW w:type="dxa" w:w="2160"/>
          </w:tcPr>
          <w:p>
            <w:r>
              <w:t>내용</w:t>
            </w:r>
          </w:p>
        </w:tc>
        <w:tc>
          <w:tcPr>
            <w:tcW w:type="dxa" w:w="2160"/>
          </w:tcPr>
          <w:p>
            <w:r>
              <w:t>상태</w:t>
            </w:r>
          </w:p>
        </w:tc>
      </w:tr>
      <w:tr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4da551a</w:t>
            </w:r>
          </w:p>
        </w:tc>
        <w:tc>
          <w:tcPr>
            <w:tcW w:type="dxa" w:w="2160"/>
          </w:tcPr>
          <w:p>
            <w:r>
              <w:t>G2 통과 baseline (stable trunk)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g1-bulk-passed</w:t>
            </w:r>
          </w:p>
        </w:tc>
        <w:tc>
          <w:tcPr>
            <w:tcW w:type="dxa" w:w="2160"/>
          </w:tcPr>
          <w:p>
            <w:r>
              <w:t>458ae51</w:t>
            </w:r>
          </w:p>
        </w:tc>
        <w:tc>
          <w:tcPr>
            <w:tcW w:type="dxa" w:w="2160"/>
          </w:tcPr>
          <w:p>
            <w:r>
              <w:t>G1 통과 marker (Pd, PdO, PdO₂ bulk)</w:t>
            </w:r>
          </w:p>
        </w:tc>
        <w:tc>
          <w:tcPr>
            <w:tcW w:type="dxa" w:w="2160"/>
          </w:tcPr>
          <w:p>
            <w:r>
              <w:t>frozen</w:t>
            </w:r>
          </w:p>
        </w:tc>
      </w:tr>
      <w:tr>
        <w:tc>
          <w:tcPr>
            <w:tcW w:type="dxa" w:w="2160"/>
          </w:tcPr>
          <w:p>
            <w:r>
              <w:t>g2-slab-passed</w:t>
            </w:r>
          </w:p>
        </w:tc>
        <w:tc>
          <w:tcPr>
            <w:tcW w:type="dxa" w:w="2160"/>
          </w:tcPr>
          <w:p>
            <w:r>
              <w:t>1d6eaa8</w:t>
            </w:r>
          </w:p>
        </w:tc>
        <w:tc>
          <w:tcPr>
            <w:tcW w:type="dxa" w:w="2160"/>
          </w:tcPr>
          <w:p>
            <w:r>
              <w:t>G2 통과 (= tag v0.2-G2-passed)</w:t>
            </w:r>
          </w:p>
        </w:tc>
        <w:tc>
          <w:tcPr>
            <w:tcW w:type="dxa" w:w="2160"/>
          </w:tcPr>
          <w:p>
            <w:r>
              <w:t>frozen</w:t>
            </w:r>
          </w:p>
        </w:tc>
      </w:tr>
      <w:tr>
        <w:tc>
          <w:tcPr>
            <w:tcW w:type="dxa" w:w="2160"/>
          </w:tcPr>
          <w:p>
            <w:r>
              <w:t>g3-mlip-shortlist</w:t>
            </w:r>
          </w:p>
        </w:tc>
        <w:tc>
          <w:tcPr>
            <w:tcW w:type="dxa" w:w="2160"/>
          </w:tcPr>
          <w:p>
            <w:r>
              <w:t>870b2a3</w:t>
            </w:r>
          </w:p>
        </w:tc>
        <w:tc>
          <w:tcPr>
            <w:tcW w:type="dxa" w:w="2160"/>
          </w:tcPr>
          <w:p>
            <w:r>
              <w:t>T1.14-T1.15 MLIP + DFT shortlist v2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g3-dft (예정)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T1.16-T1.20 DFT 결과</w:t>
            </w:r>
          </w:p>
        </w:tc>
        <w:tc>
          <w:tcPr>
            <w:tcW w:type="dxa" w:w="2160"/>
          </w:tcPr>
          <w:p>
            <w:r>
              <w:t>to create</w:t>
            </w:r>
          </w:p>
        </w:tc>
      </w:tr>
      <w:tr>
        <w:tc>
          <w:tcPr>
            <w:tcW w:type="dxa" w:w="2160"/>
          </w:tcPr>
          <w:p>
            <w:r>
              <w:t>g4-neb (예정)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workplan Phase 2 (NEB)</w:t>
            </w:r>
          </w:p>
        </w:tc>
        <w:tc>
          <w:tcPr>
            <w:tcW w:type="dxa" w:w="2160"/>
          </w:tcPr>
          <w:p>
            <w:r>
              <w:t>to create</w:t>
            </w:r>
          </w:p>
        </w:tc>
      </w:tr>
    </w:tbl>
    <w:p>
      <w:r>
        <w:rPr>
          <w:rFonts w:ascii="Arial" w:hAnsi="Arial"/>
          <w:b/>
          <w:i w:val="0"/>
          <w:sz w:val="24"/>
        </w:rPr>
        <w:t>Tags (immutable):</w:t>
      </w:r>
    </w:p>
    <w:p>
      <w:r>
        <w:rPr>
          <w:rFonts w:ascii="Arial" w:hAnsi="Arial"/>
          <w:b w:val="0"/>
          <w:i w:val="0"/>
          <w:sz w:val="22"/>
        </w:rPr>
        <w:t xml:space="preserve">  • v0.2-G2-passed (1d6eaa8) — G2 시점 영구 보존</w:t>
        <w:br/>
        <w:t xml:space="preserve">  • v0.3-G3-passed (예정) — G3 통과 시</w:t>
        <w:br/>
        <w:t xml:space="preserve">  • v1.0-final (예정) — G4 통과, 프로젝트 종료 시</w:t>
      </w:r>
    </w:p>
    <w:p>
      <w:pPr>
        <w:pStyle w:val="Heading1"/>
      </w:pPr>
      <w:r>
        <w:rPr>
          <w:rFonts w:ascii="Arial" w:hAnsi="Arial"/>
        </w:rPr>
        <w:t>10. 후속 단계 (T1.16 → G4)</w:t>
      </w:r>
    </w:p>
    <w:p>
      <w:r>
        <w:rPr>
          <w:rFonts w:ascii="Arial" w:hAnsi="Arial"/>
          <w:b w:val="0"/>
          <w:i w:val="0"/>
          <w:sz w:val="22"/>
        </w:rPr>
        <w:t>T1.16 종료 후 자동 sequence:</w:t>
        <w:br/>
        <w:br/>
        <w:t xml:space="preserve">  1. 48 OUTCAR 자동 검증 (free atom force &lt; 0.03 eV/Å, 수렴 도달)</w:t>
        <w:br/>
        <w:t xml:space="preserve">  2. T1.17 Level 2 VASPsol single-point (LSOL=.TRUE., EB_K=32.6)</w:t>
        <w:br/>
        <w:t xml:space="preserve">  3. T1.18 adsorption energy table (ΔG_CO*, ΔG_CH3O*^MeOH(U) — CHE 보정)</w:t>
        <w:br/>
        <w:t xml:space="preserve">  4. T1.19 descriptor map (DFT 기반)</w:t>
        <w:br/>
        <w:t xml:space="preserve">  5. T1.20 Case A-D 분류 + Phase 2 surfaces 선정</w:t>
        <w:br/>
        <w:t xml:space="preserve">  6. G3 게이트 통과 → checkpoint C/D/E</w:t>
        <w:br/>
        <w:t xml:space="preserve">  7. g3-dft branch → main merge + tag v0.3-G3-passed</w:t>
        <w:br/>
        <w:t xml:space="preserve">  8. g4-neb 새 branch → workplan Phase 2 (CI-NEB TS1/TS2 + side-path)</w:t>
        <w:br/>
        <w:t xml:space="preserve">  9. T2.5-T2.8 → G4 통과 → tag v1.0-final → 프로젝트 종료</w:t>
      </w:r>
    </w:p>
    <w:p>
      <w:pPr>
        <w:pStyle w:val="Heading1"/>
      </w:pPr>
      <w:r>
        <w:rPr>
          <w:rFonts w:ascii="Arial" w:hAnsi="Arial"/>
        </w:rPr>
        <w:t>11. Decision Request</w:t>
      </w:r>
    </w:p>
    <w:p>
      <w:r>
        <w:rPr>
          <w:rFonts w:ascii="Arial" w:hAnsi="Arial"/>
          <w:b/>
          <w:i w:val="0"/>
          <w:sz w:val="24"/>
        </w:rPr>
        <w:t>Advisor 검토 요청 사항:</w:t>
      </w:r>
    </w:p>
    <w:p>
      <w:r>
        <w:rPr>
          <w:rFonts w:ascii="Arial" w:hAnsi="Arial"/>
          <w:b w:val="0"/>
          <w:i w:val="0"/>
          <w:sz w:val="22"/>
        </w:rPr>
        <w:t xml:space="preserve">  1. T1.16 Level 1 vacuum DFT 진입 승인 (48 jobs, ~6-12 day wall time on 2 GPUs)</w:t>
        <w:br/>
        <w:t xml:space="preserve">  2. v2 shortlist 가이드-strict pick 적용 OK 인지 (48 candidates, 표면별 분포 표 참조)</w:t>
        <w:br/>
        <w:t xml:space="preserve">  3. Pattern A version management 의도 일치 확인 (gate 별 long-running branch + DDMM mirror)</w:t>
        <w:br/>
        <w:t xml:space="preserve">  4. S4 PdO₂(110) literature gap 명시 동의 — 'representative Pd⁴⁺ surface' 로 해석 가능 여부</w:t>
      </w:r>
    </w:p>
    <w:p>
      <w:pPr>
        <w:pStyle w:val="Heading1"/>
      </w:pPr>
      <w:r>
        <w:rPr>
          <w:rFonts w:ascii="Arial" w:hAnsi="Arial"/>
        </w:rPr>
        <w:t>12. References</w:t>
      </w:r>
    </w:p>
    <w:p>
      <w:pPr>
        <w:pStyle w:val="ListBullet"/>
      </w:pPr>
      <w:r>
        <w:rPr>
          <w:rFonts w:ascii="Arial" w:hAnsi="Arial"/>
          <w:sz w:val="20"/>
        </w:rPr>
        <w:t>Shi et al. "Stabilization of Pd⁰ by Cu Alloying: Pd₃Cu Electrocatalyst for Anodic Methanol Carbonylation", Angew. Chem. Int. Ed. 2024, doi:10.1002/anie.202401311</w:t>
      </w:r>
    </w:p>
    <w:p>
      <w:pPr>
        <w:pStyle w:val="ListBullet"/>
      </w:pPr>
      <w:r>
        <w:rPr>
          <w:rFonts w:ascii="Arial" w:hAnsi="Arial"/>
          <w:sz w:val="20"/>
        </w:rPr>
        <w:t>Park, Chung, You, Kim, Ju, Han. "A Robust Agentic Framework for Expert-Level Automation of Atomistic Simulations (Paimon)", arXiv:2606.09422, 2026</w:t>
      </w:r>
    </w:p>
    <w:p>
      <w:pPr>
        <w:pStyle w:val="ListBullet"/>
      </w:pPr>
      <w:r>
        <w:rPr>
          <w:rFonts w:ascii="Arial" w:hAnsi="Arial"/>
          <w:sz w:val="20"/>
        </w:rPr>
        <w:t>Lundgren et al. "The Pd(100)-(√5×√5)R27°-O surface oxide revisited", arXiv:cond-mat/0304107 (2003)</w:t>
      </w:r>
    </w:p>
    <w:p>
      <w:pPr>
        <w:pStyle w:val="ListBullet"/>
      </w:pPr>
      <w:r>
        <w:rPr>
          <w:rFonts w:ascii="Arial" w:hAnsi="Arial"/>
          <w:sz w:val="20"/>
        </w:rPr>
        <w:t>Rogal, Reuter, Scheffler. "Thermodynamic stability of PdO surfaces", PRB 2004, arXiv:cond-mat/0310235</w:t>
      </w:r>
    </w:p>
    <w:p>
      <w:pPr>
        <w:pStyle w:val="ListBullet"/>
      </w:pPr>
      <w:r>
        <w:rPr>
          <w:rFonts w:ascii="Arial" w:hAnsi="Arial"/>
          <w:sz w:val="20"/>
        </w:rPr>
        <w:t>Reuter et al. "CO oxidation at Pd(100): First-principles constrained thermodynamics", PRL 98, 046101 (2007)</w:t>
      </w:r>
    </w:p>
    <w:p>
      <w:pPr>
        <w:pStyle w:val="ListBullet"/>
      </w:pPr>
      <w:r>
        <w:rPr>
          <w:rFonts w:ascii="Arial" w:hAnsi="Arial"/>
          <w:sz w:val="20"/>
        </w:rPr>
        <w:t>MACE-MP foundation model — Batatia et al., arXiv:2401.00096; https://mace-docs.readthedocs.io</w:t>
      </w:r>
    </w:p>
    <w:p>
      <w:pPr>
        <w:pStyle w:val="ListBullet"/>
      </w:pPr>
      <w:r>
        <w:rPr>
          <w:rFonts w:ascii="Arial" w:hAnsi="Arial"/>
          <w:sz w:val="20"/>
        </w:rPr>
        <w:t>AutoAdsorbate — ACS Catal. 2025, doi:10.1021/acscatal.5c06553</w:t>
      </w:r>
    </w:p>
    <w:p>
      <w:pPr>
        <w:pStyle w:val="ListBullet"/>
      </w:pPr>
      <w:r>
        <w:rPr>
          <w:rFonts w:ascii="Arial" w:hAnsi="Arial"/>
          <w:sz w:val="20"/>
        </w:rPr>
        <w:t>cuEquivariance (NVIDIA) — https://github.com/NVIDIA/cuEquivariance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