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G2 Slab Structures — Side View (ase3)</w:t>
      </w:r>
    </w:p>
    <w:p>
      <w:pPr>
        <w:jc w:val="center"/>
      </w:pPr>
      <w:r>
        <w:rPr>
          <w:color w:val="888888"/>
          <w:sz w:val="18"/>
        </w:rPr>
        <w:t>Side view (-90x) | Pd=1.3, O=0.7 | No lattice | ase3 texture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36943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Pd100_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36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0"/>
              </w:rPr>
              <w:t>S1: Pd(100)</w:t>
            </w:r>
          </w:p>
          <w:p>
            <w:pPr>
              <w:jc w:val="center"/>
            </w:pPr>
            <w:r>
              <w:rPr>
                <w:color w:val="555555"/>
                <w:sz w:val="18"/>
              </w:rPr>
              <w:t>Pd⁰ — metallic baseline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8928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PdO101_Pd100_pap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92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0"/>
              </w:rPr>
              <w:t>S2: PdO(101)/Pd(100)</w:t>
            </w:r>
          </w:p>
          <w:p>
            <w:pPr>
              <w:jc w:val="center"/>
            </w:pPr>
            <w:r>
              <w:rPr>
                <w:color w:val="555555"/>
                <w:sz w:val="18"/>
              </w:rPr>
              <w:t>Pd⁰/Pd²⁺ — surface oxide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46908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_PdO100_pap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690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0"/>
              </w:rPr>
              <w:t>S3: PdO(100)</w:t>
            </w:r>
          </w:p>
          <w:p>
            <w:pPr>
              <w:jc w:val="center"/>
            </w:pPr>
            <w:r>
              <w:rPr>
                <w:color w:val="555555"/>
                <w:sz w:val="18"/>
              </w:rPr>
              <w:t>Pd²⁺ — bulk oxide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32955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PdO2_110_pap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3295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0"/>
              </w:rPr>
              <w:t>S4: PdO₂(110)</w:t>
            </w:r>
          </w:p>
          <w:p>
            <w:pPr>
              <w:jc w:val="center"/>
            </w:pPr>
            <w:r>
              <w:rPr>
                <w:color w:val="555555"/>
                <w:sz w:val="18"/>
              </w:rPr>
              <w:t>Pd⁴⁺ — high-valence oxide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