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G2 Slab Structure Report</w:t>
      </w:r>
    </w:p>
    <w:p>
      <w:pPr>
        <w:jc w:val="center"/>
      </w:pPr>
      <w:r>
        <w:rPr>
          <w:color w:val="646464"/>
          <w:sz w:val="22"/>
        </w:rPr>
        <w:t>Pd/PdO/PdO₂ DMC Formation Study — Clean Slab Structures</w:t>
      </w:r>
    </w:p>
    <w:p/>
    <w:p>
      <w:pPr>
        <w:pStyle w:val="Heading2"/>
      </w:pPr>
      <w:r>
        <w:t>Slab Structures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61632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1_Pd100_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16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S1: Pd(100)</w:t>
            </w:r>
          </w:p>
          <w:p>
            <w:pPr>
              <w:jc w:val="center"/>
            </w:pPr>
            <w:r>
              <w:rPr>
                <w:color w:val="646464"/>
                <w:sz w:val="16"/>
              </w:rPr>
              <w:t>Metallic Pd, p(4×4), 4 layers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39001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2_PdO101_Pd100_pap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390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S2: PdO(101)/Pd(100)</w:t>
            </w:r>
          </w:p>
          <w:p>
            <w:pPr>
              <w:jc w:val="center"/>
            </w:pPr>
            <w:r>
              <w:rPr>
                <w:color w:val="646464"/>
                <w:sz w:val="16"/>
              </w:rPr>
              <w:t>(√5×√5)R27° surface oxide on Pd(100)</w:t>
            </w:r>
          </w:p>
        </w:tc>
      </w:tr>
      <w:tr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64033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3_PdO100_pap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6403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S3: PdO(100)</w:t>
            </w:r>
          </w:p>
          <w:p>
            <w:pPr>
              <w:jc w:val="center"/>
            </w:pPr>
            <w:r>
              <w:rPr>
                <w:color w:val="646464"/>
                <w:sz w:val="16"/>
              </w:rPr>
              <w:t>Bulk PdO, O-rich termination, 4×2 supercell</w:t>
            </w:r>
          </w:p>
        </w:tc>
        <w:tc>
          <w:tcPr>
            <w:tcW w:type="dxa" w:w="43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347700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4_PdO2_110_pap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34770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0"/>
              </w:rPr>
              <w:t>S4: PdO₂(110)</w:t>
            </w:r>
          </w:p>
          <w:p>
            <w:pPr>
              <w:jc w:val="center"/>
            </w:pPr>
            <w:r>
              <w:rPr>
                <w:color w:val="646464"/>
                <w:sz w:val="16"/>
              </w:rPr>
              <w:t>Rutile-type PdO₂, stoichiometric termination</w:t>
            </w:r>
          </w:p>
        </w:tc>
      </w:tr>
    </w:tbl>
    <w:p/>
    <w:p>
      <w:pPr>
        <w:pStyle w:val="Heading2"/>
      </w:pPr>
      <w:r>
        <w:t>Slab Properties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Surface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Oxidation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Atoms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Pd / 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Cell a×b (Å)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Layers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Fixed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S1: Pd(100)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80 / 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11.0 × 11.0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S2: PdO(101)/Pd(100)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Pd⁰/Pd²⁺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112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96 / 16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12.3 × 12.3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S3: PdO(100)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Pd²⁺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64 / 64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12.2 × 10.8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32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S4: PdO₂(110)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Pd⁴⁺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48 / 96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9.5 × 12.8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45</w:t>
            </w:r>
          </w:p>
        </w:tc>
      </w:tr>
    </w:tbl>
    <w:p/>
    <w:p>
      <w:pPr>
        <w:jc w:val="right"/>
      </w:pPr>
      <w:r>
        <w:rPr>
          <w:color w:val="969696"/>
          <w:sz w:val="16"/>
        </w:rPr>
        <w:t>Generated: 2026-06-05  |  Pd=teal, O=coral  |  POV-Ray + ase3 texture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