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S2 Slab Report — 1 ML PdO(101)/Pd(100) (√5×√5)R27° Surface Oxide</w:t>
      </w:r>
    </w:p>
    <w:p>
      <w:pPr>
        <w:jc w:val="center"/>
      </w:pPr>
      <w:r>
        <w:t>DMC formation DFT study — G2 clean slab    |    2026-06-09</w:t>
      </w:r>
    </w:p>
    <w:p/>
    <w:p>
      <w:pPr>
        <w:pStyle w:val="Heading2"/>
      </w:pPr>
      <w:r>
        <w:t>1. Structure Overview</w:t>
      </w:r>
    </w:p>
    <w:p>
      <w:r>
        <w:rPr>
          <w:b/>
        </w:rPr>
        <w:t xml:space="preserve">Model: </w:t>
      </w:r>
      <w:r>
        <w:t>1 monolayer PdO(101) film on Pd(100) substrate, (√5×√5)R27° commensurate surface oxide — the standard model from Todorova et al., Surf. Sci. 541 (2003) 101 (arXiv cond-mat/0304107) and Kostelník et al., Surf. Sci. 601 (2007) 1574.</w:t>
      </w:r>
    </w:p>
    <w:p>
      <w:r>
        <w:rPr>
          <w:b/>
        </w:rPr>
        <w:t xml:space="preserve">Construction: </w:t>
      </w:r>
      <w:r>
        <w:t>Pd(100) substrate built in (√5×√5)R27° supercell from relaxed Pd fcc bulk (a = 3.8907 Å), 2×2 supercell, 5 layers. A single intact O–Pd–O sheet extracted from a validated standalone PdO(101) slab and strained ~1% to fit the substrate √5 mesh. Lateral registration optimized; rigid rotation aligns substrate Pd-Pd nn directions with lab x,y axes (literature framing).</w:t>
      </w:r>
    </w:p>
    <w:p>
      <w:pPr>
        <w:pStyle w:val="Heading2"/>
      </w:pPr>
      <w:r>
        <w:t>2. Structure (lattice lines hidden)</w:t>
      </w:r>
    </w:p>
    <w:p>
      <w:r>
        <w:drawing>
          <wp:inline xmlns:a="http://schemas.openxmlformats.org/drawingml/2006/main" xmlns:pic="http://schemas.openxmlformats.org/drawingml/2006/picture">
            <wp:extent cx="5029200" cy="4163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persp_nol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Perspective view — Pd(100) substrate (grey) below, single PdO(101) O–Pd–O sheet (Pd + red O) on top, O-terminated.</w:t>
      </w:r>
    </w:p>
    <w:p>
      <w:r>
        <w:drawing>
          <wp:inline xmlns:a="http://schemas.openxmlformats.org/drawingml/2006/main" xmlns:pic="http://schemas.openxmlformats.org/drawingml/2006/picture">
            <wp:extent cx="5029200" cy="5297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top_nol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Top view — substrate Pd in regular square mesh; oxide rows at 27° (R27° rotation of the oxide relative to the substrate).</w:t>
      </w:r>
    </w:p>
    <w:p>
      <w:r>
        <w:drawing>
          <wp:inline xmlns:a="http://schemas.openxmlformats.org/drawingml/2006/main" xmlns:pic="http://schemas.openxmlformats.org/drawingml/2006/picture">
            <wp:extent cx="5029200" cy="3710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side_nol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Side view — 5-layer Pd(100) substrate + 1 ML oxide. Vacuum 15 Å. Bottom 50% (substrate) fixed.</w:t>
      </w:r>
    </w:p>
    <w:p>
      <w:pPr>
        <w:pStyle w:val="Heading2"/>
      </w:pPr>
      <w:r>
        <w:t>3. Comparison with Todorova 2003 / Kostelník 2007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Literature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This work (S2)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Match</w:t>
            </w:r>
          </w:p>
        </w:tc>
      </w:tr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PdO(101) film on Pd(100), √5R27°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✓ identical model</w:t>
            </w:r>
          </w:p>
        </w:tc>
      </w:tr>
      <w:tr>
        <w:tc>
          <w:tcPr>
            <w:tcW w:type="dxa" w:w="2160"/>
          </w:tcPr>
          <w:p>
            <w:r>
              <w:t>Per √5 cell composition</w:t>
            </w:r>
          </w:p>
        </w:tc>
        <w:tc>
          <w:tcPr>
            <w:tcW w:type="dxa" w:w="2160"/>
          </w:tcPr>
          <w:p>
            <w:r>
              <w:t>4 Pd_oxide + 4 O</w:t>
            </w:r>
          </w:p>
        </w:tc>
        <w:tc>
          <w:tcPr>
            <w:tcW w:type="dxa" w:w="2160"/>
          </w:tcPr>
          <w:p>
            <w:r>
              <w:t>4 Pd_oxide + 4 O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Pd coordination distribution</w:t>
            </w:r>
          </w:p>
        </w:tc>
        <w:tc>
          <w:tcPr>
            <w:tcW w:type="dxa" w:w="2160"/>
          </w:tcPr>
          <w:p>
            <w:r>
              <w:t>2× 4-fold (Pd_Br/H) + 2× 2-fold (Pd_Br, Pd_H)</w:t>
            </w:r>
          </w:p>
        </w:tc>
        <w:tc>
          <w:tcPr>
            <w:tcW w:type="dxa" w:w="2160"/>
          </w:tcPr>
          <w:p>
            <w:r>
              <w:t>2× 4-fold + 2× 2-fold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Surface termination</w:t>
            </w:r>
          </w:p>
        </w:tc>
        <w:tc>
          <w:tcPr>
            <w:tcW w:type="dxa" w:w="2160"/>
          </w:tcPr>
          <w:p>
            <w:r>
              <w:t>O-terminated (top O at +0.54 Å above Pd)</w:t>
            </w:r>
          </w:p>
        </w:tc>
        <w:tc>
          <w:tcPr>
            <w:tcW w:type="dxa" w:w="2160"/>
          </w:tcPr>
          <w:p>
            <w:r>
              <w:t>O-terminated, buckled O–Pd–O preserved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R27° rotation (oxide vs substrate)</w:t>
            </w:r>
          </w:p>
        </w:tc>
        <w:tc>
          <w:tcPr>
            <w:tcW w:type="dxa" w:w="2160"/>
          </w:tcPr>
          <w:p>
            <w:r>
              <w:t>27°</w:t>
            </w:r>
          </w:p>
        </w:tc>
        <w:tc>
          <w:tcPr>
            <w:tcW w:type="dxa" w:w="2160"/>
          </w:tcPr>
          <w:p>
            <w:r>
              <w:t>26.6° measured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√5 cell side</w:t>
            </w:r>
          </w:p>
        </w:tc>
        <w:tc>
          <w:tcPr>
            <w:tcW w:type="dxa" w:w="2160"/>
          </w:tcPr>
          <w:p>
            <w:r>
              <w:t>6.236 Å (a_Pd ≈ 3.945, FP-LAPW)</w:t>
            </w:r>
          </w:p>
        </w:tc>
        <w:tc>
          <w:tcPr>
            <w:tcW w:type="dxa" w:w="2160"/>
          </w:tcPr>
          <w:p>
            <w:r>
              <w:t>6.151 Å (a_Pd = 3.8907, PBE)</w:t>
            </w:r>
          </w:p>
        </w:tc>
        <w:tc>
          <w:tcPr>
            <w:tcW w:type="dxa" w:w="2160"/>
          </w:tcPr>
          <w:p>
            <w:r>
              <w:t>≈ (1.4% from bulk a difference)</w:t>
            </w:r>
          </w:p>
        </w:tc>
      </w:tr>
      <w:tr>
        <w:tc>
          <w:tcPr>
            <w:tcW w:type="dxa" w:w="2160"/>
          </w:tcPr>
          <w:p>
            <w:r>
              <w:t>PdO(101) film strain</w:t>
            </w:r>
          </w:p>
        </w:tc>
        <w:tc>
          <w:tcPr>
            <w:tcW w:type="dxa" w:w="2160"/>
          </w:tcPr>
          <w:p>
            <w:r>
              <w:t>−1.4% (isotropic, from unstrained PdO(101))</w:t>
            </w:r>
          </w:p>
        </w:tc>
        <w:tc>
          <w:tcPr>
            <w:tcW w:type="dxa" w:w="2160"/>
          </w:tcPr>
          <w:p>
            <w:r>
              <w:t>+0.7% / −0.9% (anisotropic)</w:t>
            </w:r>
          </w:p>
        </w:tc>
        <w:tc>
          <w:tcPr>
            <w:tcW w:type="dxa" w:w="2160"/>
          </w:tcPr>
          <w:p>
            <w:r>
              <w:t>≈ (~1% scale)</w:t>
            </w:r>
          </w:p>
        </w:tc>
      </w:tr>
      <w:tr>
        <w:tc>
          <w:tcPr>
            <w:tcW w:type="dxa" w:w="2160"/>
          </w:tcPr>
          <w:p>
            <w:r>
              <w:t>Interface gap (oxide–Pd1)</w:t>
            </w:r>
          </w:p>
        </w:tc>
        <w:tc>
          <w:tcPr>
            <w:tcW w:type="dxa" w:w="2160"/>
          </w:tcPr>
          <w:p>
            <w:r>
              <w:t>2.35 Å</w:t>
            </w:r>
          </w:p>
        </w:tc>
        <w:tc>
          <w:tcPr>
            <w:tcW w:type="dxa" w:w="2160"/>
          </w:tcPr>
          <w:p>
            <w:r>
              <w:t>2.40 Å (initial; DFT will refine)</w:t>
            </w:r>
          </w:p>
        </w:tc>
        <w:tc>
          <w:tcPr>
            <w:tcW w:type="dxa" w:w="2160"/>
          </w:tcPr>
          <w:p>
            <w:r>
              <w:t>≈</w:t>
            </w:r>
          </w:p>
        </w:tc>
      </w:tr>
      <w:tr>
        <w:tc>
          <w:tcPr>
            <w:tcW w:type="dxa" w:w="2160"/>
          </w:tcPr>
          <w:p>
            <w:r>
              <w:t>Top-substrate compression Pd1–Pd2</w:t>
            </w:r>
          </w:p>
        </w:tc>
        <w:tc>
          <w:tcPr>
            <w:tcW w:type="dxa" w:w="2160"/>
          </w:tcPr>
          <w:p>
            <w:r>
              <w:t>1.95 Å (−1.0% from bulk)</w:t>
            </w:r>
          </w:p>
        </w:tc>
        <w:tc>
          <w:tcPr>
            <w:tcW w:type="dxa" w:w="2160"/>
          </w:tcPr>
          <w:p>
            <w:r>
              <w:t>1.945 Å (unrelaxed; DFT will compress)</w:t>
            </w:r>
          </w:p>
        </w:tc>
        <w:tc>
          <w:tcPr>
            <w:tcW w:type="dxa" w:w="2160"/>
          </w:tcPr>
          <w:p>
            <w:r>
              <w:t>≈ (post-relax)</w:t>
            </w:r>
          </w:p>
        </w:tc>
      </w:tr>
      <w:tr>
        <w:tc>
          <w:tcPr>
            <w:tcW w:type="dxa" w:w="2160"/>
          </w:tcPr>
          <w:p>
            <w:r>
              <w:t>Pd–O bond length</w:t>
            </w:r>
          </w:p>
        </w:tc>
        <w:tc>
          <w:tcPr>
            <w:tcW w:type="dxa" w:w="2160"/>
          </w:tcPr>
          <w:p>
            <w:r>
              <w:t>~2.02 Å (bulk PdO)</w:t>
            </w:r>
          </w:p>
        </w:tc>
        <w:tc>
          <w:tcPr>
            <w:tcW w:type="dxa" w:w="2160"/>
          </w:tcPr>
          <w:p>
            <w:r>
              <w:t>2.02–2.47 Å (mean 2.09)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>
      <w:r>
        <w:rPr>
          <w:b/>
        </w:rPr>
        <w:t xml:space="preserve">Result: </w:t>
      </w:r>
      <w:r>
        <w:t>All structural identifiers match the literature model — same √5R27° supercell, same 4+4 stoichiometry, same 2-fold + 4-fold Pd partition per √5, same O-terminated buckled sheet, same R27° rotation. Quantitative differences (cell size, strain sign distribution) trace to the bulk Pd / PdO lattice constants — the paper uses FP-LAPW GGA, this work uses VASP PBE. Both are at the ~1% scale and self-consistent with their respective bulk references.</w:t>
      </w:r>
    </w:p>
    <w:p>
      <w:pPr>
        <w:pStyle w:val="Heading2"/>
      </w:pPr>
      <w:r>
        <w:t>4. Cell parameters and atom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Cell vector a</w:t>
            </w:r>
          </w:p>
        </w:tc>
        <w:tc>
          <w:tcPr>
            <w:tcW w:type="dxa" w:w="4320"/>
          </w:tcPr>
          <w:p>
            <w:r>
              <w:t>[11.001, 5.509, 0.000]  (|a| = 12.303 Å)</w:t>
            </w:r>
          </w:p>
        </w:tc>
      </w:tr>
      <w:tr>
        <w:tc>
          <w:tcPr>
            <w:tcW w:type="dxa" w:w="4320"/>
          </w:tcPr>
          <w:p>
            <w:r>
              <w:t>Cell vector b</w:t>
            </w:r>
          </w:p>
        </w:tc>
        <w:tc>
          <w:tcPr>
            <w:tcW w:type="dxa" w:w="4320"/>
          </w:tcPr>
          <w:p>
            <w:r>
              <w:t>[-5.509, 11.001, 0.000]  (|b| = 12.303 Å)</w:t>
            </w:r>
          </w:p>
        </w:tc>
      </w:tr>
      <w:tr>
        <w:tc>
          <w:tcPr>
            <w:tcW w:type="dxa" w:w="4320"/>
          </w:tcPr>
          <w:p>
            <w:r>
              <w:t>Cell vector c</w:t>
            </w:r>
          </w:p>
        </w:tc>
        <w:tc>
          <w:tcPr>
            <w:tcW w:type="dxa" w:w="4320"/>
          </w:tcPr>
          <w:p>
            <w:r>
              <w:t>[0.000, 0.000, 25.665]  (|c| = 25.665 Å)</w:t>
            </w:r>
          </w:p>
        </w:tc>
      </w:tr>
      <w:tr>
        <w:tc>
          <w:tcPr>
            <w:tcW w:type="dxa" w:w="4320"/>
          </w:tcPr>
          <w:p>
            <w:r>
              <w:t>In-plane shape</w:t>
            </w:r>
          </w:p>
        </w:tc>
        <w:tc>
          <w:tcPr>
            <w:tcW w:type="dxa" w:w="4320"/>
          </w:tcPr>
          <w:p>
            <w:r>
              <w:t>(√5×√5)R27° × (2×2) of Pd(100) — note: lab frame rotated 27° to align substrate Pd-Pd with lab x,y</w:t>
            </w:r>
          </w:p>
        </w:tc>
      </w:tr>
      <w:tr>
        <w:tc>
          <w:tcPr>
            <w:tcW w:type="dxa" w:w="4320"/>
          </w:tcPr>
          <w:p>
            <w:r>
              <w:t>Vacuum</w:t>
            </w:r>
          </w:p>
        </w:tc>
        <w:tc>
          <w:tcPr>
            <w:tcW w:type="dxa" w:w="4320"/>
          </w:tcPr>
          <w:p>
            <w:r>
              <w:t>15 Å (asymmetric, oxide on top face only; IDIPOL = 3 in INCAR)</w:t>
            </w:r>
          </w:p>
        </w:tc>
      </w:tr>
      <w:tr>
        <w:tc>
          <w:tcPr>
            <w:tcW w:type="dxa" w:w="4320"/>
          </w:tcPr>
          <w:p>
            <w:r>
              <w:t>Total atoms</w:t>
            </w:r>
          </w:p>
        </w:tc>
        <w:tc>
          <w:tcPr>
            <w:tcW w:type="dxa" w:w="4320"/>
          </w:tcPr>
          <w:p>
            <w:r>
              <w:t>112  (96 Pd + 16 O)</w:t>
            </w:r>
          </w:p>
        </w:tc>
      </w:tr>
      <w:tr>
        <w:tc>
          <w:tcPr>
            <w:tcW w:type="dxa" w:w="4320"/>
          </w:tcPr>
          <w:p>
            <w:r>
              <w:t>Substrate</w:t>
            </w:r>
          </w:p>
        </w:tc>
        <w:tc>
          <w:tcPr>
            <w:tcW w:type="dxa" w:w="4320"/>
          </w:tcPr>
          <w:p>
            <w:r>
              <w:t>80 Pd  (5 layers × 16 Pd per layer in 2×2 √5 cell)</w:t>
            </w:r>
          </w:p>
        </w:tc>
      </w:tr>
      <w:tr>
        <w:tc>
          <w:tcPr>
            <w:tcW w:type="dxa" w:w="4320"/>
          </w:tcPr>
          <w:p>
            <w:r>
              <w:t>Oxide overlayer</w:t>
            </w:r>
          </w:p>
        </w:tc>
        <w:tc>
          <w:tcPr>
            <w:tcW w:type="dxa" w:w="4320"/>
          </w:tcPr>
          <w:p>
            <w:r>
              <w:t>16 Pd + 16 O  (1 ML PdO(101), single O–Pd–O sheet)</w:t>
            </w:r>
          </w:p>
        </w:tc>
      </w:tr>
      <w:tr>
        <w:tc>
          <w:tcPr>
            <w:tcW w:type="dxa" w:w="4320"/>
          </w:tcPr>
          <w:p>
            <w:r>
              <w:t>Fixed atoms</w:t>
            </w:r>
          </w:p>
        </w:tc>
        <w:tc>
          <w:tcPr>
            <w:tcW w:type="dxa" w:w="4320"/>
          </w:tcPr>
          <w:p>
            <w:r>
              <w:t>60 / 112  (~50%, bottom Pd substrate layers, FixAtoms)</w:t>
            </w:r>
          </w:p>
        </w:tc>
      </w:tr>
      <w:tr>
        <w:tc>
          <w:tcPr>
            <w:tcW w:type="dxa" w:w="4320"/>
          </w:tcPr>
          <w:p>
            <w:r>
              <w:t>Species order in POSCAR</w:t>
            </w:r>
          </w:p>
        </w:tc>
        <w:tc>
          <w:tcPr>
            <w:tcW w:type="dxa" w:w="4320"/>
          </w:tcPr>
          <w:p>
            <w:r>
              <w:t>O (16) then Pd (96) — matches POTCAR (PAW_PBE O + PAW_PBE Pd_pv)</w:t>
            </w:r>
          </w:p>
        </w:tc>
      </w:tr>
    </w:tbl>
    <w:p>
      <w:pPr>
        <w:pStyle w:val="Heading2"/>
      </w:pPr>
      <w:r>
        <w:t>5. Pre-relaxation notes / what DFT will refine</w:t>
      </w:r>
    </w:p>
    <w:p>
      <w:pPr>
        <w:pStyle w:val="ListBullet"/>
      </w:pPr>
      <w:r>
        <w:t>Initial atomic positions are reasonable but unrelaxed. DFT relaxation will refine: (a) interface gap from 2.40 → ~2.35 Å, (b) substrate top-layer compression Pd1–Pd2 to ~1.95 Å, (c) oxide rumpling pattern (Pd_Br +0.17 Å, Pd_H +0.07 Å, Pd_Br/H +0.03 Å — per literature Fig. 5), (d) top O protrusion to +0.54 Å above Pd, (e) Pd–O bond lengths to ~2.02 Å bulk-PdO value.</w:t>
      </w:r>
    </w:p>
    <w:p>
      <w:pPr>
        <w:pStyle w:val="ListBullet"/>
      </w:pPr>
      <w:r>
        <w:t>The R27° relative angle and 4+4 per √5 stoichiometry are geometric properties of the supercell — DFT relaxation will not change them.</w:t>
      </w:r>
    </w:p>
    <w:p>
      <w:pPr>
        <w:pStyle w:val="ListBullet"/>
      </w:pPr>
      <w:r>
        <w:t>Job 324 (S2_gpu) submitted with this structure (KSPACING = 0.25, IDIPOL = 3, ISPIN = 2, IVDW = 12). Energy and final relaxed coordinates will be the conclusive test against the literature minimum.</w:t>
      </w:r>
    </w:p>
    <w:p>
      <w:pPr>
        <w:pStyle w:val="Heading2"/>
      </w:pPr>
      <w:r>
        <w:t>6. Files and provenance</w:t>
      </w:r>
    </w:p>
    <w:p>
      <w:r>
        <w:rPr>
          <w:b/>
        </w:rPr>
        <w:t xml:space="preserve">POSCAR deployed: </w:t>
      </w:r>
      <w:r>
        <w:t>calculations/G2_slab/S2_PdO101_Pd100/POSCAR</w:t>
        <w:br/>
      </w:r>
      <w:r>
        <w:rPr>
          <w:b/>
        </w:rPr>
        <w:t xml:space="preserve">Backup of replaced original (corrugated monolayer, structurally flawed): </w:t>
      </w:r>
      <w:r>
        <w:t>calculations/G2_slab/S2_PdO101_Pd100/POSCAR_corrugated_bak</w:t>
        <w:br/>
      </w:r>
      <w:r>
        <w:rPr>
          <w:b/>
        </w:rPr>
        <w:t xml:space="preserve">Literature-framed POSCAR (this report's geometry): </w:t>
      </w:r>
      <w:r>
        <w:t>/tmp/S2_litframe.vasp</w:t>
        <w:br/>
      </w:r>
      <w:r>
        <w:rPr>
          <w:b/>
        </w:rPr>
        <w:t xml:space="preserve">Build script: </w:t>
      </w:r>
      <w:r>
        <w:t>/tmp/build_s2_v7.py + /tmp/rotate_s2.py (rigid +26.6° rotation for literature lab frame)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