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G1 — Bulk Optimization Report</w:t>
      </w:r>
    </w:p>
    <w:p>
      <w:pPr>
        <w:jc w:val="center"/>
      </w:pPr>
      <w:r>
        <w:rPr>
          <w:color w:val="646464"/>
        </w:rPr>
        <w:t>Pd/PdO/PdO₂ DMC DFT Study  |  2026-06-04</w:t>
      </w:r>
    </w:p>
    <w:p>
      <w:pPr>
        <w:pStyle w:val="Heading1"/>
      </w:pPr>
      <w:r>
        <w:t>1. Objective</w:t>
      </w:r>
    </w:p>
    <w:p>
      <w:r>
        <w:t>Pd, PdO, PdO₂ bulk 구조를 PBE+D3/520 eV 수준에서 최적화하고, ENCUT·k-mesh 수렴 검증 + 실험/문헌 격자상수 비교를 통해 slab 제작의 기준 구조를 확보한다.</w:t>
      </w:r>
    </w:p>
    <w:p>
      <w:pPr>
        <w:pStyle w:val="Heading1"/>
      </w:pPr>
      <w:r>
        <w:t>2. Results</w:t>
      </w:r>
    </w:p>
    <w:p>
      <w:pPr>
        <w:pStyle w:val="Heading2"/>
      </w:pPr>
      <w:r>
        <w:t>2.1 Initial Structures</w:t>
      </w:r>
    </w:p>
    <w:p>
      <w:r>
        <w:t>Materials Project (MP) API로 초기 구조를 확보하고, conventional standard cell로 변환 후 사용.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MP-ID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Space Group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ICSD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mp-2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Fm-3m (fcc)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MP (exp. XRD)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PdO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mp-1336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P4₂/mmc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MP (exp. XRD)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PdO₂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mp-1018886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P4₂/mnm (rutile)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647283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MP ← ICSD [3]</w:t>
            </w:r>
          </w:p>
        </w:tc>
      </w:tr>
    </w:tbl>
    <w:p>
      <w:pPr>
        <w:pStyle w:val="Heading2"/>
      </w:pPr>
      <w:r>
        <w:t>2.2 Key INCAR Parameters</w:t>
      </w:r>
    </w:p>
    <w:p>
      <w:r>
        <w:t>금속(Pd)과 산화물(PdO, PdO₂)의 주요 INCAR 차이: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Tag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Pd (금속)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PdO · PdO₂ (산화물)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ISMEAR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금속 Methfessel-Paxton / 산화물 Gaussian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SIGMA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산화물 band gap → 좁은 smearing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IVDW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D3-BJ (공통)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ISIF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full cell + ionic relax (bulk)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ENCUT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520 eV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520 eV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수렴 테스트 확정 (공통)</w:t>
            </w:r>
          </w:p>
        </w:tc>
      </w:tr>
    </w:tbl>
    <w:p/>
    <w:p>
      <w:pPr>
        <w:pStyle w:val="Heading2"/>
      </w:pPr>
      <w:r>
        <w:t>2.3 Convergence 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ENCUT (eV)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Pd (meV/atom)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PdO (meV/atom)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PdO₂ (meV/atom)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+1.97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−5.32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−8.25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−0.42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+1.25</w:t>
            </w:r>
          </w:p>
        </w:tc>
      </w:tr>
      <w:tr>
        <w:tc>
          <w:tcPr>
            <w:tcW w:type="dxa" w:w="2160"/>
            <w:shd w:fill="DAEEF3" w:val="clear"/>
          </w:tcPr>
          <w:p>
            <w:pPr>
              <w:jc w:val="center"/>
            </w:pPr>
            <w:r>
              <w:rPr>
                <w:sz w:val="18"/>
              </w:rPr>
              <w:t>520</w:t>
            </w:r>
          </w:p>
        </w:tc>
        <w:tc>
          <w:tcPr>
            <w:tcW w:type="dxa" w:w="2160"/>
            <w:shd w:fill="DAEEF3" w:val="clear"/>
          </w:tcPr>
          <w:p>
            <w:pPr>
              <w:jc w:val="center"/>
            </w:pPr>
            <w:r>
              <w:rPr>
                <w:sz w:val="18"/>
              </w:rPr>
              <w:t>+0.17</w:t>
            </w:r>
          </w:p>
        </w:tc>
        <w:tc>
          <w:tcPr>
            <w:tcW w:type="dxa" w:w="2160"/>
            <w:shd w:fill="DAEEF3" w:val="clear"/>
          </w:tcPr>
          <w:p>
            <w:pPr>
              <w:jc w:val="center"/>
            </w:pPr>
            <w:r>
              <w:rPr>
                <w:sz w:val="18"/>
              </w:rPr>
              <w:t>+0.72</w:t>
            </w:r>
          </w:p>
        </w:tc>
        <w:tc>
          <w:tcPr>
            <w:tcW w:type="dxa" w:w="2160"/>
            <w:shd w:fill="DAEEF3" w:val="clear"/>
          </w:tcPr>
          <w:p>
            <w:pPr>
              <w:jc w:val="center"/>
            </w:pPr>
            <w:r>
              <w:rPr>
                <w:sz w:val="18"/>
              </w:rPr>
              <w:t>+1.16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ref</w:t>
            </w:r>
          </w:p>
        </w:tc>
      </w:tr>
    </w:tbl>
    <w:p/>
    <w:p>
      <w:r>
        <w:t>Adopted k-mesh:  Pd 12×12×12  ·  PdO 8×8×6  ·  PdO₂ 6×6×8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ENCUT (top) and k-mesh (bottom) convergence. Dashed line = ±1 meV/atom.</w:t>
      </w:r>
    </w:p>
    <w:p>
      <w:pPr>
        <w:pStyle w:val="Heading2"/>
      </w:pPr>
      <w:r>
        <w:t>2.4 Optimized Lattice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MP-ID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a_DFT (Å)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c_DFT (Å)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a_ref (Å)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c_ref (Å)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err_a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err_c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mp-2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3.8907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3.890 [1]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+0.02%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PdO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mp-1336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3.0536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5.4058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3.043 [2]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5.328 [2]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+0.35%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+1.46%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PdO₂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mp-1018886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4.5424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3.1772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4.486 [3]*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3.103 [3]*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+1.26%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+2.39%</w:t>
            </w:r>
          </w:p>
        </w:tc>
      </w:tr>
    </w:tbl>
    <w:p/>
    <w:p>
      <w:r>
        <w:rPr>
          <w:i/>
          <w:sz w:val="18"/>
        </w:rPr>
        <w:t>* PdO₂: Shaplygin et al. (1978)이 고압 합성하여 ICSD 647283으로 등록했으나, 원문(러시아어)의 실험 격자상수가 영문 문헌에서 직접 인용되지 않음. MP mp-1018886 (GGA-PBE, ICSD 647283 기반)을 computational reference로 사용. Matar et al. (2011)도 GGA+U로 연구하여 실험과 유사한 격자상수를 보고.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latti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DFT vs reference lattice parameters.</w:t>
      </w:r>
    </w:p>
    <w:p>
      <w:pPr>
        <w:pStyle w:val="Heading1"/>
      </w:pPr>
      <w:r>
        <w:t>3. Conclusion</w:t>
      </w:r>
    </w:p>
    <w:p>
      <w:r>
        <w:rPr>
          <w:b/>
        </w:rPr>
        <w:t>G1 PASS.</w:t>
      </w:r>
      <w:r>
        <w:t xml:space="preserve"> 3종 bulk 모두 수렴 확인, 격자 오차 ≤ 2.4%. Slab 제작 (G2) 진행 가능.</w:t>
      </w:r>
    </w:p>
    <w:p>
      <w:pPr>
        <w:pStyle w:val="Heading2"/>
      </w:pPr>
      <w:r>
        <w:t>References</w:t>
      </w:r>
    </w:p>
    <w:p>
      <w:r>
        <w:rPr>
          <w:sz w:val="18"/>
        </w:rPr>
        <w:t>[1] Kittel, C. Introduction to Solid State Physics, 8th ed. (Wiley). Pd fcc a = 3.89 Å.</w:t>
      </w:r>
    </w:p>
    <w:p>
      <w:r>
        <w:rPr>
          <w:sz w:val="18"/>
        </w:rPr>
        <w:t>[2] Waser, J., Levy, H. A., Peterson, S. W. “The structure of PdO.” Acta Cryst. 1953, 6, 661–663. DOI: 10.1107/S0365110X53001800</w:t>
      </w:r>
    </w:p>
    <w:p>
      <w:r>
        <w:rPr>
          <w:sz w:val="18"/>
        </w:rPr>
        <w:t>[3] Shaplygin, I. S., Aparnikov, G. L., Lazarev, V. B. “Formation of Palladium Dioxide at High Pressures.” Zh. Neorg. Khim. 1978, 23(4), 884–886. ICSD 647283. MP mp-1018886 (GGA-PBE relaxation of ICSD structure).</w:t>
      </w:r>
    </w:p>
    <w:p>
      <w:r>
        <w:rPr>
          <w:sz w:val="18"/>
        </w:rPr>
        <w:t>[4] Matar, S. F., Demazeau, G., Möller, M. H., Pöttgen, R. “Electronic structure and equation of state of PdO₂ from ab initio.” Chem. Phys. Lett. 2011, 508, 215–218. DOI: 10.1016/j.cplett.2011.04.054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