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G2 Clean Slab Structures</w:t>
      </w:r>
    </w:p>
    <w:p>
      <w:pPr>
        <w:jc w:val="center"/>
      </w:pPr>
      <w:r>
        <w:rPr>
          <w:color w:val="646464"/>
          <w:sz w:val="20"/>
        </w:rPr>
        <w:t>Pd/PdO/PdO2 DMC Formation  |  Side View  |  ase3 texture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6943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si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694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S1: 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Metallic Pd, p(4x4), 4 layers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8928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si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2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S2: PdO(101)/Pd(100)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Surface oxide on Pd(100)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sid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S3: PdO(100)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Bulk PdO, O-rich termination, 4x2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3295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sid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3295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S4: PdO2(110)</w:t>
            </w:r>
          </w:p>
          <w:p>
            <w:pPr>
              <w:jc w:val="center"/>
            </w:pPr>
            <w:r>
              <w:rPr>
                <w:color w:val="787878"/>
                <w:sz w:val="16"/>
              </w:rPr>
              <w:t>Rutile PdO2, stoichiometric</w:t>
            </w:r>
          </w:p>
        </w:tc>
      </w:tr>
    </w:tbl>
    <w:p/>
    <w:p>
      <w:pPr>
        <w:pStyle w:val="Heading2"/>
      </w:pPr>
      <w:r>
        <w:t>Slab Properties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Oxidation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Atoms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Pd / 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Cell a x 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S1: Pd(100)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 / 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11.0 x 11.0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S2: PdO(101)/Pd(100)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Pd0/Pd2+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96 / 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12.3 x 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S3: PdO(100)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Pd2+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 / 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12.2 x 10.8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S4: PdO2(110)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Pd4+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 / 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9.5 x 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</w:tr>
    </w:tbl>
    <w:p/>
    <w:p>
      <w:pPr>
        <w:jc w:val="right"/>
      </w:pPr>
      <w:r>
        <w:rPr>
          <w:color w:val="969696"/>
          <w:sz w:val="16"/>
        </w:rPr>
        <w:t>2026-06-05 | Side view (-90x,0y,0z) | POV-Ray ase3 | Pd=teal, O=coral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