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G2 Clean Slab Report — S1 / S2 / S3 / S4</w:t>
      </w:r>
    </w:p>
    <w:p>
      <w:pPr>
        <w:jc w:val="center"/>
      </w:pPr>
      <w:r>
        <w:t>Pd / PdO / PdO₂ DMC formation DFT study   |   2026-06-09</w:t>
      </w:r>
    </w:p>
    <w:p/>
    <w:p>
      <w:pPr>
        <w:pStyle w:val="Heading2"/>
      </w:pPr>
      <w:r>
        <w:t>Overview — oxidation hierarchy</w:t>
      </w:r>
    </w:p>
    <w:p>
      <w:r>
        <w:t>Four clean-slab models span the oxidation axis used in the DMC mechanism study: S1 (metallic Pd⁰), S2 (Pd–PdO interface, surface oxide), S3 (bulk Pd²⁺ oxide), S4 (Pd⁴⁺ rutile reference). S2 and S4 were rebuilt in this revision: S2 is now the literature (√5×√5)R27° PdO(101)/Pd(100) model (Todorova 2003 / Kostelník 2007), and S4 is the clean orthogonal PdO₂(110) termination (Pd_5c cus + Pd_6c) instead of the previous tilted/wrong-termination build.</w:t>
      </w:r>
    </w:p>
    <w:p>
      <w:pPr>
        <w:pStyle w:val="Heading2"/>
      </w:pPr>
      <w:r>
        <w:t>Summary table (cell / atoms / fixed / coordination)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Slab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Atoms (Pd / O)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Cell a×b×c (Å)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Layers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Slab / Vacuum (Å)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Fixed / Free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Top Pd–O coord</w:t>
            </w:r>
          </w:p>
        </w:tc>
      </w:tr>
      <w:tr>
        <w:tc>
          <w:tcPr>
            <w:tcW w:type="dxa" w:w="1080"/>
          </w:tcPr>
          <w:p>
            <w:r>
              <w:t>S1</w:t>
            </w:r>
          </w:p>
        </w:tc>
        <w:tc>
          <w:tcPr>
            <w:tcW w:type="dxa" w:w="1080"/>
          </w:tcPr>
          <w:p>
            <w:r>
              <w:t>Pd(100)</w:t>
            </w:r>
          </w:p>
        </w:tc>
        <w:tc>
          <w:tcPr>
            <w:tcW w:type="dxa" w:w="1080"/>
          </w:tcPr>
          <w:p>
            <w:r>
              <w:t>80 (80 / 0)</w:t>
            </w:r>
          </w:p>
        </w:tc>
        <w:tc>
          <w:tcPr>
            <w:tcW w:type="dxa" w:w="1080"/>
          </w:tcPr>
          <w:p>
            <w:r>
              <w:t>11.005 × 11.005 × 27.781 (α,β,γ = 90.0,90.0,90.0)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7.78 / 20.00</w:t>
            </w:r>
          </w:p>
        </w:tc>
        <w:tc>
          <w:tcPr>
            <w:tcW w:type="dxa" w:w="1080"/>
          </w:tcPr>
          <w:p>
            <w:r>
              <w:t>32 / 48</w:t>
            </w:r>
          </w:p>
        </w:tc>
        <w:tc>
          <w:tcPr>
            <w:tcW w:type="dxa" w:w="1080"/>
          </w:tcPr>
          <w:p>
            <w:r>
              <w:t>{0: 32}</w:t>
            </w:r>
          </w:p>
        </w:tc>
      </w:tr>
      <w:tr>
        <w:tc>
          <w:tcPr>
            <w:tcW w:type="dxa" w:w="1080"/>
          </w:tcPr>
          <w:p>
            <w:r>
              <w:t>S2</w:t>
            </w:r>
          </w:p>
        </w:tc>
        <w:tc>
          <w:tcPr>
            <w:tcW w:type="dxa" w:w="1080"/>
          </w:tcPr>
          <w:p>
            <w:r>
              <w:t>1 ML PdO(101)/Pd(100)</w:t>
            </w:r>
          </w:p>
        </w:tc>
        <w:tc>
          <w:tcPr>
            <w:tcW w:type="dxa" w:w="1080"/>
          </w:tcPr>
          <w:p>
            <w:r>
              <w:t>112 (96 / 16)</w:t>
            </w:r>
          </w:p>
        </w:tc>
        <w:tc>
          <w:tcPr>
            <w:tcW w:type="dxa" w:w="1080"/>
          </w:tcPr>
          <w:p>
            <w:r>
              <w:t>12.303 × 12.303 × 25.665 (α,β,γ = 90.0,90.0,90.0)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9.17 / 16.50</w:t>
            </w:r>
          </w:p>
        </w:tc>
        <w:tc>
          <w:tcPr>
            <w:tcW w:type="dxa" w:w="1080"/>
          </w:tcPr>
          <w:p>
            <w:r>
              <w:t>60 / 52</w:t>
            </w:r>
          </w:p>
        </w:tc>
        <w:tc>
          <w:tcPr>
            <w:tcW w:type="dxa" w:w="1080"/>
          </w:tcPr>
          <w:p>
            <w:r>
              <w:t>{2: 8, 4: 8}</w:t>
            </w:r>
          </w:p>
        </w:tc>
      </w:tr>
      <w:tr>
        <w:tc>
          <w:tcPr>
            <w:tcW w:type="dxa" w:w="1080"/>
          </w:tcPr>
          <w:p>
            <w:r>
              <w:t>S3</w:t>
            </w:r>
          </w:p>
        </w:tc>
        <w:tc>
          <w:tcPr>
            <w:tcW w:type="dxa" w:w="1080"/>
          </w:tcPr>
          <w:p>
            <w:r>
              <w:t>PdO(100)</w:t>
            </w:r>
          </w:p>
        </w:tc>
        <w:tc>
          <w:tcPr>
            <w:tcW w:type="dxa" w:w="1080"/>
          </w:tcPr>
          <w:p>
            <w:r>
              <w:t>128 (64 / 64)</w:t>
            </w:r>
          </w:p>
        </w:tc>
        <w:tc>
          <w:tcPr>
            <w:tcW w:type="dxa" w:w="1080"/>
          </w:tcPr>
          <w:p>
            <w:r>
              <w:t>12.214 × 10.812 × 30.688 (α,β,γ = 90.0,90.0,90.0)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10.62 / 20.07</w:t>
            </w:r>
          </w:p>
        </w:tc>
        <w:tc>
          <w:tcPr>
            <w:tcW w:type="dxa" w:w="1080"/>
          </w:tcPr>
          <w:p>
            <w:r>
              <w:t>32 / 96</w:t>
            </w:r>
          </w:p>
        </w:tc>
        <w:tc>
          <w:tcPr>
            <w:tcW w:type="dxa" w:w="1080"/>
          </w:tcPr>
          <w:p>
            <w:r>
              <w:t>{4: 24}</w:t>
            </w:r>
          </w:p>
        </w:tc>
      </w:tr>
      <w:tr>
        <w:tc>
          <w:tcPr>
            <w:tcW w:type="dxa" w:w="1080"/>
          </w:tcPr>
          <w:p>
            <w:r>
              <w:t>S4</w:t>
            </w:r>
          </w:p>
        </w:tc>
        <w:tc>
          <w:tcPr>
            <w:tcW w:type="dxa" w:w="1080"/>
          </w:tcPr>
          <w:p>
            <w:r>
              <w:t>PdO₂(110)</w:t>
            </w:r>
          </w:p>
        </w:tc>
        <w:tc>
          <w:tcPr>
            <w:tcW w:type="dxa" w:w="1080"/>
          </w:tcPr>
          <w:p>
            <w:r>
              <w:t>144 (48 / 96)</w:t>
            </w:r>
          </w:p>
        </w:tc>
        <w:tc>
          <w:tcPr>
            <w:tcW w:type="dxa" w:w="1080"/>
          </w:tcPr>
          <w:p>
            <w:r>
              <w:t>9.532 × 12.848 × 28.603 (α,β,γ = 90.0,90.0,90.0)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12.10 / 16.50</w:t>
            </w:r>
          </w:p>
        </w:tc>
        <w:tc>
          <w:tcPr>
            <w:tcW w:type="dxa" w:w="1080"/>
          </w:tcPr>
          <w:p>
            <w:r>
              <w:t>72 / 72</w:t>
            </w:r>
          </w:p>
        </w:tc>
        <w:tc>
          <w:tcPr>
            <w:tcW w:type="dxa" w:w="1080"/>
          </w:tcPr>
          <w:p>
            <w:r>
              <w:t>{5: 6, 6: 6}</w:t>
            </w:r>
          </w:p>
        </w:tc>
      </w:tr>
    </w:tbl>
    <w:p>
      <w:pPr>
        <w:pStyle w:val="Heading2"/>
      </w:pPr>
      <w:r>
        <w:t>Build notes &amp; fixed-atom strategy</w:t>
      </w:r>
    </w:p>
    <w:p>
      <w:r>
        <w:rPr>
          <w:b/>
        </w:rPr>
        <w:t xml:space="preserve">S1 — Pd(100)  </w:t>
      </w:r>
      <w:r>
        <w:t>fcc Pd primitive a=3.8907 Å; p(4×4) surface, 4–5 layers; bottom 2 layers fixed. Status: CONVERGED (E_tot = −434.408 eV).</w:t>
      </w:r>
    </w:p>
    <w:p>
      <w:r>
        <w:rPr>
          <w:b/>
        </w:rPr>
        <w:t xml:space="preserve">S2 — 1 ML PdO(101)/Pd(100) (REBUILT)  </w:t>
      </w:r>
      <w:r>
        <w:t>(√5×√5)R27° supercell × (2×2), 5-layer Pd(100) substrate (80 Pd) + 1 single O–Pd–O sheet (16 Pd + 16 O) extracted from a validated standalone PdO(101) slab and strained ~1% to fit the √5 mesh. Lateral registration optimized by substrate shift; rigid +26.6° rotation in lab frame so substrate Pd-Pd nn directions align with lab x,y (literature framing). Bottom ~50% (60 / 112 atoms, bottom 2-3 substrate layers) fixed. R27° measured 26.6°. Per √5: 4 Pd_oxide + 4 O, 2-fold + 4-fold Pd mix, O-terminated — all literature identifiers. Previous wrong S2 (corrugated monolayer, 1-fold dangling O) → POSCAR_corrugated_bak. Status: job 324 queued.</w:t>
      </w:r>
    </w:p>
    <w:p>
      <w:r>
        <w:rPr>
          <w:b/>
        </w:rPr>
        <w:t xml:space="preserve">S3 — PdO(100)  </w:t>
      </w:r>
      <w:r>
        <w:t>PdO tetragonal a=3.0536, c=5.4058 Å; (100) surface, 5 layers; bottom half fixed. Status: CONVERGED (E_tot = −724.152 eV).</w:t>
      </w:r>
    </w:p>
    <w:p>
      <w:r>
        <w:rPr>
          <w:b/>
        </w:rPr>
        <w:t xml:space="preserve">S4 — PdO₂(110) (REBUILT)  </w:t>
      </w:r>
      <w:r>
        <w:t>Rutile PdO₂ a=4.5424, c=3.1772 Å; (110) surface via pymatgen SlabGenerator termination 1 (symmetric Pd_5c + Pd_6c + bridging O), then 3×2 supercell. Rigid rotation orthogonalizes the originally tilted primitive cell (preserves all interatomic distances; eliminates the staircase visual artifact). 144 atoms (48 Pd + 96 O). Bottom 50% (72 atoms) fixed. Top surface: 6× Pd_5c (cus, 5-fold) + 6× Pd_6c (full-coord), bridging O preserved. Previous tilted version → POSCAR_tilted_bak. Status: job 322 running.</w:t>
      </w:r>
    </w:p>
    <w:p>
      <w:pPr>
        <w:pStyle w:val="Heading2"/>
      </w:pPr>
      <w:r>
        <w:t>Structures (lattice lines hidden)</w:t>
      </w:r>
    </w:p>
    <w:p>
      <w:r>
        <w:rPr>
          <w:b/>
          <w:sz w:val="26"/>
        </w:rPr>
        <w:t>S1  —  Pd(100)</w:t>
      </w:r>
    </w:p>
    <w:p>
      <w:r>
        <w:rPr>
          <w:i/>
        </w:rPr>
        <w:t>Pd⁰ metallic baseline (nanocube facet)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176448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1_persp_nola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7644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Perspective</w:t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192024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1_top_nola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Top</w:t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165994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1_side_nola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6599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Side</w:t>
            </w:r>
          </w:p>
        </w:tc>
      </w:tr>
    </w:tbl>
    <w:p/>
    <w:p>
      <w:r>
        <w:rPr>
          <w:b/>
          <w:sz w:val="26"/>
        </w:rPr>
        <w:t>S2  —  1 ML PdO(101)/Pd(100)</w:t>
      </w:r>
    </w:p>
    <w:p>
      <w:r>
        <w:rPr>
          <w:i/>
        </w:rPr>
        <w:t>Pd²⁺ surface oxide / Pd–PdO interface — (√5×√5)R27°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158953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2_persp_nola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5895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Perspective</w:t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2022653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2_top_nola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20226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Top</w:t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141671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2_side_nola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4167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Side</w:t>
            </w:r>
          </w:p>
        </w:tc>
      </w:tr>
    </w:tbl>
    <w:p/>
    <w:p>
      <w:r>
        <w:rPr>
          <w:b/>
          <w:sz w:val="26"/>
        </w:rPr>
        <w:t>S3  —  PdO(100)</w:t>
      </w:r>
    </w:p>
    <w:p>
      <w:r>
        <w:rPr>
          <w:i/>
        </w:rPr>
        <w:t>Bulk PdO Pd²⁺ termination (O-rich limit)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1743151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3_persp_nolat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743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Perspective</w:t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175381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3_top_nolat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7538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Top</w:t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173035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3_side_nola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730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Side</w:t>
            </w:r>
          </w:p>
        </w:tc>
      </w:tr>
    </w:tbl>
    <w:p/>
    <w:p>
      <w:r>
        <w:rPr>
          <w:b/>
          <w:sz w:val="26"/>
        </w:rPr>
        <w:t>S4  —  PdO₂(110)</w:t>
      </w:r>
    </w:p>
    <w:p>
      <w:r>
        <w:rPr>
          <w:i/>
        </w:rPr>
        <w:t>Pd⁴⁺ rutile high-valence reference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2406701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4_persp_nolat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24067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Perspective</w:t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2588057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4_top_nolat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25880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Top</w:t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2588057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4_side_nolat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25880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Side</w:t>
            </w:r>
          </w:p>
        </w:tc>
      </w:tr>
    </w:tbl>
    <w:p/>
    <w:p>
      <w:pPr>
        <w:pStyle w:val="Heading2"/>
      </w:pPr>
      <w:r>
        <w:t>DFT relaxation 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Slab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Job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S1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CONVERGED</w:t>
            </w:r>
          </w:p>
        </w:tc>
        <w:tc>
          <w:tcPr>
            <w:tcW w:type="dxa" w:w="2160"/>
          </w:tcPr>
          <w:p>
            <w:r>
              <w:t>E_tot = −434.408 eV</w:t>
            </w:r>
          </w:p>
        </w:tc>
      </w:tr>
      <w:tr>
        <w:tc>
          <w:tcPr>
            <w:tcW w:type="dxa" w:w="2160"/>
          </w:tcPr>
          <w:p>
            <w:r>
              <w:t>S2</w:t>
            </w:r>
          </w:p>
        </w:tc>
        <w:tc>
          <w:tcPr>
            <w:tcW w:type="dxa" w:w="2160"/>
          </w:tcPr>
          <w:p>
            <w:r>
              <w:t>324</w:t>
            </w:r>
          </w:p>
        </w:tc>
        <w:tc>
          <w:tcPr>
            <w:tcW w:type="dxa" w:w="2160"/>
          </w:tcPr>
          <w:p>
            <w:r>
              <w:t>queued</w:t>
            </w:r>
          </w:p>
        </w:tc>
        <w:tc>
          <w:tcPr>
            <w:tcW w:type="dxa" w:w="2160"/>
          </w:tcPr>
          <w:p>
            <w:r>
              <w:t>new √5R27° PdO(101)/Pd(100); awaiting GPU resource</w:t>
            </w:r>
          </w:p>
        </w:tc>
      </w:tr>
      <w:tr>
        <w:tc>
          <w:tcPr>
            <w:tcW w:type="dxa" w:w="2160"/>
          </w:tcPr>
          <w:p>
            <w:r>
              <w:t>S3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CONVERGED</w:t>
            </w:r>
          </w:p>
        </w:tc>
        <w:tc>
          <w:tcPr>
            <w:tcW w:type="dxa" w:w="2160"/>
          </w:tcPr>
          <w:p>
            <w:r>
              <w:t>E_tot = −724.152 eV</w:t>
            </w:r>
          </w:p>
        </w:tc>
      </w:tr>
      <w:tr>
        <w:tc>
          <w:tcPr>
            <w:tcW w:type="dxa" w:w="2160"/>
          </w:tcPr>
          <w:p>
            <w:r>
              <w:t>S4</w:t>
            </w:r>
          </w:p>
        </w:tc>
        <w:tc>
          <w:tcPr>
            <w:tcW w:type="dxa" w:w="2160"/>
          </w:tcPr>
          <w:p>
            <w:r>
              <w:t>322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  <w:tc>
          <w:tcPr>
            <w:tcW w:type="dxa" w:w="2160"/>
          </w:tcPr>
          <w:p>
            <w:r>
              <w:t>new orthogonal PdO₂(110); ~3 min into relaxation at report time</w:t>
            </w:r>
          </w:p>
        </w:tc>
      </w:tr>
    </w:tbl>
    <w:p>
      <w:pPr>
        <w:pStyle w:val="Heading2"/>
      </w:pPr>
      <w:r>
        <w:t>Common INCAR fingerprint (all 4 slabs)</w:t>
      </w:r>
    </w:p>
    <w:p>
      <w:r>
        <w:rPr>
          <w:sz w:val="20"/>
        </w:rPr>
        <w:t>ENCUT = 520 eV   |   PREC = Accurate   |   LASPH = T   |   ADDGRID = T</w:t>
        <w:br/>
        <w:t>EDIFF = 1e-6   |   EDIFFG = −0.03   |   NELM = 500   |   NSW = 300   |   IBRION = 2   |   ISIF = 2</w:t>
        <w:br/>
        <w:t>ISPIN = 2 (spin-polarized)   |   IVDW = 12 (D3 BJ)   |   ISMEAR = 0, SIGMA = 0.05</w:t>
        <w:br/>
        <w:t>LDIPOL = T, IDIPOL = 3 (asymmetric slab dipole correction)</w:t>
        <w:br/>
        <w:t>KSPACING = 0.25   |   ISYM = 0   |   POTCAR = PAW_PBE O + PAW_PBE Pd_pv</w:t>
      </w:r>
    </w:p>
    <w:p>
      <w:pPr>
        <w:pStyle w:val="Heading2"/>
      </w:pPr>
      <w:r>
        <w:t>Next step — G2 gate (T1.9 / checkpoint B)</w:t>
      </w:r>
    </w:p>
    <w:p>
      <w:r>
        <w:t>Once S2 (job 324) and S4 (job 322) converge, run G2 validation per workplan T1.9: (i) rumpling pattern (esp. S2 oxide Pd_Br/Pd_H rumpling 0.03–0.17 Å vs literature), (ii) average Pd–O bond lengths (target ~2.02 Å bulk PdO), (iii) top-layer Pd coordination (verify 2f + 4f preserved on S2), (iv) slab dipole (IDIPOL = 3 correction), (v) termination stability (compare to alternative S4 terminations). Do NOT begin adsorption sampling before G2 passes.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