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G2 + G3 Unified Report — 5 Surfaces</w:t>
      </w:r>
    </w:p>
    <w:p>
      <w:pPr>
        <w:jc w:val="center"/>
      </w:pPr>
      <w:r>
        <w:t>Pd / PdO / PdO₂ DMC formation DFT study  |  G2 converged + G3 heuristic sampling (NO MLIP/DFT)</w:t>
      </w:r>
    </w:p>
    <w:p>
      <w:pPr>
        <w:jc w:val="center"/>
      </w:pPr>
      <w:r>
        <w:t>Date: 2026-06-16  |  Phase 1 checkpoint — awaiting advisor approval before T1.14 onward</w:t>
      </w:r>
    </w:p>
    <w:p>
      <w:pPr>
        <w:pStyle w:val="Heading1"/>
      </w:pPr>
      <w:r>
        <w:t>Part 1 — G2 Clean Slabs (5 converged)</w:t>
      </w:r>
    </w:p>
    <w:p>
      <w:pPr>
        <w:pStyle w:val="Heading2"/>
      </w:pPr>
      <w:r>
        <w:t>1.1 Slab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 (eV)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Atoms (Pd/O)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Pd(100) p(4×4) 5 layers</w:t>
            </w:r>
          </w:p>
        </w:tc>
        <w:tc>
          <w:tcPr>
            <w:tcW w:type="dxa" w:w="1728"/>
          </w:tcPr>
          <w:p>
            <w:r>
              <w:t>Pd⁰ baseline</w:t>
            </w:r>
          </w:p>
        </w:tc>
        <w:tc>
          <w:tcPr>
            <w:tcW w:type="dxa" w:w="1728"/>
          </w:tcPr>
          <w:p>
            <w:r>
              <w:t>−434.408</w:t>
            </w:r>
          </w:p>
        </w:tc>
        <w:tc>
          <w:tcPr>
            <w:tcW w:type="dxa" w:w="1728"/>
          </w:tcPr>
          <w:p>
            <w:r>
              <w:t>80 (80/0)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1ML PdO(101)/Pd(100) √5R27°×2×2</w:t>
            </w:r>
          </w:p>
        </w:tc>
        <w:tc>
          <w:tcPr>
            <w:tcW w:type="dxa" w:w="1728"/>
          </w:tcPr>
          <w:p>
            <w:r>
              <w:t>Pd⁰/Pd²⁺ interface</w:t>
            </w:r>
          </w:p>
        </w:tc>
        <w:tc>
          <w:tcPr>
            <w:tcW w:type="dxa" w:w="1728"/>
          </w:tcPr>
          <w:p>
            <w:r>
              <w:t>−618.565</w:t>
            </w:r>
          </w:p>
        </w:tc>
        <w:tc>
          <w:tcPr>
            <w:tcW w:type="dxa" w:w="1728"/>
          </w:tcPr>
          <w:p>
            <w:r>
              <w:t>112 (96/16)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PdO(100) O-term 4×2</w:t>
            </w:r>
          </w:p>
        </w:tc>
        <w:tc>
          <w:tcPr>
            <w:tcW w:type="dxa" w:w="1728"/>
          </w:tcPr>
          <w:p>
            <w:r>
              <w:t>Pd²⁺ O-rich</w:t>
            </w:r>
          </w:p>
        </w:tc>
        <w:tc>
          <w:tcPr>
            <w:tcW w:type="dxa" w:w="1728"/>
          </w:tcPr>
          <w:p>
            <w:r>
              <w:t>−724.152</w:t>
            </w:r>
          </w:p>
        </w:tc>
        <w:tc>
          <w:tcPr>
            <w:tcW w:type="dxa" w:w="1728"/>
          </w:tcPr>
          <w:p>
            <w:r>
              <w:t>128 (64/64)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PdO(100) PdO-term sym 4×2</w:t>
            </w:r>
          </w:p>
        </w:tc>
        <w:tc>
          <w:tcPr>
            <w:tcW w:type="dxa" w:w="1728"/>
          </w:tcPr>
          <w:p>
            <w:r>
              <w:t>Pd²⁺ Pd-on-top</w:t>
            </w:r>
          </w:p>
        </w:tc>
        <w:tc>
          <w:tcPr>
            <w:tcW w:type="dxa" w:w="1728"/>
          </w:tcPr>
          <w:p>
            <w:r>
              <w:t>−570.770</w:t>
            </w:r>
          </w:p>
        </w:tc>
        <w:tc>
          <w:tcPr>
            <w:tcW w:type="dxa" w:w="1728"/>
          </w:tcPr>
          <w:p>
            <w:r>
              <w:t>104 (56/48)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PdO₂(110) ortho 3×2</w:t>
            </w:r>
          </w:p>
        </w:tc>
        <w:tc>
          <w:tcPr>
            <w:tcW w:type="dxa" w:w="1728"/>
          </w:tcPr>
          <w:p>
            <w:r>
              <w:t>Pd⁴⁺ rutile</w:t>
            </w:r>
          </w:p>
        </w:tc>
        <w:tc>
          <w:tcPr>
            <w:tcW w:type="dxa" w:w="1728"/>
          </w:tcPr>
          <w:p>
            <w:r>
              <w:t>−788.493</w:t>
            </w:r>
          </w:p>
        </w:tc>
        <w:tc>
          <w:tcPr>
            <w:tcW w:type="dxa" w:w="1728"/>
          </w:tcPr>
          <w:p>
            <w:r>
              <w:t>144 (48/96)</w:t>
            </w:r>
          </w:p>
        </w:tc>
      </w:tr>
    </w:tbl>
    <w:p>
      <w:pPr>
        <w:pStyle w:val="Heading2"/>
      </w:pPr>
      <w:r>
        <w:t>1.2 Slab Visualizations (5 converged, lattice hidden)</w:t>
      </w:r>
    </w:p>
    <w:p>
      <w:r>
        <w:drawing>
          <wp:inline xmlns:a="http://schemas.openxmlformats.org/drawingml/2006/main" xmlns:pic="http://schemas.openxmlformats.org/drawingml/2006/picture">
            <wp:extent cx="5486400" cy="8061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5_conv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6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 — 5 G2 수렴 슬랩 (perspective / top / side, PBC ghost atoms 포함).</w:t>
      </w:r>
    </w:p>
    <w:p>
      <w:pPr>
        <w:pStyle w:val="Heading2"/>
      </w:pPr>
      <w:r>
        <w:t>1.3 G2 Validation (T1.9) — Highlights</w:t>
      </w:r>
    </w:p>
    <w:p>
      <w:pPr>
        <w:pStyle w:val="ListBullet"/>
      </w:pPr>
      <w:r>
        <w:t>✓ All 5 slabs EDIFFG=−0.03 force convergence achieved</w:t>
      </w:r>
    </w:p>
    <w:p>
      <w:pPr>
        <w:pStyle w:val="ListBullet"/>
      </w:pPr>
      <w:r>
        <w:t>✓ Slab thickness 7.8–12.2 Å, vacuum ≈ 20 Å, IDIPOL=3 → |μ_z| &lt; 0.002 e·Å</w:t>
      </w:r>
    </w:p>
    <w:p>
      <w:pPr>
        <w:pStyle w:val="ListBullet"/>
      </w:pPr>
      <w:r>
        <w:t>✓ Pd–O bond mean 2.00–2.05 Å (bulk PdO/PdO₂ reference 매치)</w:t>
      </w:r>
    </w:p>
    <w:p>
      <w:pPr>
        <w:pStyle w:val="ListBullet"/>
      </w:pPr>
      <w:r>
        <w:t>✓ Top Pd coordination: S2 {2-fold + 4-fold} matches Kostelnik 2007 √5 oxide; S4 6×Pd_5c + 6×Pd_6c matches rutile (110)</w:t>
      </w:r>
    </w:p>
    <w:p>
      <w:pPr>
        <w:pStyle w:val="ListBullet"/>
      </w:pPr>
      <w:r>
        <w:t>✓ Termination stability: 의도된 모델 그대로 유지</w:t>
      </w:r>
    </w:p>
    <w:p>
      <w:pPr>
        <w:pStyle w:val="ListBullet"/>
      </w:pPr>
      <w:r>
        <w:t>→ G2 gate 통과 (별도 보고서: G2_validation_report.docx)</w:t>
      </w:r>
    </w:p>
    <w:p>
      <w:pPr>
        <w:pStyle w:val="Heading1"/>
      </w:pPr>
      <w:r>
        <w:t>Part 2 — G3 Adsorbate Sampling (T1.10–T1.13)</w:t>
      </w:r>
    </w:p>
    <w:p>
      <w:r>
        <w:rPr>
          <w:i/>
        </w:rPr>
        <w:t>AutoAdsorbate heuristic 방법. SMILES: CO* = `Cl[C]=O` (guideline `Cl[C-]#[O+]`은 현 RDKit valence error로 대체), CH₃O* = `ClOC`. mode='all', overlap_thr=1.25. **NO MLIP, NO DFT** — advisor checkpoint stop.</w:t>
      </w:r>
    </w:p>
    <w:p>
      <w:pPr>
        <w:pStyle w:val="Heading2"/>
      </w:pPr>
      <w:r>
        <w:t>2.1 Site map (T1.10) &amp; 단일 흡착 counts (T1.11–T1.12)</w:t>
      </w:r>
    </w:p>
    <w:p>
      <w:r>
        <w:drawing>
          <wp:inline xmlns:a="http://schemas.openxmlformats.org/drawingml/2006/main" xmlns:pic="http://schemas.openxmlformats.org/drawingml/2006/picture">
            <wp:extent cx="5943600" cy="1945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ngle_ads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 — Site map (왼쪽), CO* 후보 (가운데), CH₃O* 후보 (오른쪽). 회색 띠는 workplan target 100–300/surface.</w:t>
      </w:r>
    </w:p>
    <w:p>
      <w:r>
        <w:t>관찰: 단일 흡착 (CO*, CH₃O*)은 표면당 87–498로 다양. CH₃O*가 rotation+conformer로 site당 평균 2–3 배 많음. CO* S3b가 87로 약간 부족하지만 site 수 87 자체가 작은 supercell 영향. CH₃O*는 모든 표면 100-300 범위 초과 (cap 권장).</w:t>
      </w:r>
    </w:p>
    <w:p>
      <w:pPr>
        <w:pStyle w:val="Heading2"/>
      </w:pPr>
      <w:r>
        <w:t>2.2 Co-adsorption (T1.13) — guide-original (전체 enumerate)</w:t>
      </w:r>
    </w:p>
    <w:p>
      <w:r>
        <w:drawing>
          <wp:inline xmlns:a="http://schemas.openxmlformats.org/drawingml/2006/main" xmlns:pic="http://schemas.openxmlformats.org/drawingml/2006/picture">
            <wp:extent cx="5943600" cy="2012282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ads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28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2.2 — Co-ads stacked breakdown (왼쪽; Set A / TS / B / side / rejected). 오른쪽: Set A count vs workplan target 150–500 (빨간 띠).</w:t>
      </w:r>
    </w:p>
    <w:p>
      <w:pPr>
        <w:pStyle w:val="Heading2"/>
      </w:pPr>
      <w:r>
        <w:t>2.3 Per-surface Counts (full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Sites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CO*</w:t>
            </w:r>
          </w:p>
        </w:tc>
        <w:tc>
          <w:tcPr>
            <w:tcW w:type="dxa" w:w="960"/>
          </w:tcPr>
          <w:p>
            <w:r>
              <w:rPr>
                <w:b/>
              </w:rPr>
              <w:t>CH₃O*</w:t>
            </w:r>
          </w:p>
        </w:tc>
        <w:tc>
          <w:tcPr>
            <w:tcW w:type="dxa" w:w="960"/>
          </w:tcPr>
          <w:p>
            <w:r>
              <w:rPr>
                <w:b/>
              </w:rPr>
              <w:t>All pairs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Set 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Set TS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Set B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side+rejected</w:t>
            </w:r>
          </w:p>
        </w:tc>
      </w:tr>
      <w:tr>
        <w:tc>
          <w:tcPr>
            <w:tcW w:type="dxa" w:w="960"/>
          </w:tcPr>
          <w:p>
            <w:r>
              <w:t>S1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336</w:t>
            </w:r>
          </w:p>
        </w:tc>
        <w:tc>
          <w:tcPr>
            <w:tcW w:type="dxa" w:w="960"/>
          </w:tcPr>
          <w:p>
            <w:r>
              <w:t>37,632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S2</w:t>
            </w:r>
          </w:p>
        </w:tc>
        <w:tc>
          <w:tcPr>
            <w:tcW w:type="dxa" w:w="960"/>
          </w:tcPr>
          <w:p>
            <w:r>
              <w:t>166</w:t>
            </w:r>
          </w:p>
        </w:tc>
        <w:tc>
          <w:tcPr>
            <w:tcW w:type="dxa" w:w="960"/>
          </w:tcPr>
          <w:p>
            <w:r>
              <w:t>166</w:t>
            </w:r>
          </w:p>
        </w:tc>
        <w:tc>
          <w:tcPr>
            <w:tcW w:type="dxa" w:w="960"/>
          </w:tcPr>
          <w:p>
            <w:r>
              <w:t>498</w:t>
            </w:r>
          </w:p>
        </w:tc>
        <w:tc>
          <w:tcPr>
            <w:tcW w:type="dxa" w:w="960"/>
          </w:tcPr>
          <w:p>
            <w:r>
              <w:t>82,668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S3</w:t>
            </w:r>
          </w:p>
        </w:tc>
        <w:tc>
          <w:tcPr>
            <w:tcW w:type="dxa" w:w="960"/>
          </w:tcPr>
          <w:p>
            <w:r>
              <w:t>135</w:t>
            </w:r>
          </w:p>
        </w:tc>
        <w:tc>
          <w:tcPr>
            <w:tcW w:type="dxa" w:w="960"/>
          </w:tcPr>
          <w:p>
            <w:r>
              <w:t>135</w:t>
            </w:r>
          </w:p>
        </w:tc>
        <w:tc>
          <w:tcPr>
            <w:tcW w:type="dxa" w:w="960"/>
          </w:tcPr>
          <w:p>
            <w:r>
              <w:t>405</w:t>
            </w:r>
          </w:p>
        </w:tc>
        <w:tc>
          <w:tcPr>
            <w:tcW w:type="dxa" w:w="960"/>
          </w:tcPr>
          <w:p>
            <w:r>
              <w:t>54,675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S3b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261</w:t>
            </w:r>
          </w:p>
        </w:tc>
        <w:tc>
          <w:tcPr>
            <w:tcW w:type="dxa" w:w="960"/>
          </w:tcPr>
          <w:p>
            <w:r>
              <w:t>22,707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S4</w:t>
            </w:r>
          </w:p>
        </w:tc>
        <w:tc>
          <w:tcPr>
            <w:tcW w:type="dxa" w:w="960"/>
          </w:tcPr>
          <w:p>
            <w:r>
              <w:t>129</w:t>
            </w:r>
          </w:p>
        </w:tc>
        <w:tc>
          <w:tcPr>
            <w:tcW w:type="dxa" w:w="960"/>
          </w:tcPr>
          <w:p>
            <w:r>
              <w:t>129</w:t>
            </w:r>
          </w:p>
        </w:tc>
        <w:tc>
          <w:tcPr>
            <w:tcW w:type="dxa" w:w="960"/>
          </w:tcPr>
          <w:p>
            <w:r>
              <w:t>387</w:t>
            </w:r>
          </w:p>
        </w:tc>
        <w:tc>
          <w:tcPr>
            <w:tcW w:type="dxa" w:w="960"/>
          </w:tcPr>
          <w:p>
            <w:r>
              <w:t>49,923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>
            <w:r>
              <w:t>629</w:t>
            </w:r>
          </w:p>
        </w:tc>
        <w:tc>
          <w:tcPr>
            <w:tcW w:type="dxa" w:w="960"/>
          </w:tcPr>
          <w:p>
            <w:r>
              <w:t>629</w:t>
            </w:r>
          </w:p>
        </w:tc>
        <w:tc>
          <w:tcPr>
            <w:tcW w:type="dxa" w:w="960"/>
          </w:tcPr>
          <w:p>
            <w:r>
              <w:t>1887</w:t>
            </w:r>
          </w:p>
        </w:tc>
        <w:tc>
          <w:tcPr>
            <w:tcW w:type="dxa" w:w="960"/>
          </w:tcPr>
          <w:p>
            <w:r>
              <w:t>247,605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</w:tbl>
    <w:p>
      <w:pPr>
        <w:pStyle w:val="Heading2"/>
      </w:pPr>
      <w:r>
        <w:t>2.4 Distance Distribution — 5 surfaces</w:t>
      </w:r>
    </w:p>
    <w:p>
      <w:r>
        <w:drawing>
          <wp:inline xmlns:a="http://schemas.openxmlformats.org/drawingml/2006/main" xmlns:pic="http://schemas.openxmlformats.org/drawingml/2006/picture">
            <wp:extent cx="5943600" cy="3398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stance_hi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2.3 — C–O atom distance histogram per surface (Set A/TS/B 영역 색 구분).</w:t>
      </w:r>
    </w:p>
    <w:p>
      <w:pPr>
        <w:pStyle w:val="Heading1"/>
      </w:pPr>
      <w:r>
        <w:t>Part 3 — Discussion / Observations</w:t>
      </w:r>
    </w:p>
    <w:p>
      <w:pPr>
        <w:pStyle w:val="ListBullet"/>
      </w:pPr>
      <w:r>
        <w:t>가이드 원안 적용 (site-pair primary ≤4.5 + max_per_pair=2 + steric + classification)으로 5 표면 모두 후보 풀 생성 완료.</w:t>
      </w:r>
    </w:p>
    <w:p>
      <w:pPr>
        <w:pStyle w:val="ListBullet"/>
      </w:pPr>
      <w:r>
        <w:t>**Set A 수치 (3,764–11,598/surface)는 workplan target 150–500/surface을 10-25배 초과**. 원인: 큰 supercell (S1 p(4×4), S2 √5×√5×2×2 등) → site pair 수가 많음. 가이드 함수의 default cutoff는 작은 cell 기준. max_per_pair=2 적용해도 큰 cell에서 충분히 줄지 않음.</w:t>
      </w:r>
    </w:p>
    <w:p>
      <w:pPr>
        <w:pStyle w:val="ListBullet"/>
      </w:pPr>
      <w:r>
        <w:t>**Set TS-like (1.7–2.3 Å)**: S2가 가장 많음 (1,625), S3b 가장 적음 (469). S2의 Pd/PdO interface에서 짧은 C–O 접촉 가능 사이트가 풍부.</w:t>
      </w:r>
    </w:p>
    <w:p>
      <w:pPr>
        <w:pStyle w:val="ListBullet"/>
      </w:pPr>
      <w:r>
        <w:t>**Side-path candidates**: O-rich 표면(S2, S3, S4)가 95–183개로 많음. CO/표면-O 인접 또는 CO₂-like 붕괴 가능 구조. Phase 2 side-path 분석용 보관.</w:t>
      </w:r>
    </w:p>
    <w:p>
      <w:pPr>
        <w:pStyle w:val="ListBullet"/>
      </w:pPr>
      <w:r>
        <w:t>**Steric rejection rate**: 8–10% 모든 표면 일관 (heavy&lt;1.6, H&lt;1.1). PdO₂(110) S4가 8.8%로 lowest, S2가 6%로 매우 낮음.</w:t>
      </w:r>
    </w:p>
    <w:p>
      <w:pPr>
        <w:pStyle w:val="ListBullet"/>
      </w:pPr>
      <w:r>
        <w:t>다음 단계 (T1.14 MLIP)에서 자연 down-select 가능. MACE foundation model로 38k Set A + 5.8k TS 후보 ranking → DFT shortlist 표면당 3-5개. MACE는 GPU 1시간이면 모두 ranking 가능.</w:t>
      </w:r>
    </w:p>
    <w:p>
      <w:pPr>
        <w:pStyle w:val="Heading1"/>
      </w:pPr>
      <w:r>
        <w:t>Part 4 — Stop Point &amp; Next Options</w:t>
      </w:r>
    </w:p>
    <w:p>
      <w:r>
        <w:t>Per advisor 명시 instruction: **heuristic 흡착 후보 생성 완료, MLIP/DFT 수행하지 않음**. 이 보고서가 checkpoint 산출물입니다. advisor 검토 후 다음 단계 진행.</w:t>
      </w:r>
    </w:p>
    <w:p>
      <w:r>
        <w:t>승인 후 옵션 (advisor 선택 필요):</w:t>
      </w:r>
    </w:p>
    <w:p>
      <w:pPr>
        <w:pStyle w:val="ListNumber"/>
      </w:pPr>
      <w:r>
        <w:t>(A) 현재 그대로 T1.14 MLIP ranking → MACE가 자연 down-select (38k → 표면당 3-5 DFT)</w:t>
      </w:r>
    </w:p>
    <w:p>
      <w:pPr>
        <w:pStyle w:val="ListNumber"/>
      </w:pPr>
      <w:r>
        <w:t>(B) Set A subsample 후 MLIP ranking — 표면당 150-500으로 강제 축소 (distance-bin stratified)</w:t>
      </w:r>
    </w:p>
    <w:p>
      <w:pPr>
        <w:pStyle w:val="ListNumber"/>
      </w:pPr>
      <w:r>
        <w:t>(C) max_per_pair=1로 재실행 — 더 빡빡한 cap으로 1,000–3,000/surface 정도로 축소</w:t>
      </w:r>
    </w:p>
    <w:p>
      <w:pPr>
        <w:pStyle w:val="ListNumber"/>
      </w:pPr>
      <w:r>
        <w:t>(D) Set A만 사용, Set TS 별도 보관 — TS는 NEB initial guess용으로만</w:t>
      </w:r>
    </w:p>
    <w:p/>
    <w:p>
      <w:r>
        <w:rPr>
          <w:b/>
        </w:rPr>
        <w:t xml:space="preserve">Recommendation: </w:t>
      </w:r>
      <w:r>
        <w:t>Option A (그대로 진행). 이유: (1) MLIP ranking 비용이 GPU 1시간 정도로 cheap, (2) 더 많은 후보를 보는 게 reactive structure 놓칠 위험 감소, (3) 최종 DFT 잡 수는 어차피 표면당 3-5개로 동일.</w:t>
      </w:r>
    </w:p>
    <w:p>
      <w:pPr>
        <w:pStyle w:val="Heading1"/>
      </w:pPr>
      <w:r>
        <w:t>Output Files</w:t>
      </w:r>
    </w:p>
    <w:p>
      <w:pPr>
        <w:pStyle w:val="ListBullet"/>
      </w:pPr>
      <w:r>
        <w:t>G2: calculations/G2_slab/{S1, S2, S3, S3b, S4}/CONTCAR + G2_validation_report.docx</w:t>
      </w:r>
    </w:p>
    <w:p>
      <w:pPr>
        <w:pStyle w:val="ListBullet"/>
      </w:pPr>
      <w:r>
        <w:t>G3: calculations/G3_adsorption/{surface}/{site_map, CO, CH3O, coads_guide}/</w:t>
      </w:r>
    </w:p>
    <w:p>
      <w:pPr>
        <w:pStyle w:val="ListBullet"/>
      </w:pPr>
      <w:r>
        <w:t>G3 통합: COADS_GUIDE_SUMMARY.md, coads_guide_summary.json</w:t>
      </w:r>
    </w:p>
    <w:p>
      <w:pPr>
        <w:pStyle w:val="ListBullet"/>
      </w:pPr>
      <w:r>
        <w:t>Figures: g2_g3_unified/ (이 보고서의 figures)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