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327E5" w14:textId="77777777" w:rsidR="0048278B" w:rsidRDefault="00000000">
      <w:pPr>
        <w:keepLines/>
        <w:spacing w:after="120" w:line="276" w:lineRule="auto"/>
        <w:jc w:val="center"/>
      </w:pPr>
      <w:r>
        <w:rPr>
          <w:rFonts w:eastAsia="Calibri"/>
          <w:b/>
          <w:bCs/>
          <w:color w:val="B8902F"/>
          <w:spacing w:val="90"/>
          <w:sz w:val="22"/>
          <w:szCs w:val="22"/>
        </w:rPr>
        <w:t>SOE FISCAL RISK ASSESSMENT</w:t>
      </w:r>
    </w:p>
    <w:p w14:paraId="728E343C" w14:textId="77777777" w:rsidR="0048278B" w:rsidRDefault="00000000">
      <w:pPr>
        <w:keepLines/>
        <w:spacing w:after="120" w:line="276" w:lineRule="auto"/>
        <w:jc w:val="center"/>
      </w:pPr>
      <w:r>
        <w:rPr>
          <w:rFonts w:eastAsia="Calibri"/>
          <w:b/>
          <w:bCs/>
          <w:color w:val="1B2A47"/>
          <w:sz w:val="44"/>
          <w:szCs w:val="44"/>
        </w:rPr>
        <w:t>Hands-On Training Workbook</w:t>
      </w:r>
    </w:p>
    <w:p w14:paraId="5476DCE7" w14:textId="77777777" w:rsidR="0048278B" w:rsidRDefault="00000000">
      <w:pPr>
        <w:keepLines/>
        <w:spacing w:after="240" w:line="276" w:lineRule="auto"/>
        <w:jc w:val="center"/>
      </w:pPr>
      <w:r>
        <w:rPr>
          <w:rFonts w:eastAsia="Calibri"/>
          <w:i/>
          <w:iCs/>
          <w:color w:val="4A5A78"/>
          <w:sz w:val="26"/>
          <w:szCs w:val="26"/>
        </w:rPr>
        <w:t>Choose an SOE and follow it through the tool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0"/>
        <w:gridCol w:w="3500"/>
        <w:gridCol w:w="1300"/>
        <w:gridCol w:w="2710"/>
      </w:tblGrid>
      <w:tr w:rsidR="0048278B" w14:paraId="0A8AF322" w14:textId="77777777">
        <w:tc>
          <w:tcPr>
            <w:tcW w:w="1850" w:type="dxa"/>
            <w:tcBorders>
              <w:top w:val="none" w:sz="0" w:space="0" w:color="FFFFFF"/>
              <w:left w:val="none" w:sz="0" w:space="0" w:color="FFFFFF"/>
              <w:bottom w:val="none" w:sz="0" w:space="0" w:color="FFFFFF"/>
              <w:right w:val="none" w:sz="0" w:space="0" w:color="FFFFFF"/>
            </w:tcBorders>
            <w:tcMar>
              <w:top w:w="90" w:type="dxa"/>
              <w:left w:w="0" w:type="dxa"/>
              <w:bottom w:w="40" w:type="dxa"/>
              <w:right w:w="80" w:type="dxa"/>
            </w:tcMar>
            <w:vAlign w:val="bottom"/>
          </w:tcPr>
          <w:p w14:paraId="3F54BE2E" w14:textId="77777777" w:rsidR="0048278B" w:rsidRDefault="00000000">
            <w:pPr>
              <w:keepLines/>
              <w:spacing w:line="276" w:lineRule="auto"/>
            </w:pPr>
            <w:r>
              <w:rPr>
                <w:rFonts w:eastAsia="Calibri"/>
                <w:b/>
                <w:bCs/>
              </w:rPr>
              <w:t>Participant Name:</w:t>
            </w:r>
          </w:p>
        </w:tc>
        <w:tc>
          <w:tcPr>
            <w:tcW w:w="3500" w:type="dxa"/>
            <w:tcBorders>
              <w:top w:val="none" w:sz="0" w:space="0" w:color="FFFFFF"/>
              <w:left w:val="none" w:sz="0" w:space="0" w:color="FFFFFF"/>
              <w:bottom w:val="single" w:sz="6" w:space="0" w:color="2B2F36"/>
              <w:right w:val="none" w:sz="0" w:space="0" w:color="FFFFFF"/>
            </w:tcBorders>
            <w:tcMar>
              <w:top w:w="90" w:type="dxa"/>
              <w:left w:w="0" w:type="dxa"/>
              <w:bottom w:w="40" w:type="dxa"/>
              <w:right w:w="80" w:type="dxa"/>
            </w:tcMar>
            <w:vAlign w:val="bottom"/>
          </w:tcPr>
          <w:p w14:paraId="3110C1DB" w14:textId="77777777" w:rsidR="0048278B" w:rsidRDefault="0048278B">
            <w:pPr>
              <w:keepLines/>
              <w:spacing w:line="276" w:lineRule="auto"/>
            </w:pPr>
          </w:p>
        </w:tc>
        <w:tc>
          <w:tcPr>
            <w:tcW w:w="1300" w:type="dxa"/>
            <w:tcBorders>
              <w:top w:val="none" w:sz="0" w:space="0" w:color="FFFFFF"/>
              <w:left w:val="none" w:sz="0" w:space="0" w:color="FFFFFF"/>
              <w:bottom w:val="none" w:sz="0" w:space="0" w:color="FFFFFF"/>
              <w:right w:val="none" w:sz="0" w:space="0" w:color="FFFFFF"/>
            </w:tcBorders>
            <w:tcMar>
              <w:top w:w="90" w:type="dxa"/>
              <w:left w:w="200" w:type="dxa"/>
              <w:bottom w:w="40" w:type="dxa"/>
              <w:right w:w="80" w:type="dxa"/>
            </w:tcMar>
            <w:vAlign w:val="bottom"/>
          </w:tcPr>
          <w:p w14:paraId="6AE9AB8C" w14:textId="77777777" w:rsidR="0048278B" w:rsidRDefault="00000000">
            <w:pPr>
              <w:keepLines/>
              <w:spacing w:line="276" w:lineRule="auto"/>
            </w:pPr>
            <w:r>
              <w:rPr>
                <w:rFonts w:eastAsia="Calibri"/>
                <w:b/>
                <w:bCs/>
              </w:rPr>
              <w:t>Group:</w:t>
            </w:r>
          </w:p>
        </w:tc>
        <w:tc>
          <w:tcPr>
            <w:tcW w:w="2710" w:type="dxa"/>
            <w:tcBorders>
              <w:top w:val="none" w:sz="0" w:space="0" w:color="FFFFFF"/>
              <w:left w:val="none" w:sz="0" w:space="0" w:color="FFFFFF"/>
              <w:bottom w:val="single" w:sz="6" w:space="0" w:color="2B2F36"/>
              <w:right w:val="none" w:sz="0" w:space="0" w:color="FFFFFF"/>
            </w:tcBorders>
            <w:tcMar>
              <w:top w:w="90" w:type="dxa"/>
              <w:left w:w="0" w:type="dxa"/>
              <w:bottom w:w="40" w:type="dxa"/>
              <w:right w:w="0" w:type="dxa"/>
            </w:tcMar>
            <w:vAlign w:val="bottom"/>
          </w:tcPr>
          <w:p w14:paraId="21671485" w14:textId="77777777" w:rsidR="0048278B" w:rsidRDefault="0048278B">
            <w:pPr>
              <w:keepLines/>
              <w:spacing w:line="276" w:lineRule="auto"/>
            </w:pPr>
          </w:p>
        </w:tc>
      </w:tr>
      <w:tr w:rsidR="0048278B" w14:paraId="32C84B49" w14:textId="77777777">
        <w:tc>
          <w:tcPr>
            <w:tcW w:w="1850" w:type="dxa"/>
            <w:tcBorders>
              <w:top w:val="none" w:sz="0" w:space="0" w:color="FFFFFF"/>
              <w:left w:val="none" w:sz="0" w:space="0" w:color="FFFFFF"/>
              <w:bottom w:val="none" w:sz="0" w:space="0" w:color="FFFFFF"/>
              <w:right w:val="none" w:sz="0" w:space="0" w:color="FFFFFF"/>
            </w:tcBorders>
            <w:tcMar>
              <w:top w:w="90" w:type="dxa"/>
              <w:left w:w="0" w:type="dxa"/>
              <w:bottom w:w="40" w:type="dxa"/>
              <w:right w:w="80" w:type="dxa"/>
            </w:tcMar>
            <w:vAlign w:val="bottom"/>
          </w:tcPr>
          <w:p w14:paraId="0F9E1767" w14:textId="77777777" w:rsidR="0048278B" w:rsidRDefault="00000000">
            <w:pPr>
              <w:keepLines/>
              <w:spacing w:line="276" w:lineRule="auto"/>
            </w:pPr>
            <w:r>
              <w:rPr>
                <w:rFonts w:eastAsia="Calibri"/>
                <w:b/>
                <w:bCs/>
              </w:rPr>
              <w:t>Date:</w:t>
            </w:r>
          </w:p>
        </w:tc>
        <w:tc>
          <w:tcPr>
            <w:tcW w:w="3500" w:type="dxa"/>
            <w:tcBorders>
              <w:top w:val="none" w:sz="0" w:space="0" w:color="FFFFFF"/>
              <w:left w:val="none" w:sz="0" w:space="0" w:color="FFFFFF"/>
              <w:bottom w:val="single" w:sz="6" w:space="0" w:color="2B2F36"/>
              <w:right w:val="none" w:sz="0" w:space="0" w:color="FFFFFF"/>
            </w:tcBorders>
            <w:tcMar>
              <w:top w:w="90" w:type="dxa"/>
              <w:left w:w="0" w:type="dxa"/>
              <w:bottom w:w="40" w:type="dxa"/>
              <w:right w:w="80" w:type="dxa"/>
            </w:tcMar>
            <w:vAlign w:val="bottom"/>
          </w:tcPr>
          <w:p w14:paraId="3EF478CD" w14:textId="77777777" w:rsidR="0048278B" w:rsidRDefault="0048278B">
            <w:pPr>
              <w:keepLines/>
              <w:spacing w:line="276" w:lineRule="auto"/>
            </w:pPr>
          </w:p>
        </w:tc>
        <w:tc>
          <w:tcPr>
            <w:tcW w:w="1300" w:type="dxa"/>
            <w:tcBorders>
              <w:top w:val="none" w:sz="0" w:space="0" w:color="FFFFFF"/>
              <w:left w:val="none" w:sz="0" w:space="0" w:color="FFFFFF"/>
              <w:bottom w:val="none" w:sz="0" w:space="0" w:color="FFFFFF"/>
              <w:right w:val="none" w:sz="0" w:space="0" w:color="FFFFFF"/>
            </w:tcBorders>
            <w:tcMar>
              <w:top w:w="90" w:type="dxa"/>
              <w:left w:w="200" w:type="dxa"/>
              <w:bottom w:w="40" w:type="dxa"/>
              <w:right w:w="80" w:type="dxa"/>
            </w:tcMar>
            <w:vAlign w:val="bottom"/>
          </w:tcPr>
          <w:p w14:paraId="43CB14A8" w14:textId="77777777" w:rsidR="0048278B" w:rsidRDefault="00000000">
            <w:pPr>
              <w:keepLines/>
              <w:spacing w:line="276" w:lineRule="auto"/>
            </w:pPr>
            <w:r>
              <w:rPr>
                <w:rFonts w:eastAsia="Calibri"/>
                <w:b/>
                <w:bCs/>
              </w:rPr>
              <w:t>Duration:</w:t>
            </w:r>
          </w:p>
        </w:tc>
        <w:tc>
          <w:tcPr>
            <w:tcW w:w="2710" w:type="dxa"/>
            <w:tcBorders>
              <w:top w:val="none" w:sz="0" w:space="0" w:color="FFFFFF"/>
              <w:left w:val="none" w:sz="0" w:space="0" w:color="FFFFFF"/>
              <w:bottom w:val="none" w:sz="0" w:space="0" w:color="FFFFFF"/>
              <w:right w:val="none" w:sz="0" w:space="0" w:color="FFFFFF"/>
            </w:tcBorders>
            <w:tcMar>
              <w:top w:w="90" w:type="dxa"/>
              <w:left w:w="0" w:type="dxa"/>
              <w:bottom w:w="40" w:type="dxa"/>
              <w:right w:w="0" w:type="dxa"/>
            </w:tcMar>
            <w:vAlign w:val="bottom"/>
          </w:tcPr>
          <w:p w14:paraId="60E4561C" w14:textId="77777777" w:rsidR="0048278B" w:rsidRDefault="00000000">
            <w:pPr>
              <w:keepLines/>
              <w:spacing w:line="276" w:lineRule="auto"/>
            </w:pPr>
            <w:r>
              <w:rPr>
                <w:rFonts w:eastAsia="Calibri"/>
              </w:rPr>
              <w:t>35 minutes</w:t>
            </w:r>
          </w:p>
        </w:tc>
      </w:tr>
      <w:tr w:rsidR="0048278B" w14:paraId="56F71F31" w14:textId="77777777">
        <w:tc>
          <w:tcPr>
            <w:tcW w:w="1850" w:type="dxa"/>
            <w:tcBorders>
              <w:top w:val="none" w:sz="0" w:space="0" w:color="FFFFFF"/>
              <w:left w:val="none" w:sz="0" w:space="0" w:color="FFFFFF"/>
              <w:bottom w:val="none" w:sz="0" w:space="0" w:color="FFFFFF"/>
              <w:right w:val="none" w:sz="0" w:space="0" w:color="FFFFFF"/>
            </w:tcBorders>
            <w:tcMar>
              <w:top w:w="90" w:type="dxa"/>
              <w:left w:w="0" w:type="dxa"/>
              <w:bottom w:w="40" w:type="dxa"/>
              <w:right w:w="80" w:type="dxa"/>
            </w:tcMar>
            <w:vAlign w:val="bottom"/>
          </w:tcPr>
          <w:p w14:paraId="48FD0490" w14:textId="77777777" w:rsidR="0048278B" w:rsidRDefault="00000000">
            <w:pPr>
              <w:keepLines/>
              <w:spacing w:line="276" w:lineRule="auto"/>
            </w:pPr>
            <w:r>
              <w:rPr>
                <w:rFonts w:eastAsia="Calibri"/>
                <w:b/>
                <w:bCs/>
              </w:rPr>
              <w:t>SOE I chose:</w:t>
            </w:r>
          </w:p>
        </w:tc>
        <w:tc>
          <w:tcPr>
            <w:tcW w:w="3500" w:type="dxa"/>
            <w:tcBorders>
              <w:top w:val="none" w:sz="0" w:space="0" w:color="FFFFFF"/>
              <w:left w:val="none" w:sz="0" w:space="0" w:color="FFFFFF"/>
              <w:bottom w:val="single" w:sz="6" w:space="0" w:color="2B2F36"/>
              <w:right w:val="none" w:sz="0" w:space="0" w:color="FFFFFF"/>
            </w:tcBorders>
            <w:tcMar>
              <w:top w:w="90" w:type="dxa"/>
              <w:left w:w="0" w:type="dxa"/>
              <w:bottom w:w="40" w:type="dxa"/>
              <w:right w:w="80" w:type="dxa"/>
            </w:tcMar>
            <w:vAlign w:val="bottom"/>
          </w:tcPr>
          <w:p w14:paraId="2DA4E85F" w14:textId="77777777" w:rsidR="0048278B" w:rsidRDefault="0048278B">
            <w:pPr>
              <w:keepLines/>
              <w:spacing w:line="276" w:lineRule="auto"/>
            </w:pPr>
          </w:p>
        </w:tc>
        <w:tc>
          <w:tcPr>
            <w:tcW w:w="1300" w:type="dxa"/>
            <w:tcBorders>
              <w:top w:val="none" w:sz="0" w:space="0" w:color="FFFFFF"/>
              <w:left w:val="none" w:sz="0" w:space="0" w:color="FFFFFF"/>
              <w:bottom w:val="none" w:sz="0" w:space="0" w:color="FFFFFF"/>
              <w:right w:val="none" w:sz="0" w:space="0" w:color="FFFFFF"/>
            </w:tcBorders>
            <w:tcMar>
              <w:top w:w="90" w:type="dxa"/>
              <w:left w:w="200" w:type="dxa"/>
              <w:bottom w:w="40" w:type="dxa"/>
              <w:right w:w="80" w:type="dxa"/>
            </w:tcMar>
            <w:vAlign w:val="bottom"/>
          </w:tcPr>
          <w:p w14:paraId="2A73591B" w14:textId="77777777" w:rsidR="0048278B" w:rsidRDefault="00000000">
            <w:pPr>
              <w:keepLines/>
              <w:spacing w:line="276" w:lineRule="auto"/>
            </w:pPr>
            <w:r>
              <w:rPr>
                <w:rFonts w:eastAsia="Calibri"/>
                <w:b/>
                <w:bCs/>
              </w:rPr>
              <w:t>Sector:</w:t>
            </w:r>
          </w:p>
        </w:tc>
        <w:tc>
          <w:tcPr>
            <w:tcW w:w="2710" w:type="dxa"/>
            <w:tcBorders>
              <w:top w:val="none" w:sz="0" w:space="0" w:color="FFFFFF"/>
              <w:left w:val="none" w:sz="0" w:space="0" w:color="FFFFFF"/>
              <w:bottom w:val="single" w:sz="6" w:space="0" w:color="2B2F36"/>
              <w:right w:val="none" w:sz="0" w:space="0" w:color="FFFFFF"/>
            </w:tcBorders>
            <w:tcMar>
              <w:top w:w="90" w:type="dxa"/>
              <w:left w:w="0" w:type="dxa"/>
              <w:bottom w:w="40" w:type="dxa"/>
              <w:right w:w="0" w:type="dxa"/>
            </w:tcMar>
            <w:vAlign w:val="bottom"/>
          </w:tcPr>
          <w:p w14:paraId="262E3D6C" w14:textId="77777777" w:rsidR="0048278B" w:rsidRDefault="0048278B">
            <w:pPr>
              <w:keepLines/>
              <w:spacing w:line="276" w:lineRule="auto"/>
            </w:pPr>
          </w:p>
        </w:tc>
      </w:tr>
    </w:tbl>
    <w:p>
      <w:pPr>
        <w:spacing w:after="0" w:line="100" w:lineRule="exact"/>
      </w:pPr>
    </w:p>
    <w:p w14:paraId="4BBFA858" w14:textId="47ADC003" w:rsidR="0048278B" w:rsidRDefault="00000000">
      <w:pPr>
        <w:keepLines/>
        <w:pBdr>
          <w:top w:val="single" w:sz="4" w:space="6" w:color="FFF7E6"/>
          <w:left w:val="single" w:sz="36" w:space="10" w:color="D9A93B"/>
          <w:bottom w:val="single" w:sz="4" w:space="6" w:color="FFF7E6"/>
          <w:right w:val="single" w:sz="4" w:space="8" w:color="FFF7E6"/>
        </w:pBdr>
        <w:shd w:val="clear" w:color="auto" w:fill="FFF7E6"/>
        <w:spacing w:line="270" w:lineRule="auto"/>
        <w:ind w:left="300" w:right="170"/>
      </w:pPr>
      <w:r>
        <w:rPr>
          <w:rFonts w:eastAsia="Calibri"/>
          <w:i/>
          <w:iCs/>
          <w:color w:val="4A5A78"/>
          <w:sz w:val="20"/>
          <w:szCs w:val="20"/>
        </w:rPr>
        <w:t xml:space="preserve">In this exercise you will use the live SOE tool, </w:t>
      </w:r>
      <w:r>
        <w:rPr>
          <w:rFonts w:eastAsia="Calibri"/>
          <w:b/>
          <w:bCs/>
          <w:i/>
          <w:iCs/>
          <w:color w:val="4A5A78"/>
          <w:sz w:val="20"/>
          <w:szCs w:val="20"/>
        </w:rPr>
        <w:t xml:space="preserve">WB-KDIs Training : SOE Fiscal Risk</w:t>
      </w:r>
      <w:r>
        <w:rPr>
          <w:rFonts w:eastAsia="Calibri"/>
          <w:i/>
          <w:iCs/>
          <w:color w:val="4A5A78"/>
          <w:sz w:val="20"/>
          <w:szCs w:val="20"/>
        </w:rPr>
        <w:t xml:space="preserve"> (training link: https://wb-kdis-soe-training-beta.streamlit.app). You will load the practice data, choose one of its eight state-owned enterprises (SOE A to SOE H) and follow it through the tool: its financial ratios, its distress score, what it could cost the budget, the early-warning signal it triggers and how it reacts to a fuel price shock. </w:t>
      </w:r>
      <w:r>
        <w:rPr>
          <w:rFonts w:eastAsia="Calibri"/>
          <w:b/>
          <w:bCs/>
          <w:i/>
          <w:iCs/>
          <w:color w:val="4A5A78"/>
          <w:sz w:val="20"/>
          <w:szCs w:val="20"/>
        </w:rPr>
        <w:t xml:space="preserve">Look at the tool and tell the story of your SOE:</w:t>
      </w:r>
      <w:r>
        <w:rPr>
          <w:rFonts w:eastAsia="Calibri"/>
          <w:i/>
          <w:iCs/>
          <w:color w:val="4A5A78"/>
          <w:sz w:val="20"/>
          <w:szCs w:val="20"/>
        </w:rPr>
        <w:t xml:space="preserve"> you do not need to open the Excel file or calculate anything by hand.</w:t>
      </w:r>
    </w:p>
    <w:p>
      <w:pPr>
        <w:spacing w:after="0" w:line="70" w:lineRule="exact"/>
      </w:pPr>
    </w:p>
    <w:p w14:paraId="22D5D43A" w14:textId="77777777" w:rsidR="0048278B" w:rsidRDefault="00000000">
      <w:pPr>
        <w:keepLines/>
        <w:spacing w:after="160" w:line="276" w:lineRule="auto"/>
      </w:pPr>
      <w:r>
        <w:rPr>
          <w:rFonts w:eastAsia="Calibri"/>
          <w:b/>
          <w:bCs/>
        </w:rPr>
        <w:t xml:space="preserve">How to use this workbook:</w:t>
      </w:r>
      <w:r>
        <w:rPr>
          <w:rFonts w:eastAsia="Calibri"/>
        </w:rPr>
        <w:t xml:space="preserve"> Each step tells you which tab of the tool to open and what to choose. Use the same SOE and the year </w:t>
      </w:r>
      <w:r>
        <w:rPr>
          <w:rFonts w:eastAsia="Calibri"/>
          <w:b/>
          <w:bCs/>
        </w:rPr>
        <w:t xml:space="preserve">2024</w:t>
      </w:r>
      <w:r>
        <w:rPr>
          <w:rFonts w:eastAsia="Calibri"/>
        </w:rPr>
        <w:t xml:space="preserve"> throughout. Write values as the tool shows them (</w:t>
      </w:r>
      <w:r>
        <w:rPr>
          <w:rFonts w:eastAsia="Calibri"/>
          <w:b/>
          <w:bCs/>
        </w:rPr>
        <w:t xml:space="preserve">bn</w:t>
      </w:r>
      <w:r>
        <w:rPr>
          <w:rFonts w:eastAsia="Calibri"/>
        </w:rPr>
        <w:t xml:space="preserve"> = billions, </w:t>
      </w:r>
      <w:r>
        <w:rPr>
          <w:rFonts w:eastAsia="Calibri"/>
          <w:b/>
          <w:bCs/>
        </w:rPr>
        <w:t xml:space="preserve">m</w:t>
      </w:r>
      <w:r>
        <w:rPr>
          <w:rFonts w:eastAsia="Calibri"/>
        </w:rPr>
        <w:t xml:space="preserve"> = millions of FCFA), then answer the questions in a few sentences.</w:t>
      </w:r>
    </w:p>
    <w:p w14:paraId="003B682D" w14:textId="77777777" w:rsidR="0048278B" w:rsidRDefault="00000000">
      <w:pPr>
        <w:keepNext/>
        <w:keepLines/>
        <w:pBdr>
          <w:top w:val="single" w:sz="4" w:space="5" w:color="1B2A47"/>
          <w:left w:val="single" w:sz="4" w:space="8" w:color="1B2A47"/>
          <w:bottom w:val="single" w:sz="12" w:space="5" w:color="D9B45A"/>
          <w:right w:val="single" w:sz="4" w:space="8" w:color="1B2A47"/>
        </w:pBdr>
        <w:shd w:val="clear" w:color="auto" w:fill="1B2A47"/>
        <w:spacing w:before="160" w:after="90" w:line="264" w:lineRule="auto"/>
        <w:ind w:left="180" w:right="180"/>
      </w:pPr>
      <w:r>
        <w:rPr>
          <w:rFonts w:eastAsia="Calibri"/>
          <w:color w:val="D9B45A"/>
          <w:sz w:val="23"/>
          <w:szCs w:val="23"/>
        </w:rPr>
        <w:t xml:space="preserve">THE SETTING</w:t>
      </w:r>
    </w:p>
    <w:p w14:paraId="0218352F" w14:textId="35288744" w:rsidR="0048278B" w:rsidRDefault="00000000">
      <w:pPr>
        <w:keepLines/>
        <w:spacing w:after="120" w:line="276" w:lineRule="auto"/>
      </w:pPr>
      <w:r>
        <w:rPr>
          <w:rFonts w:eastAsia="Calibri"/>
        </w:rPr>
        <w:t xml:space="preserve">The 8 SOEs in the practice file are invented. They all belong to the same fictitious country, which has a </w:t>
      </w:r>
      <w:r>
        <w:rPr>
          <w:rFonts w:eastAsia="Calibri"/>
          <w:b/>
          <w:bCs/>
        </w:rPr>
        <w:t xml:space="preserve">nominal GDP of 8,000 bn FCFA</w:t>
      </w:r>
      <w:r>
        <w:rPr>
          <w:rFonts w:eastAsia="Calibri"/>
        </w:rPr>
        <w:t xml:space="preserve"> (2024) and a </w:t>
      </w:r>
      <w:r>
        <w:rPr>
          <w:rFonts w:eastAsia="Calibri"/>
          <w:b/>
          <w:bCs/>
        </w:rPr>
        <w:t xml:space="preserve">BB+ sovereign credit rating</w:t>
      </w:r>
      <w:r>
        <w:rPr>
          <w:rFonts w:eastAsia="Calibri"/>
        </w:rPr>
        <w:t xml:space="preserve">. The government owns all eight, supports several of them with tariff compensation, subsidies, grants and loan guarantees, and has made clear that it would not let any of them fail.</w:t>
      </w:r>
    </w:p>
    <w:p w14:paraId="75BCED57" w14:textId="72826382" w:rsidR="0048278B" w:rsidRDefault="00000000">
      <w:pPr>
        <w:keepLines/>
        <w:pBdr>
          <w:top w:val="single" w:sz="4" w:space="6" w:color="E4F1EC"/>
          <w:left w:val="single" w:sz="36" w:space="10" w:color="3A7D5C"/>
          <w:bottom w:val="single" w:sz="4" w:space="6" w:color="E4F1EC"/>
          <w:right w:val="single" w:sz="4" w:space="8" w:color="E4F1EC"/>
        </w:pBdr>
        <w:shd w:val="clear" w:color="auto" w:fill="E4F1EC"/>
        <w:spacing w:line="270" w:lineRule="auto"/>
        <w:ind w:left="300" w:right="170"/>
      </w:pPr>
      <w:r>
        <w:rPr>
          <w:rFonts w:eastAsia="Calibri"/>
          <w:i/>
          <w:iCs/>
          <w:color w:val="4A5A78"/>
          <w:sz w:val="20"/>
          <w:szCs w:val="20"/>
        </w:rPr>
        <w:t xml:space="preserve">Your task: Using the SOE tool, assess how financially healthy your SOE is and what it could cost the government - under current conditions and under a fuel price shock - and brief the Minister of Finance.</w:t>
      </w:r>
    </w:p>
    <w:p w14:paraId="003B682D" w14:textId="77777777" w:rsidR="0048278B" w:rsidRDefault="00000000">
      <w:pPr>
        <w:keepNext/>
        <w:keepLines/>
        <w:pBdr>
          <w:top w:val="single" w:sz="4" w:space="5" w:color="1B2A47"/>
          <w:left w:val="single" w:sz="4" w:space="8" w:color="1B2A47"/>
          <w:bottom w:val="single" w:sz="12" w:space="5" w:color="D9B45A"/>
          <w:right w:val="single" w:sz="4" w:space="8" w:color="1B2A47"/>
        </w:pBdr>
        <w:shd w:val="clear" w:color="auto" w:fill="1B2A47"/>
        <w:spacing w:before="160" w:after="90" w:line="264" w:lineRule="auto"/>
        <w:ind w:left="180" w:right="180"/>
      </w:pPr>
      <w:r>
        <w:rPr>
          <w:rFonts w:eastAsia="Calibri"/>
          <w:color w:val="D9B45A"/>
          <w:sz w:val="23"/>
          <w:szCs w:val="23"/>
        </w:rPr>
        <w:t xml:space="preserve">SETUP: LOAD THE DATA AND CHOOSE YOUR SOE  (5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60"/>
        <w:gridCol w:w="3300"/>
      </w:tblGrid>
      <w:tr w:rsidR="0048278B" w14:paraId="1AB688DC" w14:textId="77777777">
        <w:trPr>
          <w:cantSplit/>
        </w:trPr>
        <w:tc>
          <w:tcPr>
            <w:tcW w:w="6060" w:type="dxa"/>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p w14:paraId="09E4116D" w14:textId="77777777" w:rsidR="0048278B" w:rsidRDefault="00000000">
            <w:pPr>
              <w:keepNext/>
              <w:keepLines/>
              <w:spacing w:before="0" w:after="50" w:line="276" w:lineRule="auto"/>
            </w:pPr>
            <w:r>
              <w:rPr>
                <w:rFonts w:eastAsia="Calibri"/>
                <w:color w:val="1B2A47"/>
                <w:sz w:val="24"/>
                <w:szCs w:val="24"/>
              </w:rPr>
              <w:t xml:space="preserve">Step 1: Download and load the practice data</w:t>
            </w:r>
          </w:p>
          <w:p w14:paraId="0D7D2990" w14:textId="77777777" w:rsidR="0048278B" w:rsidRDefault="00000000">
            <w:pPr>
              <w:keepLines/>
              <w:spacing w:after="70" w:line="276" w:lineRule="auto"/>
            </w:pPr>
            <w:r>
              <w:rPr>
                <w:rFonts w:eastAsia="Calibri"/>
              </w:rPr>
              <w:t xml:space="preserve">On the </w:t>
            </w:r>
            <w:r>
              <w:rPr>
                <w:rFonts w:eastAsia="Calibri"/>
                <w:b/>
                <w:bCs/>
              </w:rPr>
              <w:t xml:space="preserve">Home</w:t>
            </w:r>
            <w:r>
              <w:rPr>
                <w:rFonts w:eastAsia="Calibri"/>
              </w:rPr>
              <w:t xml:space="preserve"> tab, under </w:t>
            </w:r>
            <w:r>
              <w:rPr>
                <w:rFonts w:eastAsia="Calibri"/>
                <w:b/>
                <w:bCs/>
              </w:rPr>
              <w:t xml:space="preserve">Load data</w:t>
            </w:r>
            <w:r>
              <w:rPr>
                <w:rFonts w:eastAsia="Calibri"/>
              </w:rPr>
              <w:t xml:space="preserve">, find </w:t>
            </w:r>
            <w:r>
              <w:rPr>
                <w:rFonts w:eastAsia="Calibri"/>
                <w:b/>
                <w:bCs/>
              </w:rPr>
              <w:t xml:space="preserve">Practice files: WB-KDIs training</w:t>
            </w:r>
            <w:r>
              <w:rPr>
                <w:rFonts w:eastAsia="Calibri"/>
              </w:rPr>
              <w:t xml:space="preserve"> and click </w:t>
            </w:r>
            <w:r>
              <w:rPr>
                <w:rFonts w:eastAsia="Calibri"/>
                <w:b/>
                <w:bCs/>
              </w:rPr>
              <w:t xml:space="preserve">⬇ Excel data (.xlsx)</w:t>
            </w:r>
            <w:r>
              <w:rPr>
                <w:rFonts w:eastAsia="Calibri"/>
              </w:rPr>
              <w:t xml:space="preserve"> (</w:t>
            </w:r>
            <w:r>
              <w:rPr>
                <w:rFonts w:eastAsia="Calibri"/>
                <w:b/>
                <w:bCs/>
              </w:rPr>
              <w:t xml:space="preserve">⬇ Workbook (Word)</w:t>
            </w:r>
            <w:r>
              <w:rPr>
                <w:rFonts w:eastAsia="Calibri"/>
              </w:rPr>
              <w:t xml:space="preserve"> gives you this workbook). Drag the file onto </w:t>
            </w:r>
            <w:r>
              <w:rPr>
                <w:rFonts w:eastAsia="Calibri"/>
                <w:b/>
                <w:bCs/>
              </w:rPr>
              <w:t xml:space="preserve">Drop a CSV or Excel file here</w:t>
            </w:r>
            <w:r>
              <w:rPr>
                <w:rFonts w:eastAsia="Calibri"/>
              </w:rPr>
              <w:t xml:space="preserve">, or click </w:t>
            </w:r>
            <w:r>
              <w:rPr>
                <w:rFonts w:eastAsia="Calibri"/>
                <w:b/>
                <w:bCs/>
              </w:rPr>
              <w:t xml:space="preserve">Choose a file</w:t>
            </w:r>
            <w:r>
              <w:rPr>
                <w:rFonts w:eastAsia="Calibri"/>
              </w:rPr>
              <w:t xml:space="preserve">. The tool confirms it with a green line: </w:t>
            </w:r>
            <w:r>
              <w:rPr>
                <w:rFonts w:eastAsia="Calibri"/>
                <w:b/>
                <w:bCs/>
              </w:rPr>
              <w:t xml:space="preserve">✓ Loaded 8 SOEs, 80 SOE-year rows from WB-KDIs_SOE_training_data_2015-2024.xlsx</w:t>
            </w:r>
            <w:r>
              <w:rPr>
                <w:rFonts w:eastAsia="Calibri"/>
              </w:rPr>
              <w:t xml:space="preserve">.</w:t>
            </w:r>
          </w:p>
          <w:p w14:paraId="09E4116D" w14:textId="77777777" w:rsidR="0048278B" w:rsidRDefault="00000000">
            <w:pPr>
              <w:keepNext/>
              <w:keepLines/>
              <w:spacing w:before="140" w:after="50" w:line="276" w:lineRule="auto"/>
            </w:pPr>
            <w:r>
              <w:rPr>
                <w:rFonts w:eastAsia="Calibri"/>
                <w:color w:val="1B2A47"/>
                <w:sz w:val="24"/>
                <w:szCs w:val="24"/>
              </w:rPr>
              <w:t xml:space="preserve">Step 2: Choose your SOE</w:t>
            </w:r>
          </w:p>
          <w:p w14:paraId="0D7D2990" w14:textId="77777777" w:rsidR="0048278B" w:rsidRDefault="00000000">
            <w:pPr>
              <w:keepLines/>
              <w:spacing w:after="70" w:line="276" w:lineRule="auto"/>
            </w:pPr>
            <w:r>
              <w:rPr>
                <w:rFonts w:eastAsia="Calibri"/>
              </w:rPr>
              <w:t xml:space="preserve">Pick one of </w:t>
            </w:r>
            <w:r>
              <w:rPr>
                <w:rFonts w:eastAsia="Calibri"/>
                <w:b/>
                <w:bCs/>
              </w:rPr>
              <w:t xml:space="preserve">SOE A</w:t>
            </w:r>
            <w:r>
              <w:rPr>
                <w:rFonts w:eastAsia="Calibri"/>
              </w:rPr>
              <w:t xml:space="preserve"> to </w:t>
            </w:r>
            <w:r>
              <w:rPr>
                <w:rFonts w:eastAsia="Calibri"/>
                <w:b/>
                <w:bCs/>
              </w:rPr>
              <w:t xml:space="preserve">SOE H</w:t>
            </w:r>
            <w:r>
              <w:rPr>
                <w:rFonts w:eastAsia="Calibri"/>
              </w:rPr>
              <w:t xml:space="preserve">, or the one your facilitator gives you, and write it and its sector on the cover. Keep the </w:t>
            </w:r>
            <w:r>
              <w:rPr>
                <w:rFonts w:eastAsia="Calibri"/>
                <w:b/>
                <w:bCs/>
              </w:rPr>
              <w:t xml:space="preserve">Sector</w:t>
            </w:r>
            <w:r>
              <w:rPr>
                <w:rFonts w:eastAsia="Calibri"/>
              </w:rPr>
              <w:t xml:space="preserve"> bar at the top of the tool on </w:t>
            </w:r>
            <w:r>
              <w:rPr>
                <w:rFonts w:eastAsia="Calibri"/>
                <w:b/>
                <w:bCs/>
              </w:rPr>
              <w:t xml:space="preserve">All</w:t>
            </w:r>
            <w:r>
              <w:rPr>
                <w:rFonts w:eastAsia="Calibri"/>
              </w:rPr>
              <w:t xml:space="preserve">.</w:t>
            </w:r>
          </w:p>
        </w:tc>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ABED01C" w14:textId="77777777" w:rsidR="0048278B" w:rsidRDefault="00000000">
            <w:pPr>
              <w:spacing w:before="60" w:after="60"/>
              <w:jc w:val="center"/>
            </w:pPr>
            <w:r>
              <w:drawing>
                <wp:inline xmlns:a="http://schemas.openxmlformats.org/drawingml/2006/main" xmlns:pic="http://schemas.openxmlformats.org/drawingml/2006/picture">
                  <wp:extent cx="2011680" cy="1139622"/>
                  <wp:docPr id="1" name="Picture 1"/>
                  <wp:cNvGraphicFramePr>
                    <a:graphicFrameLocks noChangeAspect="1"/>
                  </wp:cNvGraphicFramePr>
                  <a:graphic>
                    <a:graphicData uri="http://schemas.openxmlformats.org/drawingml/2006/picture">
                      <pic:pic>
                        <pic:nvPicPr>
                          <pic:cNvPr id="0" name="wb_load_crop.png"/>
                          <pic:cNvPicPr/>
                        </pic:nvPicPr>
                        <pic:blipFill>
                          <a:blip r:embed="rId17"/>
                          <a:stretch>
                            <a:fillRect/>
                          </a:stretch>
                        </pic:blipFill>
                        <pic:spPr>
                          <a:xfrm>
                            <a:off x="0" y="0"/>
                            <a:ext cx="2011680" cy="1139622"/>
                          </a:xfrm>
                          <a:prstGeom prst="rect"/>
                        </pic:spPr>
                      </pic:pic>
                    </a:graphicData>
                  </a:graphic>
                </wp:inline>
              </w:drawing>
            </w:r>
          </w:p>
        </w:tc>
      </w:tr>
    </w:tbl>
    <w:p w14:paraId="003B682D" w14:textId="77777777" w:rsidR="0048278B" w:rsidRDefault="00000000">
      <w:pPr>
        <w:keepNext/>
        <w:keepLines/>
        <w:pBdr>
          <w:top w:val="single" w:sz="4" w:space="5" w:color="1B2A47"/>
          <w:left w:val="single" w:sz="4" w:space="8" w:color="1B2A47"/>
          <w:bottom w:val="single" w:sz="12" w:space="5" w:color="D9B45A"/>
          <w:right w:val="single" w:sz="4" w:space="8" w:color="1B2A47"/>
        </w:pBdr>
        <w:shd w:val="clear" w:color="auto" w:fill="1B2A47"/>
        <w:spacing w:before="160" w:after="90" w:line="264" w:lineRule="auto"/>
        <w:ind w:left="180" w:right="180"/>
      </w:pPr>
      <w:r>
        <w:rPr>
          <w:rFonts w:eastAsia="Calibri"/>
          <w:color w:val="D9B45A"/>
          <w:sz w:val="23"/>
          <w:szCs w:val="23"/>
        </w:rPr>
        <w:t xml:space="preserve">MODULE 1: KPI ASSESSMENT  (6 MINUTES)</w:t>
      </w:r>
    </w:p>
    <w:p w14:paraId="09E4116D" w14:textId="77777777" w:rsidR="0048278B" w:rsidRDefault="00000000">
      <w:pPr>
        <w:keepNext/>
        <w:keepLines/>
        <w:spacing w:before="140" w:after="50" w:line="276" w:lineRule="auto"/>
      </w:pPr>
      <w:r>
        <w:rPr>
          <w:rFonts w:eastAsia="Calibri"/>
          <w:color w:val="1B2A47"/>
          <w:sz w:val="24"/>
          <w:szCs w:val="24"/>
        </w:rPr>
        <w:t xml:space="preserve">Step 3: Open the KPI Dashboard</w:t>
      </w:r>
    </w:p>
    <w:p w14:paraId="0D7D2990" w14:textId="77777777" w:rsidR="0048278B" w:rsidRDefault="00000000">
      <w:pPr>
        <w:keepLines/>
        <w:spacing w:after="70" w:line="276" w:lineRule="auto"/>
      </w:pPr>
      <w:r>
        <w:rPr>
          <w:rFonts w:eastAsia="Calibri"/>
        </w:rPr>
        <w:t xml:space="preserve">Under </w:t>
      </w:r>
      <w:r>
        <w:rPr>
          <w:rFonts w:eastAsia="Calibri"/>
          <w:b/>
          <w:bCs/>
        </w:rPr>
        <w:t xml:space="preserve">View</w:t>
      </w:r>
      <w:r>
        <w:rPr>
          <w:rFonts w:eastAsia="Calibri"/>
        </w:rPr>
        <w:t xml:space="preserve">, keep </w:t>
      </w:r>
      <w:r>
        <w:rPr>
          <w:rFonts w:eastAsia="Calibri"/>
          <w:b/>
          <w:bCs/>
        </w:rPr>
        <w:t xml:space="preserve">Trend for one SOE</w:t>
      </w:r>
      <w:r>
        <w:rPr>
          <w:rFonts w:eastAsia="Calibri"/>
        </w:rPr>
        <w:t xml:space="preserve"> and choose your SOE. Each of the four columns (Profitability, Liquidity, Solvency, Fiscal dependency) has a </w:t>
      </w:r>
      <w:r>
        <w:rPr>
          <w:rFonts w:eastAsia="Calibri"/>
          <w:b/>
          <w:bCs/>
        </w:rPr>
        <w:t xml:space="preserve">Ratio</w:t>
      </w:r>
      <w:r>
        <w:rPr>
          <w:rFonts w:eastAsia="Calibri"/>
        </w:rPr>
        <w:t xml:space="preserve"> dropdown. The blue dot is 2024, the red dashed line the alert cutoff, the green dashed line the good cutoff.</w:t>
      </w:r>
    </w:p>
    <w:p w14:paraId="09E4116D" w14:textId="77777777" w:rsidR="0048278B" w:rsidRDefault="00000000">
      <w:pPr>
        <w:keepNext/>
        <w:keepLines/>
        <w:spacing w:before="140" w:after="50" w:line="276" w:lineRule="auto"/>
      </w:pPr>
      <w:r>
        <w:rPr>
          <w:rFonts w:eastAsia="Calibri"/>
          <w:color w:val="1B2A47"/>
          <w:sz w:val="24"/>
          <w:szCs w:val="24"/>
        </w:rPr>
        <w:t xml:space="preserve">Step 4: Assess your SOE's performance</w:t>
      </w:r>
    </w:p>
    <w:p w14:paraId="0D7D2990" w14:textId="77777777" w:rsidR="0048278B" w:rsidRDefault="00000000">
      <w:pPr>
        <w:keepLines/>
        <w:spacing w:after="70" w:line="276" w:lineRule="auto"/>
      </w:pPr>
      <w:r>
        <w:rPr>
          <w:rFonts w:eastAsia="Calibri"/>
        </w:rPr>
        <w:t xml:space="preserve">Using the tool, assess your SOE from the </w:t>
      </w:r>
      <w:r>
        <w:rPr>
          <w:rFonts w:eastAsia="Calibri"/>
          <w:b/>
          <w:bCs/>
        </w:rPr>
        <w:t xml:space="preserve">profitability</w:t>
      </w:r>
      <w:r>
        <w:rPr>
          <w:rFonts w:eastAsia="Calibri"/>
        </w:rPr>
        <w:t xml:space="preserve">, </w:t>
      </w:r>
      <w:r>
        <w:rPr>
          <w:rFonts w:eastAsia="Calibri"/>
          <w:b/>
          <w:bCs/>
        </w:rPr>
        <w:t xml:space="preserve">liquidity</w:t>
      </w:r>
      <w:r>
        <w:rPr>
          <w:rFonts w:eastAsia="Calibri"/>
        </w:rPr>
        <w:t xml:space="preserve"> and </w:t>
      </w:r>
      <w:r>
        <w:rPr>
          <w:rFonts w:eastAsia="Calibri"/>
          <w:b/>
          <w:bCs/>
        </w:rPr>
        <w:t xml:space="preserve">solvency</w:t>
      </w:r>
      <w:r>
        <w:rPr>
          <w:rFonts w:eastAsia="Calibri"/>
        </w:rPr>
        <w:t xml:space="preserve"> perspective, and its </w:t>
      </w:r>
      <w:r>
        <w:rPr>
          <w:rFonts w:eastAsia="Calibri"/>
          <w:b/>
          <w:bCs/>
        </w:rPr>
        <w:t xml:space="preserve">dependence on the government</w:t>
      </w:r>
      <w:r>
        <w:rPr>
          <w:rFonts w:eastAsia="Calibri"/>
        </w:rPr>
        <w:t xml:space="preserve">. Pick at most three KPIs in each category (for profitability, for example, return on assets, return on equity and cost recovery) and note their 2024 value and whether they are in alert, watch or good.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278B" w14:paraId="6060BD18" w14:textId="77777777">
        <w:trPr>
          <w:cantSplit/>
        </w:trPr>
        <w:tc>
          <w:tcPr>
            <w:tcW w:w="9360" w:type="dxa"/>
            <w:tcBorders>
              <w:top w:val="single" w:sz="6" w:space="0" w:color="D9A93B"/>
              <w:left w:val="single" w:sz="6" w:space="0" w:color="D9A93B"/>
              <w:bottom w:val="single" w:sz="6" w:space="0" w:color="D9A93B"/>
              <w:right w:val="single" w:sz="6" w:space="0" w:color="D9A93B"/>
            </w:tcBorders>
            <w:shd w:val="clear" w:color="auto" w:fill="FFF7E6"/>
            <w:tcMar>
              <w:top w:w="100" w:type="dxa"/>
              <w:left w:w="180" w:type="dxa"/>
              <w:bottom w:w="100" w:type="dxa"/>
              <w:right w:w="180" w:type="dxa"/>
            </w:tcMar>
          </w:tcPr>
          <w:p w14:paraId="733B9E8C" w14:textId="77777777" w:rsidR="0048278B" w:rsidRDefault="00000000">
            <w:pPr>
              <w:keepLines/>
              <w:spacing w:after="60" w:line="290" w:lineRule="auto"/>
            </w:pPr>
            <w:r>
              <w:rPr>
                <w:rFonts w:eastAsia="Calibri"/>
                <w:b/>
                <w:bCs/>
                <w:i/>
                <w:iCs/>
                <w:color w:val="4A5A78"/>
                <w:sz w:val="20"/>
                <w:szCs w:val="20"/>
              </w:rPr>
              <w:t xml:space="preserve">Profitability: ______________________________________________________________</w:t>
            </w:r>
          </w:p>
          <w:p w14:paraId="733B9E8C" w14:textId="77777777" w:rsidR="0048278B" w:rsidRDefault="00000000">
            <w:pPr>
              <w:keepLines/>
              <w:spacing w:after="60" w:line="290" w:lineRule="auto"/>
            </w:pPr>
            <w:r>
              <w:rPr>
                <w:rFonts w:eastAsia="Calibri"/>
                <w:b/>
                <w:bCs/>
                <w:i/>
                <w:iCs/>
                <w:color w:val="4A5A78"/>
                <w:sz w:val="20"/>
                <w:szCs w:val="20"/>
              </w:rPr>
              <w:t xml:space="preserve">Liquidity: ________________________________________________________________</w:t>
            </w:r>
          </w:p>
          <w:p w14:paraId="733B9E8C" w14:textId="77777777" w:rsidR="0048278B" w:rsidRDefault="00000000">
            <w:pPr>
              <w:keepLines/>
              <w:spacing w:after="60" w:line="290" w:lineRule="auto"/>
            </w:pPr>
            <w:r>
              <w:rPr>
                <w:rFonts w:eastAsia="Calibri"/>
                <w:b/>
                <w:bCs/>
                <w:i/>
                <w:iCs/>
                <w:color w:val="4A5A78"/>
                <w:sz w:val="20"/>
                <w:szCs w:val="20"/>
              </w:rPr>
              <w:t xml:space="preserve">Solvency: _________________________________________________________________</w:t>
            </w:r>
          </w:p>
          <w:p w14:paraId="733B9E8C" w14:textId="77777777" w:rsidR="0048278B" w:rsidRDefault="00000000">
            <w:pPr>
              <w:keepLines/>
              <w:spacing w:after="60" w:line="290" w:lineRule="auto"/>
            </w:pPr>
            <w:r>
              <w:rPr>
                <w:rFonts w:eastAsia="Calibri"/>
                <w:b/>
                <w:bCs/>
                <w:i/>
                <w:iCs/>
                <w:color w:val="4A5A78"/>
                <w:sz w:val="20"/>
                <w:szCs w:val="20"/>
              </w:rPr>
              <w:t xml:space="preserve">Fiscal dependency: _________________________________________________________</w:t>
            </w:r>
          </w:p>
          <w:p w14:paraId="733B9E8C" w14:textId="77777777" w:rsidR="0048278B" w:rsidRDefault="00000000">
            <w:pPr>
              <w:keepLines/>
              <w:spacing w:after="20" w:line="290" w:lineRule="auto"/>
            </w:pPr>
            <w:r>
              <w:rPr>
                <w:rFonts w:eastAsia="Calibri"/>
                <w:b/>
                <w:bCs/>
                <w:i/>
                <w:iCs/>
                <w:color w:val="4A5A78"/>
                <w:sz w:val="20"/>
                <w:szCs w:val="20"/>
              </w:rPr>
              <w:t xml:space="preserve">Number of ratios in alert (View → Full scorecard, your SOE's row, last column): ______ of 15</w:t>
            </w:r>
          </w:p>
        </w:tc>
      </w:tr>
    </w:tbl>
    <w:p>
      <w:pPr>
        <w:spacing w:after="0" w:line="70" w:lineRule="exac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278B" w14:paraId="161DE6F5" w14:textId="77777777">
        <w:trPr>
          <w:cantSplit/>
        </w:trPr>
        <w:tc>
          <w:tcPr>
            <w:tcW w:w="9360" w:type="dxa"/>
            <w:tcBorders>
              <w:top w:val="single" w:sz="6" w:space="0" w:color="D9A93B"/>
              <w:left w:val="single" w:sz="6" w:space="0" w:color="D9A93B"/>
              <w:bottom w:val="single" w:sz="6" w:space="0" w:color="D9A93B"/>
              <w:right w:val="single" w:sz="6" w:space="0" w:color="D9A93B"/>
            </w:tcBorders>
            <w:shd w:val="clear" w:color="auto" w:fill="FFF7E6"/>
            <w:tcMar>
              <w:top w:w="120" w:type="dxa"/>
              <w:left w:w="180" w:type="dxa"/>
              <w:bottom w:w="120" w:type="dxa"/>
              <w:right w:w="180" w:type="dxa"/>
            </w:tcMar>
          </w:tcPr>
          <w:p w14:paraId="13A16222" w14:textId="77777777" w:rsidR="0048278B" w:rsidRDefault="00000000">
            <w:pPr>
              <w:keepLines/>
              <w:spacing w:after="40" w:line="276" w:lineRule="auto"/>
            </w:pPr>
            <w:r>
              <w:rPr>
                <w:rFonts w:eastAsia="Calibri"/>
                <w:b/>
                <w:bCs/>
                <w:color w:val="B8902F"/>
              </w:rPr>
              <w:t xml:space="preserve">Q1.  </w:t>
            </w:r>
            <w:r>
              <w:rPr>
                <w:rFonts w:eastAsia="Calibri"/>
                <w:color w:val="4A5A78"/>
              </w:rPr>
              <w:t xml:space="preserve">Which single KPI concerns you most as a signal of near-term financial distress for your SOE, and why? If no ratio is in alert, which one would you keep an eye on?</w:t>
            </w:r>
          </w:p>
          <w:p w14:paraId="313E714B" w14:textId="77777777" w:rsidR="0048278B" w:rsidRDefault="0048278B">
            <w:pPr>
              <w:spacing w:line="264" w:lineRule="auto"/>
            </w:pPr>
          </w:p>
          <w:p w14:paraId="313E714B" w14:textId="77777777" w:rsidR="0048278B" w:rsidRDefault="0048278B">
            <w:pPr>
              <w:spacing w:line="264" w:lineRule="auto"/>
            </w:pPr>
          </w:p>
          <w:p w14:paraId="69DE743B" w14:textId="77777777" w:rsidR="0048278B" w:rsidRDefault="0048278B">
            <w:pPr>
              <w:pBdr>
                <w:bottom w:val="single" w:sz="4" w:space="1" w:color="C7C2B4"/>
              </w:pBdr>
              <w:spacing w:line="200" w:lineRule="auto"/>
            </w:pPr>
          </w:p>
        </w:tc>
      </w:tr>
    </w:tbl>
    <w:p>
      <w:pPr>
        <w:spacing w:after="0" w:line="70" w:lineRule="exac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278B" w14:paraId="1D8EED20" w14:textId="77777777">
        <w:trPr>
          <w:cantSplit/>
        </w:trPr>
        <w:tc>
          <w:tcPr>
            <w:tcW w:w="9360" w:type="dxa"/>
            <w:tcBorders>
              <w:top w:val="single" w:sz="6" w:space="0" w:color="3A7D5C"/>
              <w:left w:val="single" w:sz="6" w:space="0" w:color="3A7D5C"/>
              <w:bottom w:val="single" w:sz="6" w:space="0" w:color="3A7D5C"/>
              <w:right w:val="single" w:sz="6" w:space="0" w:color="3A7D5C"/>
            </w:tcBorders>
            <w:shd w:val="clear" w:color="auto" w:fill="E4F1EC"/>
            <w:tcMar>
              <w:top w:w="120" w:type="dxa"/>
              <w:left w:w="180" w:type="dxa"/>
              <w:bottom w:w="120" w:type="dxa"/>
              <w:right w:w="180" w:type="dxa"/>
            </w:tcMar>
          </w:tcPr>
          <w:p w14:paraId="3AB42B42" w14:textId="0B4FBA49" w:rsidR="0048278B" w:rsidRDefault="00000000">
            <w:pPr>
              <w:keepLines/>
              <w:spacing w:after="40" w:line="276" w:lineRule="auto"/>
            </w:pPr>
            <w:r>
              <w:rPr>
                <w:rFonts w:eastAsia="Calibri"/>
                <w:b/>
                <w:bCs/>
                <w:color w:val="2E6B4E"/>
              </w:rPr>
              <w:t xml:space="preserve">Q2.  </w:t>
            </w:r>
            <w:r>
              <w:rPr>
                <w:rFonts w:eastAsia="Calibri"/>
                <w:color w:val="4A5A78"/>
              </w:rPr>
              <w:t xml:space="preserve">Look at interest coverage (EBIT ÷ interest expense). What does your SOE's value mean in plain terms for its ability to pay its interest? What would a value below 1.0× mean?</w:t>
            </w:r>
          </w:p>
          <w:p w14:paraId="2CEC60B7" w14:textId="77777777" w:rsidR="0048278B" w:rsidRDefault="0048278B">
            <w:pPr>
              <w:spacing w:line="264" w:lineRule="auto"/>
            </w:pPr>
          </w:p>
          <w:p w14:paraId="2CEC60B7" w14:textId="77777777" w:rsidR="0048278B" w:rsidRDefault="0048278B">
            <w:pPr>
              <w:spacing w:line="264" w:lineRule="auto"/>
            </w:pPr>
          </w:p>
          <w:p w14:paraId="679D6DEC" w14:textId="77777777" w:rsidR="0048278B" w:rsidRDefault="0048278B">
            <w:pPr>
              <w:pBdr>
                <w:bottom w:val="single" w:sz="4" w:space="1" w:color="C7C2B4"/>
              </w:pBdr>
              <w:spacing w:line="200" w:lineRule="auto"/>
            </w:pPr>
          </w:p>
        </w:tc>
      </w:tr>
    </w:tbl>
    <w:p w14:paraId="003B682D" w14:textId="77777777" w:rsidR="0048278B" w:rsidRDefault="00000000">
      <w:pPr>
        <w:keepNext/>
        <w:keepLines/>
        <w:pBdr>
          <w:top w:val="single" w:sz="4" w:space="5" w:color="1B2A47"/>
          <w:left w:val="single" w:sz="4" w:space="8" w:color="1B2A47"/>
          <w:bottom w:val="single" w:sz="12" w:space="5" w:color="D9B45A"/>
          <w:right w:val="single" w:sz="4" w:space="8" w:color="1B2A47"/>
        </w:pBdr>
        <w:shd w:val="clear" w:color="auto" w:fill="1B2A47"/>
        <w:spacing w:before="160" w:after="90" w:line="264" w:lineRule="auto"/>
        <w:ind w:left="180" w:right="180"/>
      </w:pPr>
      <w:r>
        <w:rPr>
          <w:rFonts w:eastAsia="Calibri"/>
          <w:color w:val="D9B45A"/>
          <w:sz w:val="23"/>
          <w:szCs w:val="23"/>
        </w:rPr>
        <w:t xml:space="preserve">MODULE 2: DISTRESS SCORE - ALTMAN Z″  (6 MINUTES)</w:t>
      </w:r>
    </w:p>
    <w:p w14:paraId="09E4116D" w14:textId="77777777" w:rsidR="0048278B" w:rsidRDefault="00000000">
      <w:pPr>
        <w:keepNext/>
        <w:keepLines/>
        <w:spacing w:before="140" w:after="50" w:line="276" w:lineRule="auto"/>
      </w:pPr>
      <w:r>
        <w:rPr>
          <w:rFonts w:eastAsia="Calibri"/>
          <w:color w:val="1B2A47"/>
          <w:sz w:val="24"/>
          <w:szCs w:val="24"/>
        </w:rPr>
        <w:t xml:space="preserve">Step 5: Open the Distress Indicator</w:t>
      </w:r>
    </w:p>
    <w:p w14:paraId="0D7D2990" w14:textId="77777777" w:rsidR="0048278B" w:rsidRDefault="00000000">
      <w:pPr>
        <w:keepLines/>
        <w:spacing w:after="70" w:line="276" w:lineRule="auto"/>
      </w:pPr>
      <w:r>
        <w:rPr>
          <w:rFonts w:eastAsia="Calibri"/>
        </w:rPr>
        <w:t xml:space="preserve">Under </w:t>
      </w:r>
      <w:r>
        <w:rPr>
          <w:rFonts w:eastAsia="Calibri"/>
          <w:b/>
          <w:bCs/>
        </w:rPr>
        <w:t xml:space="preserve">View</w:t>
      </w:r>
      <w:r>
        <w:rPr>
          <w:rFonts w:eastAsia="Calibri"/>
        </w:rPr>
        <w:t xml:space="preserve">, keep </w:t>
      </w:r>
      <w:r>
        <w:rPr>
          <w:rFonts w:eastAsia="Calibri"/>
          <w:b/>
          <w:bCs/>
        </w:rPr>
        <w:t xml:space="preserve">Components for one SOE</w:t>
      </w:r>
      <w:r>
        <w:rPr>
          <w:rFonts w:eastAsia="Calibri"/>
        </w:rPr>
        <w:t xml:space="preserve"> and choose your SOE. The four boxes at the top change with the SOE you choose: whether it is in distress, its </w:t>
      </w:r>
      <w:r>
        <w:rPr>
          <w:rFonts w:eastAsia="Calibri"/>
          <w:b/>
          <w:bCs/>
        </w:rPr>
        <w:t xml:space="preserve">distress score (Altman Z″)</w:t>
      </w:r>
      <w:r>
        <w:rPr>
          <w:rFonts w:eastAsia="Calibri"/>
        </w:rPr>
        <w:t xml:space="preserve">, its </w:t>
      </w:r>
      <w:r>
        <w:rPr>
          <w:rFonts w:eastAsia="Calibri"/>
          <w:b/>
          <w:bCs/>
        </w:rPr>
        <w:t xml:space="preserve">shadow credit rating</w:t>
      </w:r>
      <w:r>
        <w:rPr>
          <w:rFonts w:eastAsia="Calibri"/>
        </w:rPr>
        <w:t xml:space="preserve"> and its </w:t>
      </w:r>
      <w:r>
        <w:rPr>
          <w:rFonts w:eastAsia="Calibri"/>
          <w:b/>
          <w:bCs/>
        </w:rPr>
        <w:t xml:space="preserve">probability of default (PD)</w:t>
      </w:r>
      <w:r>
        <w:rPr>
          <w:rFonts w:eastAsia="Calibri"/>
        </w:rPr>
        <w:t xml:space="preserve"> in 2024. The charts X1-X4 show the four components of the score.</w:t>
      </w:r>
    </w:p>
    <w:p w14:paraId="3ABED01C" w14:textId="77777777" w:rsidR="0048278B" w:rsidRDefault="00000000">
      <w:pPr>
        <w:spacing w:before="60" w:after="60"/>
        <w:jc w:val="center"/>
      </w:pPr>
      <w:r>
        <w:drawing>
          <wp:inline xmlns:a="http://schemas.openxmlformats.org/drawingml/2006/main" xmlns:pic="http://schemas.openxmlformats.org/drawingml/2006/picture">
            <wp:extent cx="5760720" cy="593840"/>
            <wp:docPr id="2" name="Picture 2"/>
            <wp:cNvGraphicFramePr>
              <a:graphicFrameLocks noChangeAspect="1"/>
            </wp:cNvGraphicFramePr>
            <a:graphic>
              <a:graphicData uri="http://schemas.openxmlformats.org/drawingml/2006/picture">
                <pic:pic>
                  <pic:nvPicPr>
                    <pic:cNvPr id="0" name="wb_distress.png"/>
                    <pic:cNvPicPr/>
                  </pic:nvPicPr>
                  <pic:blipFill>
                    <a:blip r:embed="rId18"/>
                    <a:stretch>
                      <a:fillRect/>
                    </a:stretch>
                  </pic:blipFill>
                  <pic:spPr>
                    <a:xfrm>
                      <a:off x="0" y="0"/>
                      <a:ext cx="5760720" cy="593840"/>
                    </a:xfrm>
                    <a:prstGeom prst="rect"/>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278B" w14:paraId="6060BD18" w14:textId="77777777">
        <w:trPr>
          <w:cantSplit/>
        </w:trPr>
        <w:tc>
          <w:tcPr>
            <w:tcW w:w="9360" w:type="dxa"/>
            <w:tcBorders>
              <w:top w:val="single" w:sz="6" w:space="0" w:color="D9A93B"/>
              <w:left w:val="single" w:sz="6" w:space="0" w:color="D9A93B"/>
              <w:bottom w:val="single" w:sz="6" w:space="0" w:color="D9A93B"/>
              <w:right w:val="single" w:sz="6" w:space="0" w:color="D9A93B"/>
            </w:tcBorders>
            <w:shd w:val="clear" w:color="auto" w:fill="FFF7E6"/>
            <w:tcMar>
              <w:top w:w="100" w:type="dxa"/>
              <w:left w:w="180" w:type="dxa"/>
              <w:bottom w:w="100" w:type="dxa"/>
              <w:right w:w="180" w:type="dxa"/>
            </w:tcMar>
          </w:tcPr>
          <w:p w14:paraId="733B9E8C" w14:textId="77777777" w:rsidR="0048278B" w:rsidRDefault="00000000">
            <w:pPr>
              <w:keepLines/>
              <w:spacing w:after="20" w:line="290" w:lineRule="auto"/>
            </w:pPr>
            <w:r>
              <w:rPr>
                <w:rFonts w:eastAsia="Calibri"/>
                <w:b/>
                <w:bCs/>
                <w:i/>
                <w:iCs/>
                <w:color w:val="4A5A78"/>
                <w:sz w:val="20"/>
                <w:szCs w:val="20"/>
              </w:rPr>
              <w:t xml:space="preserve">Zone: ______________   Distress score (Z″): __________   Shadow rating: __________   PD: __________</w:t>
            </w:r>
          </w:p>
        </w:tc>
      </w:tr>
    </w:tbl>
    <w:p>
      <w:pPr>
        <w:spacing w:after="0" w:line="70" w:lineRule="exac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278B" w14:paraId="161DE6F5" w14:textId="77777777">
        <w:trPr>
          <w:cantSplit/>
        </w:trPr>
        <w:tc>
          <w:tcPr>
            <w:tcW w:w="9360" w:type="dxa"/>
            <w:tcBorders>
              <w:top w:val="single" w:sz="6" w:space="0" w:color="D9A93B"/>
              <w:left w:val="single" w:sz="6" w:space="0" w:color="D9A93B"/>
              <w:bottom w:val="single" w:sz="6" w:space="0" w:color="D9A93B"/>
              <w:right w:val="single" w:sz="6" w:space="0" w:color="D9A93B"/>
            </w:tcBorders>
            <w:shd w:val="clear" w:color="auto" w:fill="FFF7E6"/>
            <w:tcMar>
              <w:top w:w="120" w:type="dxa"/>
              <w:left w:w="180" w:type="dxa"/>
              <w:bottom w:w="120" w:type="dxa"/>
              <w:right w:w="180" w:type="dxa"/>
            </w:tcMar>
          </w:tcPr>
          <w:p w14:paraId="13A16222" w14:textId="77777777" w:rsidR="0048278B" w:rsidRDefault="00000000">
            <w:pPr>
              <w:keepLines/>
              <w:spacing w:after="40" w:line="276" w:lineRule="auto"/>
            </w:pPr>
            <w:r>
              <w:rPr>
                <w:rFonts w:eastAsia="Calibri"/>
                <w:b/>
                <w:bCs/>
                <w:color w:val="B8902F"/>
              </w:rPr>
              <w:t xml:space="preserve">Q3.  </w:t>
            </w:r>
            <w:r>
              <w:rPr>
                <w:rFonts w:eastAsia="Calibri"/>
                <w:color w:val="4A5A78"/>
              </w:rPr>
              <w:t xml:space="preserve">Compare your KPI analysis (Module 1) with the distress score. Are the results consistent? Does the tool show that your SOE is safe, vulnerable (grey zone) or in distress?</w:t>
            </w:r>
          </w:p>
          <w:p w14:paraId="313E714B" w14:textId="77777777" w:rsidR="0048278B" w:rsidRDefault="0048278B">
            <w:pPr>
              <w:spacing w:line="264" w:lineRule="auto"/>
            </w:pPr>
          </w:p>
          <w:p w14:paraId="313E714B" w14:textId="77777777" w:rsidR="0048278B" w:rsidRDefault="0048278B">
            <w:pPr>
              <w:spacing w:line="264" w:lineRule="auto"/>
            </w:pPr>
          </w:p>
          <w:p w14:paraId="69DE743B" w14:textId="77777777" w:rsidR="0048278B" w:rsidRDefault="0048278B">
            <w:pPr>
              <w:pBdr>
                <w:bottom w:val="single" w:sz="4" w:space="1" w:color="C7C2B4"/>
              </w:pBdr>
              <w:spacing w:line="200" w:lineRule="auto"/>
            </w:pPr>
          </w:p>
        </w:tc>
      </w:tr>
    </w:tbl>
    <w:p>
      <w:pPr>
        <w:spacing w:after="0" w:line="70" w:lineRule="exac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278B" w14:paraId="1D8EED20" w14:textId="77777777">
        <w:trPr>
          <w:cantSplit/>
        </w:trPr>
        <w:tc>
          <w:tcPr>
            <w:tcW w:w="9360" w:type="dxa"/>
            <w:tcBorders>
              <w:top w:val="single" w:sz="6" w:space="0" w:color="3A7D5C"/>
              <w:left w:val="single" w:sz="6" w:space="0" w:color="3A7D5C"/>
              <w:bottom w:val="single" w:sz="6" w:space="0" w:color="3A7D5C"/>
              <w:right w:val="single" w:sz="6" w:space="0" w:color="3A7D5C"/>
            </w:tcBorders>
            <w:shd w:val="clear" w:color="auto" w:fill="E4F1EC"/>
            <w:tcMar>
              <w:top w:w="120" w:type="dxa"/>
              <w:left w:w="180" w:type="dxa"/>
              <w:bottom w:w="120" w:type="dxa"/>
              <w:right w:w="180" w:type="dxa"/>
            </w:tcMar>
          </w:tcPr>
          <w:p w14:paraId="3AB42B42" w14:textId="0B4FBA49" w:rsidR="0048278B" w:rsidRDefault="00000000">
            <w:pPr>
              <w:keepLines/>
              <w:spacing w:after="40" w:line="276" w:lineRule="auto"/>
            </w:pPr>
            <w:r>
              <w:rPr>
                <w:rFonts w:eastAsia="Calibri"/>
                <w:b/>
                <w:bCs/>
                <w:color w:val="2E6B4E"/>
              </w:rPr>
              <w:t xml:space="preserve">Q4.  </w:t>
            </w:r>
            <w:r>
              <w:rPr>
                <w:rFonts w:eastAsia="Calibri"/>
                <w:color w:val="4A5A78"/>
              </w:rPr>
              <w:t xml:space="preserve">Which of the four components (X1-X4) pulls your SOE's score down the most - or, if all are positive, contributes the least? What does this tell you about the main source of weakness, and which KPI from Module 1 points the same way?</w:t>
            </w:r>
          </w:p>
          <w:p w14:paraId="2CEC60B7" w14:textId="77777777" w:rsidR="0048278B" w:rsidRDefault="0048278B">
            <w:pPr>
              <w:spacing w:line="264" w:lineRule="auto"/>
            </w:pPr>
          </w:p>
          <w:p w14:paraId="2CEC60B7" w14:textId="77777777" w:rsidR="0048278B" w:rsidRDefault="0048278B">
            <w:pPr>
              <w:spacing w:line="264" w:lineRule="auto"/>
            </w:pPr>
          </w:p>
          <w:p w14:paraId="679D6DEC" w14:textId="77777777" w:rsidR="0048278B" w:rsidRDefault="0048278B">
            <w:pPr>
              <w:pBdr>
                <w:bottom w:val="single" w:sz="4" w:space="1" w:color="C7C2B4"/>
              </w:pBdr>
              <w:spacing w:line="200" w:lineRule="auto"/>
            </w:pPr>
          </w:p>
        </w:tc>
      </w:tr>
    </w:tbl>
    <w:p>
      <w:pPr>
        <w:spacing w:after="0" w:line="70" w:lineRule="exac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278B" w14:paraId="68C3A3D0" w14:textId="77777777">
        <w:trPr>
          <w:cantSplit/>
        </w:trPr>
        <w:tc>
          <w:tcPr>
            <w:tcW w:w="9360" w:type="dxa"/>
            <w:tcBorders>
              <w:top w:val="single" w:sz="6" w:space="0" w:color="2B3F66"/>
              <w:left w:val="single" w:sz="6" w:space="0" w:color="2B3F66"/>
              <w:bottom w:val="single" w:sz="6" w:space="0" w:color="2B3F66"/>
              <w:right w:val="single" w:sz="6" w:space="0" w:color="2B3F66"/>
            </w:tcBorders>
            <w:shd w:val="clear" w:color="auto" w:fill="EEF2F8"/>
            <w:tcMar>
              <w:top w:w="120" w:type="dxa"/>
              <w:left w:w="180" w:type="dxa"/>
              <w:bottom w:w="120" w:type="dxa"/>
              <w:right w:w="180" w:type="dxa"/>
            </w:tcMar>
          </w:tcPr>
          <w:p w14:paraId="4CC9A637" w14:textId="77777777" w:rsidR="0048278B" w:rsidRDefault="00000000">
            <w:pPr>
              <w:keepLines/>
              <w:spacing w:after="40" w:line="276" w:lineRule="auto"/>
            </w:pPr>
            <w:r>
              <w:rPr>
                <w:rFonts w:eastAsia="Calibri"/>
                <w:b/>
                <w:bCs/>
                <w:color w:val="1B2A47"/>
              </w:rPr>
              <w:t xml:space="preserve">Q5.  </w:t>
            </w:r>
            <w:r>
              <w:rPr>
                <w:rFonts w:eastAsia="Calibri"/>
                <w:color w:val="4A5A78"/>
              </w:rPr>
              <w:t xml:space="preserve">The score places your SOE in the ____________ zone. In a few sentences, explain this result to a Finance Minister who has never seen a Z-score before (the score captures financial distress: in the distress zone, the SOE is at high risk of distress or default within about two years).</w:t>
            </w:r>
          </w:p>
          <w:p w14:paraId="6EFA5DA6" w14:textId="77777777" w:rsidR="0048278B" w:rsidRDefault="0048278B">
            <w:pPr>
              <w:spacing w:line="264" w:lineRule="auto"/>
            </w:pPr>
          </w:p>
          <w:p w14:paraId="6EFA5DA6" w14:textId="77777777" w:rsidR="0048278B" w:rsidRDefault="0048278B">
            <w:pPr>
              <w:spacing w:line="264" w:lineRule="auto"/>
            </w:pPr>
          </w:p>
          <w:p w14:paraId="6EFA5DA6" w14:textId="77777777" w:rsidR="0048278B" w:rsidRDefault="0048278B">
            <w:pPr>
              <w:spacing w:line="264" w:lineRule="auto"/>
            </w:pPr>
          </w:p>
          <w:p w14:paraId="7D380278" w14:textId="77777777" w:rsidR="0048278B" w:rsidRDefault="0048278B">
            <w:pPr>
              <w:pBdr>
                <w:bottom w:val="single" w:sz="4" w:space="1" w:color="C7C2B4"/>
              </w:pBdr>
              <w:spacing w:line="200" w:lineRule="auto"/>
            </w:pPr>
          </w:p>
        </w:tc>
      </w:tr>
    </w:tbl>
    <w:p w14:paraId="003B682D" w14:textId="77777777" w:rsidR="0048278B" w:rsidRDefault="00000000">
      <w:pPr>
        <w:keepNext/>
        <w:keepLines/>
        <w:pBdr>
          <w:top w:val="single" w:sz="4" w:space="5" w:color="1B2A47"/>
          <w:left w:val="single" w:sz="4" w:space="8" w:color="1B2A47"/>
          <w:bottom w:val="single" w:sz="12" w:space="5" w:color="D9B45A"/>
          <w:right w:val="single" w:sz="4" w:space="8" w:color="1B2A47"/>
        </w:pBdr>
        <w:shd w:val="clear" w:color="auto" w:fill="1B2A47"/>
        <w:spacing w:before="160" w:after="90" w:line="264" w:lineRule="auto"/>
        <w:ind w:left="180" w:right="180"/>
      </w:pPr>
      <w:r>
        <w:rPr>
          <w:rFonts w:eastAsia="Calibri"/>
          <w:color w:val="D9B45A"/>
          <w:sz w:val="23"/>
          <w:szCs w:val="23"/>
        </w:rPr>
        <w:t xml:space="preserve">MODULE 3: EXPECTED FISCAL COST  (5 MINUTES)</w:t>
      </w:r>
    </w:p>
    <w:p w14:paraId="09E4116D" w14:textId="77777777" w:rsidR="0048278B" w:rsidRDefault="00000000">
      <w:pPr>
        <w:keepNext/>
        <w:keepLines/>
        <w:spacing w:before="140" w:after="50" w:line="276" w:lineRule="auto"/>
      </w:pPr>
      <w:r>
        <w:rPr>
          <w:rFonts w:eastAsia="Calibri"/>
          <w:color w:val="1B2A47"/>
          <w:sz w:val="24"/>
          <w:szCs w:val="24"/>
        </w:rPr>
        <w:t xml:space="preserve">Step 6: Open the Expected Fiscal Cost tab</w:t>
      </w:r>
    </w:p>
    <w:p w14:paraId="177730B1" w14:textId="77777777" w:rsidR="0048278B" w:rsidRDefault="00000000">
      <w:pPr>
        <w:pStyle w:val="ListParagraph"/>
        <w:keepLines/>
        <w:numPr>
          <w:ilvl w:val="0"/>
          <w:numId w:val="2"/>
        </w:numPr>
        <w:spacing w:after="80" w:line="276" w:lineRule="auto"/>
      </w:pPr>
      <w:r>
        <w:rPr>
          <w:rFonts w:eastAsia="Calibri"/>
        </w:rPr>
        <w:t xml:space="preserve">Under </w:t>
      </w:r>
      <w:r>
        <w:rPr>
          <w:rFonts w:eastAsia="Calibri"/>
          <w:b/>
          <w:bCs/>
        </w:rPr>
        <w:t xml:space="preserve">Settings</w:t>
      </w:r>
      <w:r>
        <w:rPr>
          <w:rFonts w:eastAsia="Calibri"/>
        </w:rPr>
        <w:t xml:space="preserve">, keep </w:t>
      </w:r>
      <w:r>
        <w:rPr>
          <w:rFonts w:eastAsia="Calibri"/>
          <w:b/>
          <w:bCs/>
        </w:rPr>
        <w:t xml:space="preserve">Year 2024</w:t>
      </w:r>
      <w:r>
        <w:rPr>
          <w:rFonts w:eastAsia="Calibri"/>
        </w:rPr>
        <w:t xml:space="preserve">, </w:t>
      </w:r>
      <w:r>
        <w:rPr>
          <w:rFonts w:eastAsia="Calibri"/>
          <w:b/>
          <w:bCs/>
        </w:rPr>
        <w:t xml:space="preserve">LGD 70%</w:t>
      </w:r>
      <w:r>
        <w:rPr>
          <w:rFonts w:eastAsia="Calibri"/>
        </w:rPr>
        <w:t xml:space="preserve"> and </w:t>
      </w:r>
      <w:r>
        <w:rPr>
          <w:rFonts w:eastAsia="Calibri"/>
          <w:b/>
          <w:bCs/>
        </w:rPr>
        <w:t xml:space="preserve">EAD: share of total liabilities 100%</w:t>
      </w:r>
      <w:r>
        <w:rPr>
          <w:rFonts w:eastAsia="Calibri"/>
        </w:rPr>
        <w:t xml:space="preserve"> (the defaults).</w:t>
      </w:r>
    </w:p>
    <w:p w14:paraId="177730B1" w14:textId="77777777" w:rsidR="0048278B" w:rsidRDefault="00000000">
      <w:pPr>
        <w:pStyle w:val="ListParagraph"/>
        <w:keepLines/>
        <w:numPr>
          <w:ilvl w:val="0"/>
          <w:numId w:val="2"/>
        </w:numPr>
        <w:spacing w:after="80" w:line="276" w:lineRule="auto"/>
      </w:pPr>
      <w:r>
        <w:rPr>
          <w:rFonts w:eastAsia="Calibri"/>
        </w:rPr>
        <w:t xml:space="preserve">Under </w:t>
      </w:r>
      <w:r>
        <w:rPr>
          <w:rFonts w:eastAsia="Calibri"/>
          <w:b/>
          <w:bCs/>
        </w:rPr>
        <w:t xml:space="preserve">Country GDP</w:t>
      </w:r>
      <w:r>
        <w:rPr>
          <w:rFonts w:eastAsia="Calibri"/>
        </w:rPr>
        <w:t xml:space="preserve">, type </w:t>
      </w:r>
      <w:r>
        <w:rPr>
          <w:rFonts w:eastAsia="Calibri"/>
          <w:b/>
          <w:bCs/>
        </w:rPr>
        <w:t xml:space="preserve">8000</w:t>
      </w:r>
      <w:r>
        <w:rPr>
          <w:rFonts w:eastAsia="Calibri"/>
        </w:rPr>
        <w:t xml:space="preserve"> in the </w:t>
      </w:r>
      <w:r>
        <w:rPr>
          <w:rFonts w:eastAsia="Calibri"/>
          <w:b/>
          <w:bCs/>
        </w:rPr>
        <w:t xml:space="preserve">GDP</w:t>
      </w:r>
      <w:r>
        <w:rPr>
          <w:rFonts w:eastAsia="Calibri"/>
        </w:rPr>
        <w:t xml:space="preserve"> box and keep the units at </w:t>
      </w:r>
      <w:r>
        <w:rPr>
          <w:rFonts w:eastAsia="Calibri"/>
          <w:b/>
          <w:bCs/>
        </w:rPr>
        <w:t xml:space="preserve">Billions</w:t>
      </w:r>
      <w:r>
        <w:rPr>
          <w:rFonts w:eastAsia="Calibri"/>
        </w:rPr>
        <w:t xml:space="preserve">. The GDP carries over to the Shock Scenarios tab.</w:t>
      </w:r>
    </w:p>
    <w:p w14:paraId="177730B1" w14:textId="77777777" w:rsidR="0048278B" w:rsidRDefault="00000000">
      <w:pPr>
        <w:pStyle w:val="ListParagraph"/>
        <w:keepLines/>
        <w:numPr>
          <w:ilvl w:val="0"/>
          <w:numId w:val="2"/>
        </w:numPr>
        <w:spacing w:after="80" w:line="276" w:lineRule="auto"/>
      </w:pPr>
      <w:r>
        <w:rPr>
          <w:rFonts w:eastAsia="Calibri"/>
        </w:rPr>
        <w:t xml:space="preserve">Find your SOE in the </w:t>
      </w:r>
      <w:r>
        <w:rPr>
          <w:rFonts w:eastAsia="Calibri"/>
          <w:b/>
          <w:bCs/>
        </w:rPr>
        <w:t xml:space="preserve">EFC results</w:t>
      </w:r>
      <w:r>
        <w:rPr>
          <w:rFonts w:eastAsia="Calibri"/>
        </w:rPr>
        <w:t xml:space="preserve"> table, under the two charts.</w:t>
      </w:r>
    </w:p>
    <w:p w14:paraId="1BFCBD31" w14:textId="77777777" w:rsidR="0048278B" w:rsidRDefault="00000000">
      <w:pPr>
        <w:keepLines/>
        <w:pBdr>
          <w:top w:val="single" w:sz="4" w:space="6" w:color="E4F1EC"/>
          <w:left w:val="single" w:sz="36" w:space="10" w:color="3A7D5C"/>
          <w:bottom w:val="single" w:sz="4" w:space="6" w:color="E4F1EC"/>
          <w:right w:val="single" w:sz="4" w:space="8" w:color="E4F1EC"/>
        </w:pBdr>
        <w:shd w:val="clear" w:color="auto" w:fill="E4F1EC"/>
        <w:spacing w:line="270" w:lineRule="auto"/>
        <w:ind w:left="300" w:right="170"/>
      </w:pPr>
      <w:r>
        <w:rPr>
          <w:rFonts w:eastAsia="Calibri"/>
          <w:i/>
          <w:iCs/>
          <w:color w:val="4A5A78"/>
          <w:sz w:val="20"/>
          <w:szCs w:val="20"/>
        </w:rPr>
        <w:t xml:space="preserve">EFC = PD × EAD × LGD: the probability of default from the shadow rating × the exposure at default (here all of the SOE's liabilities, because the government stands behind them) × the share of that exposure the government would end up paying (LGD).</w:t>
      </w:r>
    </w:p>
    <w:p>
      <w:pPr>
        <w:spacing w:after="0" w:line="70" w:lineRule="exac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278B" w14:paraId="6060BD18" w14:textId="77777777">
        <w:trPr>
          <w:cantSplit/>
        </w:trPr>
        <w:tc>
          <w:tcPr>
            <w:tcW w:w="9360" w:type="dxa"/>
            <w:tcBorders>
              <w:top w:val="single" w:sz="6" w:space="0" w:color="D9A93B"/>
              <w:left w:val="single" w:sz="6" w:space="0" w:color="D9A93B"/>
              <w:bottom w:val="single" w:sz="6" w:space="0" w:color="D9A93B"/>
              <w:right w:val="single" w:sz="6" w:space="0" w:color="D9A93B"/>
            </w:tcBorders>
            <w:shd w:val="clear" w:color="auto" w:fill="FFF7E6"/>
            <w:tcMar>
              <w:top w:w="100" w:type="dxa"/>
              <w:left w:w="180" w:type="dxa"/>
              <w:bottom w:w="100" w:type="dxa"/>
              <w:right w:w="180" w:type="dxa"/>
            </w:tcMar>
          </w:tcPr>
          <w:p w14:paraId="733B9E8C" w14:textId="77777777" w:rsidR="0048278B" w:rsidRDefault="00000000">
            <w:pPr>
              <w:keepLines/>
              <w:spacing w:after="20" w:line="290" w:lineRule="auto"/>
            </w:pPr>
            <w:r>
              <w:rPr>
                <w:rFonts w:eastAsia="Calibri"/>
                <w:b/>
                <w:bCs/>
                <w:i/>
                <w:iCs/>
                <w:color w:val="4A5A78"/>
                <w:sz w:val="20"/>
                <w:szCs w:val="20"/>
              </w:rPr>
              <w:t xml:space="preserve">Your SOE's expected fiscal cost, 2024:   EFC / GDP ________ %      Share of portfolio EFC ________ %</w:t>
            </w:r>
          </w:p>
        </w:tc>
      </w:tr>
    </w:tbl>
    <w:p>
      <w:pPr>
        <w:spacing w:after="0" w:line="70" w:lineRule="exac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278B" w14:paraId="161DE6F5" w14:textId="77777777">
        <w:trPr>
          <w:cantSplit/>
        </w:trPr>
        <w:tc>
          <w:tcPr>
            <w:tcW w:w="9360" w:type="dxa"/>
            <w:tcBorders>
              <w:top w:val="single" w:sz="6" w:space="0" w:color="D9A93B"/>
              <w:left w:val="single" w:sz="6" w:space="0" w:color="D9A93B"/>
              <w:bottom w:val="single" w:sz="6" w:space="0" w:color="D9A93B"/>
              <w:right w:val="single" w:sz="6" w:space="0" w:color="D9A93B"/>
            </w:tcBorders>
            <w:shd w:val="clear" w:color="auto" w:fill="FFF7E6"/>
            <w:tcMar>
              <w:top w:w="120" w:type="dxa"/>
              <w:left w:w="180" w:type="dxa"/>
              <w:bottom w:w="120" w:type="dxa"/>
              <w:right w:w="180" w:type="dxa"/>
            </w:tcMar>
          </w:tcPr>
          <w:p w14:paraId="13A16222" w14:textId="77777777" w:rsidR="0048278B" w:rsidRDefault="00000000">
            <w:pPr>
              <w:keepLines/>
              <w:spacing w:after="40" w:line="276" w:lineRule="auto"/>
            </w:pPr>
            <w:r>
              <w:rPr>
                <w:rFonts w:eastAsia="Calibri"/>
                <w:b/>
                <w:bCs/>
                <w:color w:val="B8902F"/>
              </w:rPr>
              <w:t xml:space="preserve">Q6.  </w:t>
            </w:r>
            <w:r>
              <w:rPr>
                <w:rFonts w:eastAsia="Calibri"/>
                <w:color w:val="4A5A78"/>
              </w:rPr>
              <w:t xml:space="preserve">Why is the EFC as a percentage of GDP a more useful way to present the number to a policymaker than an amount in FCFA? This money does not appear in the current budget: how would you explain that to a non-economist audience?</w:t>
            </w:r>
          </w:p>
          <w:p w14:paraId="313E714B" w14:textId="77777777" w:rsidR="0048278B" w:rsidRDefault="0048278B">
            <w:pPr>
              <w:spacing w:line="264" w:lineRule="auto"/>
            </w:pPr>
          </w:p>
          <w:p w14:paraId="313E714B" w14:textId="77777777" w:rsidR="0048278B" w:rsidRDefault="0048278B">
            <w:pPr>
              <w:spacing w:line="264" w:lineRule="auto"/>
            </w:pPr>
          </w:p>
          <w:p w14:paraId="313E714B" w14:textId="77777777" w:rsidR="0048278B" w:rsidRDefault="0048278B">
            <w:pPr>
              <w:spacing w:line="264" w:lineRule="auto"/>
            </w:pPr>
          </w:p>
          <w:p w14:paraId="69DE743B" w14:textId="77777777" w:rsidR="0048278B" w:rsidRDefault="0048278B">
            <w:pPr>
              <w:pBdr>
                <w:bottom w:val="single" w:sz="4" w:space="1" w:color="C7C2B4"/>
              </w:pBdr>
              <w:spacing w:line="200" w:lineRule="auto"/>
            </w:pPr>
          </w:p>
        </w:tc>
      </w:tr>
    </w:tbl>
    <w:p w14:paraId="003B682D" w14:textId="77777777" w:rsidR="0048278B" w:rsidRDefault="00000000">
      <w:pPr>
        <w:keepNext/>
        <w:keepLines/>
        <w:pBdr>
          <w:top w:val="single" w:sz="4" w:space="5" w:color="1B2A47"/>
          <w:left w:val="single" w:sz="4" w:space="8" w:color="1B2A47"/>
          <w:bottom w:val="single" w:sz="12" w:space="5" w:color="D9B45A"/>
          <w:right w:val="single" w:sz="4" w:space="8" w:color="1B2A47"/>
        </w:pBdr>
        <w:shd w:val="clear" w:color="auto" w:fill="1B2A47"/>
        <w:spacing w:before="160" w:after="90" w:line="264" w:lineRule="auto"/>
        <w:ind w:left="180" w:right="180"/>
      </w:pPr>
      <w:r>
        <w:rPr>
          <w:rFonts w:eastAsia="Calibri"/>
          <w:color w:val="D9B45A"/>
          <w:sz w:val="23"/>
          <w:szCs w:val="23"/>
        </w:rPr>
        <w:t xml:space="preserve">MODULE 4: EARLY WARNING  (4 MINUTES)</w:t>
      </w:r>
    </w:p>
    <w:p w14:paraId="09E4116D" w14:textId="77777777" w:rsidR="0048278B" w:rsidRDefault="00000000">
      <w:pPr>
        <w:keepNext/>
        <w:keepLines/>
        <w:spacing w:before="140" w:after="50" w:line="276" w:lineRule="auto"/>
      </w:pPr>
      <w:r>
        <w:rPr>
          <w:rFonts w:eastAsia="Calibri"/>
          <w:color w:val="1B2A47"/>
          <w:sz w:val="24"/>
          <w:szCs w:val="24"/>
        </w:rPr>
        <w:t xml:space="preserve">Step 7: Open the Early Warning tab</w:t>
      </w:r>
    </w:p>
    <w:p w14:paraId="0D7D2990" w14:textId="77777777" w:rsidR="0048278B" w:rsidRDefault="00000000">
      <w:pPr>
        <w:keepLines/>
        <w:spacing w:after="70" w:line="276" w:lineRule="auto"/>
      </w:pPr>
      <w:r>
        <w:rPr>
          <w:rFonts w:eastAsia="Calibri"/>
        </w:rPr>
        <w:t xml:space="preserve">Find your SOE on the </w:t>
      </w:r>
      <w:r>
        <w:rPr>
          <w:rFonts w:eastAsia="Calibri"/>
          <w:b/>
          <w:bCs/>
        </w:rPr>
        <w:t xml:space="preserve">Signal board</w:t>
      </w:r>
      <w:r>
        <w:rPr>
          <w:rFonts w:eastAsia="Calibri"/>
        </w:rPr>
        <w:t xml:space="preserve"> and click it. The </w:t>
      </w:r>
      <w:r>
        <w:rPr>
          <w:rFonts w:eastAsia="Calibri"/>
          <w:b/>
          <w:bCs/>
        </w:rPr>
        <w:t xml:space="preserve">Action plan</w:t>
      </w:r>
      <w:r>
        <w:rPr>
          <w:rFonts w:eastAsia="Calibri"/>
        </w:rPr>
        <w:t xml:space="preserve"> lists the trigger rules your SOE fires and the follow-up each one calls for (for example, a liquidity squeeze calls for a monthly cash-flow forecast sent to the oversight unit).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278B" w14:paraId="6060BD18" w14:textId="77777777">
        <w:trPr>
          <w:cantSplit/>
        </w:trPr>
        <w:tc>
          <w:tcPr>
            <w:tcW w:w="9360" w:type="dxa"/>
            <w:tcBorders>
              <w:top w:val="single" w:sz="6" w:space="0" w:color="D9A93B"/>
              <w:left w:val="single" w:sz="6" w:space="0" w:color="D9A93B"/>
              <w:bottom w:val="single" w:sz="6" w:space="0" w:color="D9A93B"/>
              <w:right w:val="single" w:sz="6" w:space="0" w:color="D9A93B"/>
            </w:tcBorders>
            <w:shd w:val="clear" w:color="auto" w:fill="FFF7E6"/>
            <w:tcMar>
              <w:top w:w="100" w:type="dxa"/>
              <w:left w:w="180" w:type="dxa"/>
              <w:bottom w:w="100" w:type="dxa"/>
              <w:right w:w="180" w:type="dxa"/>
            </w:tcMar>
          </w:tcPr>
          <w:p w14:paraId="733B9E8C" w14:textId="77777777" w:rsidR="0048278B" w:rsidRDefault="00000000">
            <w:pPr>
              <w:keepLines/>
              <w:spacing w:after="20" w:line="290" w:lineRule="auto"/>
            </w:pPr>
            <w:r>
              <w:rPr>
                <w:rFonts w:eastAsia="Calibri"/>
                <w:b/>
                <w:bCs/>
                <w:i/>
                <w:iCs/>
                <w:color w:val="4A5A78"/>
                <w:sz w:val="20"/>
                <w:szCs w:val="20"/>
              </w:rPr>
              <w:t xml:space="preserve">Signal (Alert / Watch / Good): __________   Rules that fire: ________________________________________</w:t>
            </w:r>
          </w:p>
        </w:tc>
      </w:tr>
    </w:tbl>
    <w:p>
      <w:pPr>
        <w:spacing w:after="0" w:line="70" w:lineRule="exac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278B" w14:paraId="1D8EED20" w14:textId="77777777">
        <w:trPr>
          <w:cantSplit/>
        </w:trPr>
        <w:tc>
          <w:tcPr>
            <w:tcW w:w="9360" w:type="dxa"/>
            <w:tcBorders>
              <w:top w:val="single" w:sz="6" w:space="0" w:color="3A7D5C"/>
              <w:left w:val="single" w:sz="6" w:space="0" w:color="3A7D5C"/>
              <w:bottom w:val="single" w:sz="6" w:space="0" w:color="3A7D5C"/>
              <w:right w:val="single" w:sz="6" w:space="0" w:color="3A7D5C"/>
            </w:tcBorders>
            <w:shd w:val="clear" w:color="auto" w:fill="E4F1EC"/>
            <w:tcMar>
              <w:top w:w="120" w:type="dxa"/>
              <w:left w:w="180" w:type="dxa"/>
              <w:bottom w:w="120" w:type="dxa"/>
              <w:right w:w="180" w:type="dxa"/>
            </w:tcMar>
          </w:tcPr>
          <w:p w14:paraId="3AB42B42" w14:textId="0B4FBA49" w:rsidR="0048278B" w:rsidRDefault="00000000">
            <w:pPr>
              <w:keepLines/>
              <w:spacing w:after="40" w:line="276" w:lineRule="auto"/>
            </w:pPr>
            <w:r>
              <w:rPr>
                <w:rFonts w:eastAsia="Calibri"/>
                <w:b/>
                <w:bCs/>
                <w:color w:val="2E6B4E"/>
              </w:rPr>
              <w:t xml:space="preserve">Q7.  </w:t>
            </w:r>
            <w:r>
              <w:rPr>
                <w:rFonts w:eastAsia="Calibri"/>
                <w:color w:val="4A5A78"/>
              </w:rPr>
              <w:t xml:space="preserve">Do the triggers point to the same weakness as the component you found in Q4? If you were advising the Ministry of Finance, what is the single most important action it should take in the next 12 months to reduce your SOE's fiscal risk - without cutting the service the SOE provides?</w:t>
            </w:r>
          </w:p>
          <w:p w14:paraId="2CEC60B7" w14:textId="77777777" w:rsidR="0048278B" w:rsidRDefault="0048278B">
            <w:pPr>
              <w:spacing w:line="264" w:lineRule="auto"/>
            </w:pPr>
          </w:p>
          <w:p w14:paraId="2CEC60B7" w14:textId="77777777" w:rsidR="0048278B" w:rsidRDefault="0048278B">
            <w:pPr>
              <w:spacing w:line="264" w:lineRule="auto"/>
            </w:pPr>
          </w:p>
          <w:p w14:paraId="2CEC60B7" w14:textId="77777777" w:rsidR="0048278B" w:rsidRDefault="0048278B">
            <w:pPr>
              <w:spacing w:line="264" w:lineRule="auto"/>
            </w:pPr>
          </w:p>
          <w:p w14:paraId="679D6DEC" w14:textId="77777777" w:rsidR="0048278B" w:rsidRDefault="0048278B">
            <w:pPr>
              <w:pBdr>
                <w:bottom w:val="single" w:sz="4" w:space="1" w:color="C7C2B4"/>
              </w:pBdr>
              <w:spacing w:line="200" w:lineRule="auto"/>
            </w:pPr>
          </w:p>
        </w:tc>
      </w:tr>
    </w:tbl>
    <w:p w14:paraId="003B682D" w14:textId="77777777" w:rsidR="0048278B" w:rsidRDefault="00000000">
      <w:pPr>
        <w:keepNext/>
        <w:keepLines/>
        <w:pBdr>
          <w:top w:val="single" w:sz="4" w:space="5" w:color="1B2A47"/>
          <w:left w:val="single" w:sz="4" w:space="8" w:color="1B2A47"/>
          <w:bottom w:val="single" w:sz="12" w:space="5" w:color="D9B45A"/>
          <w:right w:val="single" w:sz="4" w:space="8" w:color="1B2A47"/>
        </w:pBdr>
        <w:shd w:val="clear" w:color="auto" w:fill="1B2A47"/>
        <w:spacing w:before="160" w:after="90" w:line="264" w:lineRule="auto"/>
        <w:ind w:left="180" w:right="180"/>
      </w:pPr>
      <w:r>
        <w:rPr>
          <w:rFonts w:eastAsia="Calibri"/>
          <w:color w:val="D9B45A"/>
          <w:sz w:val="23"/>
          <w:szCs w:val="23"/>
        </w:rPr>
        <w:t xml:space="preserve">MODULE 5: SHOCK SIMULATION  (6 MINUTES)</w:t>
      </w:r>
    </w:p>
    <w:p w14:paraId="7961A005" w14:textId="77777777" w:rsidR="0048278B" w:rsidRDefault="00000000">
      <w:pPr>
        <w:keepNext/>
        <w:keepLines/>
        <w:pBdr>
          <w:top w:val="single" w:sz="4" w:space="6" w:color="FCEAE6"/>
          <w:left w:val="single" w:sz="36" w:space="10" w:color="B5452B"/>
          <w:bottom w:val="single" w:sz="4" w:space="6" w:color="FCEAE6"/>
          <w:right w:val="single" w:sz="4" w:space="8" w:color="FCEAE6"/>
        </w:pBdr>
        <w:shd w:val="clear" w:color="auto" w:fill="FCEAE6"/>
        <w:spacing w:line="270" w:lineRule="auto"/>
        <w:ind w:left="300" w:right="170"/>
      </w:pPr>
      <w:r>
        <w:rPr>
          <w:rFonts w:eastAsia="Calibri"/>
          <w:i/>
          <w:iCs/>
          <w:color w:val="4A5A78"/>
          <w:sz w:val="20"/>
          <w:szCs w:val="20"/>
        </w:rPr>
        <w:t xml:space="preserve">Shock scenario: The government is worried that world fuel prices could rise by 60% next year (2025) and stay high for two years. If your SOE is healthy, how would the shock affect it and how should it prepare? If it is already in distress, how much would the shock add to the fiscal cost the government already faces? The SOE may not pass the increase on to customers, and the State does not compensate it.</w:t>
      </w:r>
    </w:p>
    <w:p>
      <w:pPr>
        <w:spacing w:after="0" w:line="70" w:lineRule="exac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60"/>
        <w:gridCol w:w="3300"/>
      </w:tblGrid>
      <w:tr w:rsidR="0048278B" w14:paraId="1AB688DC" w14:textId="77777777">
        <w:trPr>
          <w:cantSplit/>
        </w:trPr>
        <w:tc>
          <w:tcPr>
            <w:tcW w:w="6060" w:type="dxa"/>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p w14:paraId="09E4116D" w14:textId="77777777" w:rsidR="0048278B" w:rsidRDefault="00000000">
            <w:pPr>
              <w:keepNext/>
              <w:keepLines/>
              <w:spacing w:before="0" w:after="50" w:line="276" w:lineRule="auto"/>
            </w:pPr>
            <w:r>
              <w:rPr>
                <w:rFonts w:eastAsia="Calibri"/>
                <w:color w:val="1B2A47"/>
                <w:sz w:val="24"/>
                <w:szCs w:val="24"/>
              </w:rPr>
              <w:t xml:space="preserve">Step 8: Open the Shock Scenarios tab (the last tab)</w:t>
            </w:r>
          </w:p>
          <w:p w14:paraId="0D7D2990" w14:textId="77777777" w:rsidR="0048278B" w:rsidRDefault="00000000">
            <w:pPr>
              <w:keepLines/>
              <w:spacing w:after="70" w:line="276" w:lineRule="auto"/>
            </w:pPr>
            <w:r>
              <w:rPr>
                <w:rFonts w:eastAsia="Calibri"/>
              </w:rPr>
              <w:t xml:space="preserve">Keep </w:t>
            </w:r>
            <w:r>
              <w:rPr>
                <w:rFonts w:eastAsia="Calibri"/>
                <w:b/>
                <w:bCs/>
              </w:rPr>
              <w:t xml:space="preserve">View: One SOE</w:t>
            </w:r>
            <w:r>
              <w:rPr>
                <w:rFonts w:eastAsia="Calibri"/>
              </w:rPr>
              <w:t xml:space="preserve">, then:</w:t>
            </w:r>
          </w:p>
          <w:p w14:paraId="177730B1" w14:textId="77777777" w:rsidR="0048278B" w:rsidRDefault="00000000">
            <w:pPr>
              <w:pStyle w:val="ListParagraph"/>
              <w:keepLines/>
              <w:numPr>
                <w:ilvl w:val="0"/>
                <w:numId w:val="3"/>
              </w:numPr>
              <w:spacing w:after="80" w:line="276" w:lineRule="auto"/>
            </w:pPr>
            <w:r>
              <w:rPr>
                <w:rFonts w:eastAsia="Calibri"/>
              </w:rPr>
              <w:t xml:space="preserve">Panel </w:t>
            </w:r>
            <w:r>
              <w:rPr>
                <w:rFonts w:eastAsia="Calibri"/>
                <w:b/>
                <w:bCs/>
              </w:rPr>
              <w:t xml:space="preserve">1</w:t>
            </w:r>
            <w:r>
              <w:rPr>
                <w:rFonts w:eastAsia="Calibri"/>
              </w:rPr>
              <w:t xml:space="preserve">: your SOE, </w:t>
            </w:r>
            <w:r>
              <w:rPr>
                <w:rFonts w:eastAsia="Calibri"/>
                <w:b/>
                <w:bCs/>
              </w:rPr>
              <w:t xml:space="preserve">Base year 2024</w:t>
            </w:r>
            <w:r>
              <w:rPr>
                <w:rFonts w:eastAsia="Calibri"/>
              </w:rPr>
              <w:t xml:space="preserve">.</w:t>
            </w:r>
          </w:p>
          <w:p w14:paraId="177730B1" w14:textId="77777777" w:rsidR="0048278B" w:rsidRDefault="00000000">
            <w:pPr>
              <w:pStyle w:val="ListParagraph"/>
              <w:keepLines/>
              <w:numPr>
                <w:ilvl w:val="0"/>
                <w:numId w:val="3"/>
              </w:numPr>
              <w:spacing w:after="80" w:line="276" w:lineRule="auto"/>
            </w:pPr>
            <w:r>
              <w:rPr>
                <w:rFonts w:eastAsia="Calibri"/>
              </w:rPr>
              <w:t xml:space="preserve">Panel </w:t>
            </w:r>
            <w:r>
              <w:rPr>
                <w:rFonts w:eastAsia="Calibri"/>
                <w:b/>
                <w:bCs/>
              </w:rPr>
              <w:t xml:space="preserve">2</w:t>
            </w:r>
            <w:r>
              <w:rPr>
                <w:rFonts w:eastAsia="Calibri"/>
              </w:rPr>
              <w:t xml:space="preserve">: keep </w:t>
            </w:r>
            <w:r>
              <w:rPr>
                <w:rFonts w:eastAsia="Calibri"/>
                <w:b/>
                <w:bCs/>
              </w:rPr>
              <w:t xml:space="preserve">LGD 70%</w:t>
            </w:r>
            <w:r>
              <w:rPr>
                <w:rFonts w:eastAsia="Calibri"/>
              </w:rPr>
              <w:t xml:space="preserve"> and </w:t>
            </w:r>
            <w:r>
              <w:rPr>
                <w:rFonts w:eastAsia="Calibri"/>
                <w:b/>
                <w:bCs/>
              </w:rPr>
              <w:t xml:space="preserve">EAD 100%</w:t>
            </w:r>
            <w:r>
              <w:rPr>
                <w:rFonts w:eastAsia="Calibri"/>
              </w:rPr>
              <w:t xml:space="preserve">; under </w:t>
            </w:r>
            <w:r>
              <w:rPr>
                <w:rFonts w:eastAsia="Calibri"/>
                <w:b/>
                <w:bCs/>
              </w:rPr>
              <w:t xml:space="preserve">Show costs as a share of GDP</w:t>
            </w:r>
            <w:r>
              <w:rPr>
                <w:rFonts w:eastAsia="Calibri"/>
              </w:rPr>
              <w:t xml:space="preserve">, check that GDP shows </w:t>
            </w:r>
            <w:r>
              <w:rPr>
                <w:rFonts w:eastAsia="Calibri"/>
                <w:b/>
                <w:bCs/>
              </w:rPr>
              <w:t xml:space="preserve">8,000</w:t>
            </w:r>
            <w:r>
              <w:rPr>
                <w:rFonts w:eastAsia="Calibri"/>
              </w:rPr>
              <w:t xml:space="preserve">.</w:t>
            </w:r>
          </w:p>
          <w:p w14:paraId="177730B1" w14:textId="77777777" w:rsidR="0048278B" w:rsidRDefault="00000000">
            <w:pPr>
              <w:pStyle w:val="ListParagraph"/>
              <w:keepLines/>
              <w:numPr>
                <w:ilvl w:val="0"/>
                <w:numId w:val="3"/>
              </w:numPr>
              <w:spacing w:after="80" w:line="276" w:lineRule="auto"/>
            </w:pPr>
            <w:r>
              <w:rPr>
                <w:rFonts w:eastAsia="Calibri"/>
              </w:rPr>
              <w:t xml:space="preserve">Panel </w:t>
            </w:r>
            <w:r>
              <w:rPr>
                <w:rFonts w:eastAsia="Calibri"/>
                <w:b/>
                <w:bCs/>
              </w:rPr>
              <w:t xml:space="preserve">3</w:t>
            </w:r>
            <w:r>
              <w:rPr>
                <w:rFonts w:eastAsia="Calibri"/>
              </w:rPr>
              <w:t xml:space="preserve">: click </w:t>
            </w:r>
            <w:r>
              <w:rPr>
                <w:rFonts w:eastAsia="Calibri"/>
                <w:b/>
                <w:bCs/>
              </w:rPr>
              <w:t xml:space="preserve">No shock</w:t>
            </w:r>
            <w:r>
              <w:rPr>
                <w:rFonts w:eastAsia="Calibri"/>
              </w:rPr>
              <w:t xml:space="preserve">. The charts show where your SOE would be with no shock.</w:t>
            </w:r>
          </w:p>
          <w:p w14:paraId="177730B1" w14:textId="77777777" w:rsidR="0048278B" w:rsidRDefault="00000000">
            <w:pPr>
              <w:pStyle w:val="ListParagraph"/>
              <w:keepLines/>
              <w:numPr>
                <w:ilvl w:val="0"/>
                <w:numId w:val="3"/>
              </w:numPr>
              <w:spacing w:after="80" w:line="276" w:lineRule="auto"/>
            </w:pPr>
            <w:r>
              <w:rPr>
                <w:rFonts w:eastAsia="Calibri"/>
              </w:rPr>
              <w:t xml:space="preserve">Panel </w:t>
            </w:r>
            <w:r>
              <w:rPr>
                <w:rFonts w:eastAsia="Calibri"/>
                <w:b/>
                <w:bCs/>
              </w:rPr>
              <w:t xml:space="preserve">3</w:t>
            </w:r>
            <w:r>
              <w:rPr>
                <w:rFonts w:eastAsia="Calibri"/>
              </w:rPr>
              <w:t xml:space="preserve">: click </w:t>
            </w:r>
            <w:r>
              <w:rPr>
                <w:rFonts w:eastAsia="Calibri"/>
                <w:b/>
                <w:bCs/>
              </w:rPr>
              <w:t xml:space="preserve">Custom shock</w:t>
            </w:r>
            <w:r>
              <w:rPr>
                <w:rFonts w:eastAsia="Calibri"/>
              </w:rPr>
              <w:t xml:space="preserve">, keep </w:t>
            </w:r>
            <w:r>
              <w:rPr>
                <w:rFonts w:eastAsia="Calibri"/>
                <w:b/>
                <w:bCs/>
              </w:rPr>
              <w:t xml:space="preserve">Fuel price</w:t>
            </w:r>
            <w:r>
              <w:rPr>
                <w:rFonts w:eastAsia="Calibri"/>
              </w:rPr>
              <w:t xml:space="preserve"> and, under </w:t>
            </w:r>
            <w:r>
              <w:rPr>
                <w:rFonts w:eastAsia="Calibri"/>
                <w:b/>
                <w:bCs/>
              </w:rPr>
              <w:t xml:space="preserve">Size guide</w:t>
            </w:r>
            <w:r>
              <w:rPr>
                <w:rFonts w:eastAsia="Calibri"/>
              </w:rPr>
              <w:t xml:space="preserve">, click </w:t>
            </w:r>
            <w:r>
              <w:rPr>
                <w:rFonts w:eastAsia="Calibri"/>
                <w:b/>
                <w:bCs/>
              </w:rPr>
              <w:t xml:space="preserve">Severe +60%</w:t>
            </w:r>
            <w:r>
              <w:rPr>
                <w:rFonts w:eastAsia="Calibri"/>
              </w:rPr>
              <w:t xml:space="preserve">.</w:t>
            </w:r>
          </w:p>
          <w:p w14:paraId="177730B1" w14:textId="77777777" w:rsidR="0048278B" w:rsidRDefault="00000000">
            <w:pPr>
              <w:pStyle w:val="ListParagraph"/>
              <w:keepLines/>
              <w:numPr>
                <w:ilvl w:val="0"/>
                <w:numId w:val="3"/>
              </w:numPr>
              <w:spacing w:after="80" w:line="276" w:lineRule="auto"/>
            </w:pPr>
            <w:r>
              <w:rPr>
                <w:rFonts w:eastAsia="Calibri"/>
              </w:rPr>
              <w:t xml:space="preserve">Under </w:t>
            </w:r>
            <w:r>
              <w:rPr>
                <w:rFonts w:eastAsia="Calibri"/>
                <w:b/>
                <w:bCs/>
              </w:rPr>
              <w:t xml:space="preserve">Structural factors</w:t>
            </w:r>
            <w:r>
              <w:rPr>
                <w:rFonts w:eastAsia="Calibri"/>
              </w:rPr>
              <w:t xml:space="preserve">, drag </w:t>
            </w:r>
            <w:r>
              <w:rPr>
                <w:rFonts w:eastAsia="Calibri"/>
                <w:b/>
                <w:bCs/>
              </w:rPr>
              <w:t xml:space="preserve">Passed on to customers through tariffs</w:t>
            </w:r>
            <w:r>
              <w:rPr>
                <w:rFonts w:eastAsia="Calibri"/>
              </w:rPr>
              <w:t xml:space="preserve"> to </w:t>
            </w:r>
            <w:r>
              <w:rPr>
                <w:rFonts w:eastAsia="Calibri"/>
                <w:b/>
                <w:bCs/>
              </w:rPr>
              <w:t xml:space="preserve">0%</w:t>
            </w:r>
            <w:r>
              <w:rPr>
                <w:rFonts w:eastAsia="Calibri"/>
              </w:rPr>
              <w:t xml:space="preserve">; leave </w:t>
            </w:r>
            <w:r>
              <w:rPr>
                <w:rFonts w:eastAsia="Calibri"/>
                <w:b/>
                <w:bCs/>
              </w:rPr>
              <w:t xml:space="preserve">Compensated by the State</w:t>
            </w:r>
            <w:r>
              <w:rPr>
                <w:rFonts w:eastAsia="Calibri"/>
              </w:rPr>
              <w:t xml:space="preserve"> at </w:t>
            </w:r>
            <w:r>
              <w:rPr>
                <w:rFonts w:eastAsia="Calibri"/>
                <w:b/>
                <w:bCs/>
              </w:rPr>
              <w:t xml:space="preserve">0%</w:t>
            </w:r>
            <w:r>
              <w:rPr>
                <w:rFonts w:eastAsia="Calibri"/>
              </w:rPr>
              <w:t xml:space="preserve">.</w:t>
            </w:r>
          </w:p>
          <w:p w14:paraId="177730B1" w14:textId="77777777" w:rsidR="0048278B" w:rsidRDefault="00000000">
            <w:pPr>
              <w:pStyle w:val="ListParagraph"/>
              <w:keepLines/>
              <w:numPr>
                <w:ilvl w:val="0"/>
                <w:numId w:val="3"/>
              </w:numPr>
              <w:spacing w:after="80" w:line="276" w:lineRule="auto"/>
            </w:pPr>
            <w:r>
              <w:rPr>
                <w:rFonts w:eastAsia="Calibri"/>
              </w:rPr>
              <w:t xml:space="preserve">Read the </w:t>
            </w:r>
            <w:r>
              <w:rPr>
                <w:rFonts w:eastAsia="Calibri"/>
                <w:b/>
                <w:bCs/>
              </w:rPr>
              <w:t xml:space="preserve">Distress score path</w:t>
            </w:r>
            <w:r>
              <w:rPr>
                <w:rFonts w:eastAsia="Calibri"/>
              </w:rPr>
              <w:t xml:space="preserve"> and the </w:t>
            </w:r>
            <w:r>
              <w:rPr>
                <w:rFonts w:eastAsia="Calibri"/>
                <w:b/>
                <w:bCs/>
              </w:rPr>
              <w:t xml:space="preserve">Expected fiscal cost / GDP - path</w:t>
            </w:r>
            <w:r>
              <w:rPr>
                <w:rFonts w:eastAsia="Calibri"/>
              </w:rPr>
              <w:t xml:space="preserve">: grey is the no-shock path, blue the path with the shock. Hover over 2027 to see both values.</w:t>
            </w:r>
          </w:p>
        </w:tc>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ABED01C" w14:textId="77777777" w:rsidR="0048278B" w:rsidRDefault="00000000">
            <w:pPr>
              <w:spacing w:before="60" w:after="60"/>
              <w:jc w:val="center"/>
            </w:pPr>
            <w:r>
              <w:drawing>
                <wp:inline xmlns:a="http://schemas.openxmlformats.org/drawingml/2006/main" xmlns:pic="http://schemas.openxmlformats.org/drawingml/2006/picture">
                  <wp:extent cx="1874519" cy="2649289"/>
                  <wp:docPr id="3" name="Picture 3"/>
                  <wp:cNvGraphicFramePr>
                    <a:graphicFrameLocks noChangeAspect="1"/>
                  </wp:cNvGraphicFramePr>
                  <a:graphic>
                    <a:graphicData uri="http://schemas.openxmlformats.org/drawingml/2006/picture">
                      <pic:pic>
                        <pic:nvPicPr>
                          <pic:cNvPr id="0" name="wb_shock_panel_crop.png"/>
                          <pic:cNvPicPr/>
                        </pic:nvPicPr>
                        <pic:blipFill>
                          <a:blip r:embed="rId19"/>
                          <a:stretch>
                            <a:fillRect/>
                          </a:stretch>
                        </pic:blipFill>
                        <pic:spPr>
                          <a:xfrm>
                            <a:off x="0" y="0"/>
                            <a:ext cx="1874519" cy="2649289"/>
                          </a:xfrm>
                          <a:prstGeom prst="rect"/>
                        </pic:spPr>
                      </pic:pic>
                    </a:graphicData>
                  </a:graphic>
                </wp:inline>
              </w:drawing>
            </w:r>
          </w:p>
        </w:tc>
      </w:tr>
    </w:tbl>
    <w:p>
      <w:pPr>
        <w:spacing w:after="0" w:line="70" w:lineRule="exac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278B" w14:paraId="6060BD18" w14:textId="77777777">
        <w:trPr>
          <w:cantSplit/>
        </w:trPr>
        <w:tc>
          <w:tcPr>
            <w:tcW w:w="9360" w:type="dxa"/>
            <w:tcBorders>
              <w:top w:val="single" w:sz="6" w:space="0" w:color="D9A93B"/>
              <w:left w:val="single" w:sz="6" w:space="0" w:color="D9A93B"/>
              <w:bottom w:val="single" w:sz="6" w:space="0" w:color="D9A93B"/>
              <w:right w:val="single" w:sz="6" w:space="0" w:color="D9A93B"/>
            </w:tcBorders>
            <w:shd w:val="clear" w:color="auto" w:fill="FFF7E6"/>
            <w:tcMar>
              <w:top w:w="100" w:type="dxa"/>
              <w:left w:w="180" w:type="dxa"/>
              <w:bottom w:w="100" w:type="dxa"/>
              <w:right w:w="180" w:type="dxa"/>
            </w:tcMar>
          </w:tcPr>
          <w:p w14:paraId="733B9E8C" w14:textId="77777777" w:rsidR="0048278B" w:rsidRDefault="00000000">
            <w:pPr>
              <w:keepLines/>
              <w:spacing w:after="60" w:line="290" w:lineRule="auto"/>
            </w:pPr>
            <w:r>
              <w:rPr>
                <w:rFonts w:eastAsia="Calibri"/>
                <w:b/>
                <w:bCs/>
                <w:i/>
                <w:iCs/>
                <w:color w:val="4A5A78"/>
                <w:sz w:val="20"/>
                <w:szCs w:val="20"/>
              </w:rPr>
              <w:t xml:space="preserve">Distress score, 2027:   no shock ________  →  with the shock ________   (zone ____________ → ____________)</w:t>
            </w:r>
          </w:p>
          <w:p w14:paraId="733B9E8C" w14:textId="77777777" w:rsidR="0048278B" w:rsidRDefault="00000000">
            <w:pPr>
              <w:keepLines/>
              <w:spacing w:after="20" w:line="290" w:lineRule="auto"/>
            </w:pPr>
            <w:r>
              <w:rPr>
                <w:rFonts w:eastAsia="Calibri"/>
                <w:b/>
                <w:bCs/>
                <w:i/>
                <w:iCs/>
                <w:color w:val="4A5A78"/>
                <w:sz w:val="20"/>
                <w:szCs w:val="20"/>
              </w:rPr>
              <w:t xml:space="preserve">EFC / GDP, 2027:   no shock ________ %  →  with the shock ________ %</w:t>
            </w:r>
          </w:p>
        </w:tc>
      </w:tr>
    </w:tbl>
    <w:p w14:paraId="18FDE8C6" w14:textId="77777777" w:rsidR="0048278B" w:rsidRDefault="00000000">
      <w:pPr>
        <w:keepLines/>
        <w:spacing w:after="160" w:line="276" w:lineRule="auto"/>
      </w:pPr>
      <w:r>
        <w:rPr>
          <w:rFonts w:eastAsia="Calibri"/>
          <w:i/>
          <w:iCs/>
          <w:color w:val="6B7280"/>
          <w:sz w:val="18"/>
          <w:szCs w:val="18"/>
        </w:rPr>
        <w:t xml:space="preserve">Compare with the no-shock path, not with 2024: the tool rolls the accounts forward.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278B" w14:paraId="161DE6F5" w14:textId="77777777">
        <w:trPr>
          <w:cantSplit/>
        </w:trPr>
        <w:tc>
          <w:tcPr>
            <w:tcW w:w="9360" w:type="dxa"/>
            <w:tcBorders>
              <w:top w:val="single" w:sz="6" w:space="0" w:color="D9A93B"/>
              <w:left w:val="single" w:sz="6" w:space="0" w:color="D9A93B"/>
              <w:bottom w:val="single" w:sz="6" w:space="0" w:color="D9A93B"/>
              <w:right w:val="single" w:sz="6" w:space="0" w:color="D9A93B"/>
            </w:tcBorders>
            <w:shd w:val="clear" w:color="auto" w:fill="FFF7E6"/>
            <w:tcMar>
              <w:top w:w="120" w:type="dxa"/>
              <w:left w:w="180" w:type="dxa"/>
              <w:bottom w:w="120" w:type="dxa"/>
              <w:right w:w="180" w:type="dxa"/>
            </w:tcMar>
          </w:tcPr>
          <w:p w14:paraId="13A16222" w14:textId="77777777" w:rsidR="0048278B" w:rsidRDefault="00000000">
            <w:pPr>
              <w:keepLines/>
              <w:spacing w:after="40" w:line="276" w:lineRule="auto"/>
            </w:pPr>
            <w:r>
              <w:rPr>
                <w:rFonts w:eastAsia="Calibri"/>
                <w:b/>
                <w:bCs/>
                <w:color w:val="B8902F"/>
              </w:rPr>
              <w:t xml:space="preserve">Q8.  </w:t>
            </w:r>
            <w:r>
              <w:rPr>
                <w:rFonts w:eastAsia="Calibri"/>
                <w:color w:val="4A5A78"/>
              </w:rPr>
              <w:t xml:space="preserve">By how much does the fuel shock lower your SOE's distress score and raise its expected fiscal cost (in % of GDP) by 2027? In a few sentences, explain to the Minister of Finance what the shock would cost and how the government should prepare.</w:t>
            </w:r>
          </w:p>
          <w:p w14:paraId="313E714B" w14:textId="77777777" w:rsidR="0048278B" w:rsidRDefault="0048278B">
            <w:pPr>
              <w:spacing w:line="264" w:lineRule="auto"/>
            </w:pPr>
          </w:p>
          <w:p w14:paraId="313E714B" w14:textId="77777777" w:rsidR="0048278B" w:rsidRDefault="0048278B">
            <w:pPr>
              <w:spacing w:line="264" w:lineRule="auto"/>
            </w:pPr>
          </w:p>
          <w:p w14:paraId="313E714B" w14:textId="77777777" w:rsidR="0048278B" w:rsidRDefault="0048278B">
            <w:pPr>
              <w:spacing w:line="264" w:lineRule="auto"/>
            </w:pPr>
          </w:p>
          <w:p w14:paraId="69DE743B" w14:textId="77777777" w:rsidR="0048278B" w:rsidRDefault="0048278B">
            <w:pPr>
              <w:pBdr>
                <w:bottom w:val="single" w:sz="4" w:space="1" w:color="C7C2B4"/>
              </w:pBdr>
              <w:spacing w:line="200" w:lineRule="auto"/>
            </w:pPr>
          </w:p>
        </w:tc>
      </w:tr>
    </w:tbl>
    <w:p>
      <w:pPr>
        <w:spacing w:after="0" w:line="70" w:lineRule="exac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278B" w14:paraId="68C3A3D0" w14:textId="77777777">
        <w:trPr>
          <w:cantSplit/>
        </w:trPr>
        <w:tc>
          <w:tcPr>
            <w:tcW w:w="9360" w:type="dxa"/>
            <w:tcBorders>
              <w:top w:val="single" w:sz="6" w:space="0" w:color="2B3F66"/>
              <w:left w:val="single" w:sz="6" w:space="0" w:color="2B3F66"/>
              <w:bottom w:val="single" w:sz="6" w:space="0" w:color="2B3F66"/>
              <w:right w:val="single" w:sz="6" w:space="0" w:color="2B3F66"/>
            </w:tcBorders>
            <w:shd w:val="clear" w:color="auto" w:fill="EEF2F8"/>
            <w:tcMar>
              <w:top w:w="120" w:type="dxa"/>
              <w:left w:w="180" w:type="dxa"/>
              <w:bottom w:w="120" w:type="dxa"/>
              <w:right w:w="180" w:type="dxa"/>
            </w:tcMar>
          </w:tcPr>
          <w:p w14:paraId="4CC9A637" w14:textId="77777777" w:rsidR="0048278B" w:rsidRDefault="00000000">
            <w:pPr>
              <w:keepLines/>
              <w:spacing w:after="40" w:line="276" w:lineRule="auto"/>
            </w:pPr>
            <w:r>
              <w:rPr>
                <w:rFonts w:eastAsia="Calibri"/>
                <w:b/>
                <w:bCs/>
                <w:color w:val="1B2A47"/>
              </w:rPr>
              <w:t xml:space="preserve">Q9.  </w:t>
            </w:r>
            <w:r>
              <w:rPr>
                <w:rFonts w:eastAsia="Calibri"/>
                <w:color w:val="4A5A78"/>
              </w:rPr>
              <w:t xml:space="preserve">Now drag </w:t>
            </w:r>
            <w:r>
              <w:rPr>
                <w:rFonts w:eastAsia="Calibri"/>
                <w:b/>
                <w:bCs/>
                <w:color w:val="4A5A78"/>
              </w:rPr>
              <w:t xml:space="preserve">Passed on to customers through tariffs</w:t>
            </w:r>
            <w:r>
              <w:rPr>
                <w:rFonts w:eastAsia="Calibri"/>
                <w:color w:val="4A5A78"/>
              </w:rPr>
              <w:t xml:space="preserve"> to </w:t>
            </w:r>
            <w:r>
              <w:rPr>
                <w:rFonts w:eastAsia="Calibri"/>
                <w:b/>
                <w:bCs/>
                <w:color w:val="4A5A78"/>
              </w:rPr>
              <w:t xml:space="preserve">100%</w:t>
            </w:r>
            <w:r>
              <w:rPr>
                <w:rFonts w:eastAsia="Calibri"/>
                <w:color w:val="4A5A78"/>
              </w:rPr>
              <w:t xml:space="preserve"> (full pass-through) and compare with </w:t>
            </w:r>
            <w:r>
              <w:rPr>
                <w:rFonts w:eastAsia="Calibri"/>
                <w:b/>
                <w:bCs/>
                <w:color w:val="4A5A78"/>
              </w:rPr>
              <w:t xml:space="preserve">0%</w:t>
            </w:r>
            <w:r>
              <w:rPr>
                <w:rFonts w:eastAsia="Calibri"/>
                <w:color w:val="4A5A78"/>
              </w:rPr>
              <w:t xml:space="preserve"> (no pass-through). What happens to the distress score and the expected fiscal cost? What is the policy implication: who bears the cost of the shock in each case?</w:t>
            </w:r>
          </w:p>
          <w:p w14:paraId="6EFA5DA6" w14:textId="77777777" w:rsidR="0048278B" w:rsidRDefault="0048278B">
            <w:pPr>
              <w:spacing w:line="264" w:lineRule="auto"/>
            </w:pPr>
          </w:p>
          <w:p w14:paraId="6EFA5DA6" w14:textId="77777777" w:rsidR="0048278B" w:rsidRDefault="0048278B">
            <w:pPr>
              <w:spacing w:line="264" w:lineRule="auto"/>
            </w:pPr>
          </w:p>
          <w:p w14:paraId="6EFA5DA6" w14:textId="77777777" w:rsidR="0048278B" w:rsidRDefault="0048278B">
            <w:pPr>
              <w:spacing w:line="264" w:lineRule="auto"/>
            </w:pPr>
          </w:p>
          <w:p w14:paraId="7D380278" w14:textId="77777777" w:rsidR="0048278B" w:rsidRDefault="0048278B">
            <w:pPr>
              <w:pBdr>
                <w:bottom w:val="single" w:sz="4" w:space="1" w:color="C7C2B4"/>
              </w:pBdr>
              <w:spacing w:line="200" w:lineRule="auto"/>
            </w:pPr>
          </w:p>
        </w:tc>
      </w:tr>
    </w:tbl>
    <w:p w14:paraId="0D0366CE" w14:textId="77777777" w:rsidR="0048278B" w:rsidRDefault="00000000">
      <w:pPr>
        <w:keepNext/>
        <w:keepLines/>
        <w:pBdr>
          <w:top w:val="single" w:sz="4" w:space="5" w:color="1F3B2D"/>
          <w:left w:val="single" w:sz="4" w:space="8" w:color="1F3B2D"/>
          <w:bottom w:val="single" w:sz="12" w:space="5" w:color="7FB89A"/>
          <w:right w:val="single" w:sz="4" w:space="8" w:color="1F3B2D"/>
        </w:pBdr>
        <w:shd w:val="clear" w:color="auto" w:fill="1F3B2D"/>
        <w:spacing w:after="90" w:line="264" w:lineRule="auto" w:before="160"/>
        <w:ind w:left="180" w:right="180"/>
      </w:pPr>
      <w:r>
        <w:rPr>
          <w:rFonts w:eastAsia="Calibri"/>
          <w:color w:val="7FB89A"/>
          <w:sz w:val="23"/>
          <w:szCs w:val="23"/>
        </w:rPr>
        <w:t xml:space="preserve">EXECUTIVE SUMMARY: YOUR SOE ASSESSMENT  (3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278B" w14:paraId="1D8EED20" w14:textId="77777777">
        <w:trPr>
          <w:cantSplit/>
        </w:trPr>
        <w:tc>
          <w:tcPr>
            <w:tcW w:w="9360" w:type="dxa"/>
            <w:tcBorders>
              <w:top w:val="single" w:sz="6" w:space="0" w:color="3A7D5C"/>
              <w:left w:val="single" w:sz="6" w:space="0" w:color="3A7D5C"/>
              <w:bottom w:val="single" w:sz="6" w:space="0" w:color="3A7D5C"/>
              <w:right w:val="single" w:sz="6" w:space="0" w:color="3A7D5C"/>
            </w:tcBorders>
            <w:shd w:val="clear" w:color="auto" w:fill="E4F1EC"/>
            <w:tcMar>
              <w:top w:w="120" w:type="dxa"/>
              <w:left w:w="180" w:type="dxa"/>
              <w:bottom w:w="120" w:type="dxa"/>
              <w:right w:w="180" w:type="dxa"/>
            </w:tcMar>
          </w:tcPr>
          <w:p w14:paraId="3AB42B42" w14:textId="0B4FBA49" w:rsidR="0048278B" w:rsidRDefault="00000000">
            <w:pPr>
              <w:keepLines/>
              <w:spacing w:after="40" w:line="276" w:lineRule="auto"/>
            </w:pPr>
            <w:r>
              <w:rPr>
                <w:rFonts w:eastAsia="Calibri"/>
                <w:b/>
                <w:bCs/>
                <w:color w:val="2E6B4E"/>
              </w:rPr>
              <w:t xml:space="preserve">Brief.  </w:t>
            </w:r>
            <w:r>
              <w:rPr>
                <w:rFonts w:eastAsia="Calibri"/>
                <w:color w:val="4A5A78"/>
              </w:rPr>
              <w:t xml:space="preserve">Write a short executive summary for the Minister of Finance (5 to 8 sentences): how your SOE has performed over the last two years according to its KPIs, what the distress score says, what it could cost the budget (EFC as % of GDP), which early-warning signal it triggers, and what the fuel shock would add.</w:t>
            </w:r>
          </w:p>
          <w:p w14:paraId="2CEC60B7" w14:textId="77777777" w:rsidR="0048278B" w:rsidRDefault="0048278B">
            <w:pPr>
              <w:spacing w:line="264" w:lineRule="auto"/>
            </w:pPr>
          </w:p>
          <w:p w14:paraId="2CEC60B7" w14:textId="77777777" w:rsidR="0048278B" w:rsidRDefault="0048278B">
            <w:pPr>
              <w:spacing w:line="264" w:lineRule="auto"/>
            </w:pPr>
          </w:p>
          <w:p w14:paraId="2CEC60B7" w14:textId="77777777" w:rsidR="0048278B" w:rsidRDefault="0048278B">
            <w:pPr>
              <w:spacing w:line="264" w:lineRule="auto"/>
            </w:pPr>
          </w:p>
          <w:p w14:paraId="2CEC60B7" w14:textId="77777777" w:rsidR="0048278B" w:rsidRDefault="0048278B">
            <w:pPr>
              <w:spacing w:line="264" w:lineRule="auto"/>
            </w:pPr>
          </w:p>
          <w:p w14:paraId="2CEC60B7" w14:textId="77777777" w:rsidR="0048278B" w:rsidRDefault="0048278B">
            <w:pPr>
              <w:spacing w:line="264" w:lineRule="auto"/>
            </w:pPr>
          </w:p>
          <w:p w14:paraId="2CEC60B7" w14:textId="77777777" w:rsidR="0048278B" w:rsidRDefault="0048278B">
            <w:pPr>
              <w:spacing w:line="264" w:lineRule="auto"/>
            </w:pPr>
          </w:p>
          <w:p w14:paraId="679D6DEC" w14:textId="77777777" w:rsidR="0048278B" w:rsidRDefault="0048278B">
            <w:pPr>
              <w:pBdr>
                <w:bottom w:val="single" w:sz="4" w:space="1" w:color="C7C2B4"/>
              </w:pBdr>
              <w:spacing w:line="200" w:lineRule="auto"/>
            </w:pPr>
          </w:p>
        </w:tc>
      </w:tr>
    </w:tbl>
    <w:p>
      <w:pPr>
        <w:spacing w:after="0" w:line="70" w:lineRule="exact"/>
      </w:pPr>
    </w:p>
    <w:p w14:paraId="5777A25A" w14:textId="0E2515F4" w:rsidR="0048278B" w:rsidRDefault="00000000">
      <w:pPr>
        <w:keepLines/>
        <w:pBdr>
          <w:top w:val="single" w:sz="4" w:space="6" w:color="E4F1EC"/>
          <w:left w:val="single" w:sz="36" w:space="10" w:color="3A7D5C"/>
          <w:bottom w:val="single" w:sz="4" w:space="6" w:color="E4F1EC"/>
          <w:right w:val="single" w:sz="4" w:space="8" w:color="E4F1EC"/>
        </w:pBdr>
        <w:shd w:val="clear" w:color="auto" w:fill="E4F1EC"/>
        <w:spacing w:line="270" w:lineRule="auto"/>
        <w:ind w:left="300" w:right="170"/>
      </w:pPr>
      <w:r>
        <w:rPr>
          <w:rFonts w:eastAsia="Calibri"/>
          <w:i/>
          <w:iCs/>
          <w:color w:val="4A5A78"/>
          <w:sz w:val="20"/>
          <w:szCs w:val="20"/>
        </w:rPr>
        <w:t xml:space="preserve">Quick reference:  Safe Z″ &gt; 2.6  |  Grey 1.1 &lt; Z″ ≤ 2.6  |  Distress Z″ ≤ 1.1.  EFC = PD × EAD × LGD is the expected annual cost of the SOE's distress for the budget. It is not the same as the government's direct transfers to the SOE (such as tariff compensation): it is the probability-weighted cost of a contingent liability, which does not appear in the budget until it crystallises.</w:t>
      </w:r>
    </w:p>
    <w:sectPr w:rsidR="0048278B">
      <w:footerReference w:type="even" r:id="rId11"/>
      <w:footerReference w:type="default" r:id="rId12"/>
      <w:footerReference w:type="first" r:id="rId13"/>
      <w:pgSz w:w="12240" w:h="15840"/>
      <w:pgMar w:top="1300" w:right="1440" w:bottom="1200" w:left="1440" w:header="708"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4D380" w14:textId="77777777" w:rsidR="00DA3360" w:rsidRDefault="00DA3360">
      <w:r>
        <w:separator/>
      </w:r>
    </w:p>
  </w:endnote>
  <w:endnote w:type="continuationSeparator" w:id="0">
    <w:p w14:paraId="79A5FE65" w14:textId="77777777" w:rsidR="00DA3360" w:rsidRDefault="00DA33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8B823" w14:textId="0AA6EFC7" w:rsidR="00302AFF" w:rsidRDefault="00302AFF">
    <w:pPr>
      <w:pStyle w:val="Footer"/>
    </w:pPr>
    <w:r>
      <w:rPr>
        <w:noProof/>
      </w:rPr>
      <mc:AlternateContent>
        <mc:Choice Requires="wps">
          <w:drawing>
            <wp:anchor distT="0" distB="0" distL="0" distR="0" simplePos="0" relativeHeight="251659264" behindDoc="0" locked="0" layoutInCell="1" allowOverlap="1" wp14:anchorId="41495F23" wp14:editId="0D3BCC30">
              <wp:simplePos x="635" y="635"/>
              <wp:positionH relativeFrom="page">
                <wp:align>right</wp:align>
              </wp:positionH>
              <wp:positionV relativeFrom="page">
                <wp:align>bottom</wp:align>
              </wp:positionV>
              <wp:extent cx="1172210" cy="345440"/>
              <wp:effectExtent l="0" t="0" r="0" b="0"/>
              <wp:wrapNone/>
              <wp:docPr id="877209801"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45440"/>
                      </a:xfrm>
                      <a:prstGeom prst="rect">
                        <a:avLst/>
                      </a:prstGeom>
                      <a:noFill/>
                      <a:ln>
                        <a:noFill/>
                      </a:ln>
                    </wps:spPr>
                    <wps:txbx>
                      <w:txbxContent>
                        <w:p w14:paraId="68AB80AE" w14:textId="16748CF9" w:rsidR="00302AFF" w:rsidRPr="00302AFF" w:rsidRDefault="00302AFF" w:rsidP="00302AFF">
                          <w:pPr>
                            <w:rPr>
                              <w:rFonts w:ascii="Aptos" w:eastAsia="Aptos" w:hAnsi="Aptos" w:cs="Aptos"/>
                              <w:noProof/>
                              <w:color w:val="000000"/>
                              <w:sz w:val="20"/>
                              <w:szCs w:val="20"/>
                            </w:rPr>
                          </w:pPr>
                          <w:r w:rsidRPr="00302AFF">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1495F23" id="_x0000_t202" coordsize="21600,21600" o:spt="202" path="m,l,21600r21600,l21600,xe">
              <v:stroke joinstyle="miter"/>
              <v:path gradientshapeok="t" o:connecttype="rect"/>
            </v:shapetype>
            <v:shape id="Text Box 2" o:spid="_x0000_s1026" type="#_x0000_t202" alt="Official Use Only" style="position:absolute;margin-left:41.1pt;margin-top:0;width:92.3pt;height:27.2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" filled="f" stroked="f">
              <v:textbox style="mso-fit-shape-to-text:t" inset="0,0,20pt,15pt">
                <w:txbxContent>
                  <w:p w14:paraId="68AB80AE" w14:textId="16748CF9" w:rsidR="00302AFF" w:rsidRPr="00302AFF" w:rsidRDefault="00302AFF" w:rsidP="00302AFF">
                    <w:pPr>
                      <w:rPr>
                        <w:rFonts w:ascii="Aptos" w:eastAsia="Aptos" w:hAnsi="Aptos" w:cs="Aptos"/>
                        <w:noProof/>
                        <w:color w:val="000000"/>
                        <w:sz w:val="20"/>
                        <w:szCs w:val="20"/>
                      </w:rPr>
                    </w:pPr>
                    <w:r w:rsidRPr="00302AFF">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15BF7" w14:textId="22B9E3B7" w:rsidR="0048278B" w:rsidRDefault="00302AFF">
    <w:pPr>
      <w:tabs>
        <w:tab w:val="right" w:pos="9360"/>
      </w:tabs>
    </w:pPr>
    <w:r>
      <w:rPr>
        <w:noProof/>
        <w:color w:val="6B7280"/>
        <w:sz w:val="17"/>
        <w:szCs w:val="17"/>
      </w:rPr>
      <mc:AlternateContent>
        <mc:Choice Requires="wps">
          <w:drawing>
            <wp:anchor distT="0" distB="0" distL="0" distR="0" simplePos="0" relativeHeight="251660288" behindDoc="0" locked="0" layoutInCell="1" allowOverlap="1" wp14:anchorId="5061B779" wp14:editId="59949286">
              <wp:simplePos x="914400" y="9601200"/>
              <wp:positionH relativeFrom="page">
                <wp:align>right</wp:align>
              </wp:positionH>
              <wp:positionV relativeFrom="page">
                <wp:align>bottom</wp:align>
              </wp:positionV>
              <wp:extent cx="1172210" cy="345440"/>
              <wp:effectExtent l="0" t="0" r="0" b="0"/>
              <wp:wrapNone/>
              <wp:docPr id="1372270398"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45440"/>
                      </a:xfrm>
                      <a:prstGeom prst="rect">
                        <a:avLst/>
                      </a:prstGeom>
                      <a:noFill/>
                      <a:ln>
                        <a:noFill/>
                      </a:ln>
                    </wps:spPr>
                    <wps:txbx>
                      <w:txbxContent>
                        <w:p w14:paraId="25538E63" w14:textId="118A3DDD" w:rsidR="00302AFF" w:rsidRPr="00302AFF" w:rsidRDefault="00302AFF" w:rsidP="00302AFF">
                          <w:pPr>
                            <w:rPr>
                              <w:rFonts w:ascii="Aptos" w:eastAsia="Aptos" w:hAnsi="Aptos" w:cs="Aptos"/>
                              <w:noProof/>
                              <w:color w:val="000000"/>
                              <w:sz w:val="20"/>
                              <w:szCs w:val="20"/>
                            </w:rPr>
                          </w:pPr>
                          <w:r w:rsidRPr="00302AFF">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061B779" id="_x0000_t202" coordsize="21600,21600" o:spt="202" path="m,l,21600r21600,l21600,xe">
              <v:stroke joinstyle="miter"/>
              <v:path gradientshapeok="t" o:connecttype="rect"/>
            </v:shapetype>
            <v:shape id="Text Box 3" o:spid="_x0000_s1027" type="#_x0000_t202" alt="Official Use Only" style="position:absolute;margin-left:41.1pt;margin-top:0;width:92.3pt;height:27.2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" filled="f" stroked="f">
              <v:textbox style="mso-fit-shape-to-text:t" inset="0,0,20pt,15pt">
                <w:txbxContent>
                  <w:p w14:paraId="25538E63" w14:textId="118A3DDD" w:rsidR="00302AFF" w:rsidRPr="00302AFF" w:rsidRDefault="00302AFF" w:rsidP="00302AFF">
                    <w:pPr>
                      <w:rPr>
                        <w:rFonts w:ascii="Aptos" w:eastAsia="Aptos" w:hAnsi="Aptos" w:cs="Aptos"/>
                        <w:noProof/>
                        <w:color w:val="000000"/>
                        <w:sz w:val="20"/>
                        <w:szCs w:val="20"/>
                      </w:rPr>
                    </w:pPr>
                    <w:r w:rsidRPr="00302AFF">
                      <w:rPr>
                        <w:rFonts w:ascii="Aptos" w:eastAsia="Aptos" w:hAnsi="Aptos" w:cs="Aptos"/>
                        <w:noProof/>
                        <w:color w:val="000000"/>
                        <w:sz w:val="20"/>
                        <w:szCs w:val="20"/>
                      </w:rPr>
                      <w:t>Official Use Only</w:t>
                    </w:r>
                  </w:p>
                </w:txbxContent>
              </v:textbox>
              <w10:wrap anchorx="page" anchory="page"/>
            </v:shape>
          </w:pict>
        </mc:Fallback>
      </mc:AlternateContent>
    </w:r>
    <w:r>
      <w:rPr>
        <w:rFonts w:eastAsia="Calibri"/>
        <w:color w:val="6B7280"/>
        <w:sz w:val="17"/>
        <w:szCs w:val="17"/>
      </w:rPr>
      <w:t xml:space="preserve">Page </w:t>
    </w:r>
    <w:r>
      <w:rPr>
        <w:color w:val="6B7280"/>
        <w:sz w:val="17"/>
        <w:szCs w:val="17"/>
      </w:rPr>
      <w:fldChar w:fldCharType="begin"/>
    </w:r>
    <w:r>
      <w:rPr>
        <w:rFonts w:eastAsia="Calibri"/>
        <w:color w:val="6B7280"/>
        <w:sz w:val="17"/>
        <w:szCs w:val="17"/>
      </w:rPr>
      <w:instrText>PAGE</w:instrText>
    </w:r>
    <w:r>
      <w:rPr>
        <w:color w:val="6B7280"/>
        <w:sz w:val="17"/>
        <w:szCs w:val="17"/>
      </w:rPr>
      <w:fldChar w:fldCharType="separate"/>
    </w:r>
    <w:r w:rsidR="00AB7A44">
      <w:rPr>
        <w:noProof/>
        <w:color w:val="6B7280"/>
        <w:sz w:val="17"/>
        <w:szCs w:val="17"/>
      </w:rPr>
      <w:t>1</w:t>
    </w:r>
    <w:r>
      <w:rPr>
        <w:color w:val="6B7280"/>
        <w:sz w:val="17"/>
        <w:szCs w:val="17"/>
      </w:rPr>
      <w:fldChar w:fldCharType="end"/>
    </w:r>
    <w:r>
      <w:rPr>
        <w:rFonts w:eastAsia="Calibri"/>
        <w:color w:val="000000"/>
        <w:sz w:val="18"/>
        <w:szCs w:val="18"/>
      </w:rPr>
      <w:tab/>
      <w:t>Official Use Only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25537" w14:textId="5FA3D3E6" w:rsidR="00302AFF" w:rsidRDefault="00302AFF">
    <w:pPr>
      <w:pStyle w:val="Footer"/>
    </w:pPr>
    <w:r>
      <w:rPr>
        <w:noProof/>
      </w:rPr>
      <mc:AlternateContent>
        <mc:Choice Requires="wps">
          <w:drawing>
            <wp:anchor distT="0" distB="0" distL="0" distR="0" simplePos="0" relativeHeight="251658240" behindDoc="0" locked="0" layoutInCell="1" allowOverlap="1" wp14:anchorId="2B050C7A" wp14:editId="1D4D658F">
              <wp:simplePos x="635" y="635"/>
              <wp:positionH relativeFrom="page">
                <wp:align>right</wp:align>
              </wp:positionH>
              <wp:positionV relativeFrom="page">
                <wp:align>bottom</wp:align>
              </wp:positionV>
              <wp:extent cx="1172210" cy="345440"/>
              <wp:effectExtent l="0" t="0" r="0" b="0"/>
              <wp:wrapNone/>
              <wp:docPr id="1990715274"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45440"/>
                      </a:xfrm>
                      <a:prstGeom prst="rect">
                        <a:avLst/>
                      </a:prstGeom>
                      <a:noFill/>
                      <a:ln>
                        <a:noFill/>
                      </a:ln>
                    </wps:spPr>
                    <wps:txbx>
                      <w:txbxContent>
                        <w:p w14:paraId="7A77F3FC" w14:textId="66D812EA" w:rsidR="00302AFF" w:rsidRPr="00302AFF" w:rsidRDefault="00302AFF" w:rsidP="00302AFF">
                          <w:pPr>
                            <w:rPr>
                              <w:rFonts w:ascii="Aptos" w:eastAsia="Aptos" w:hAnsi="Aptos" w:cs="Aptos"/>
                              <w:noProof/>
                              <w:color w:val="000000"/>
                              <w:sz w:val="20"/>
                              <w:szCs w:val="20"/>
                            </w:rPr>
                          </w:pPr>
                          <w:r w:rsidRPr="00302AFF">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B050C7A" id="_x0000_t202" coordsize="21600,21600" o:spt="202" path="m,l,21600r21600,l21600,xe">
              <v:stroke joinstyle="miter"/>
              <v:path gradientshapeok="t" o:connecttype="rect"/>
            </v:shapetype>
            <v:shape id="Text Box 1" o:spid="_x0000_s1028" type="#_x0000_t202" alt="Official Use Only" style="position:absolute;margin-left:41.1pt;margin-top:0;width:92.3pt;height:27.2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" filled="f" stroked="f">
              <v:textbox style="mso-fit-shape-to-text:t" inset="0,0,20pt,15pt">
                <w:txbxContent>
                  <w:p w14:paraId="7A77F3FC" w14:textId="66D812EA" w:rsidR="00302AFF" w:rsidRPr="00302AFF" w:rsidRDefault="00302AFF" w:rsidP="00302AFF">
                    <w:pPr>
                      <w:rPr>
                        <w:rFonts w:ascii="Aptos" w:eastAsia="Aptos" w:hAnsi="Aptos" w:cs="Aptos"/>
                        <w:noProof/>
                        <w:color w:val="000000"/>
                        <w:sz w:val="20"/>
                        <w:szCs w:val="20"/>
                      </w:rPr>
                    </w:pPr>
                    <w:r w:rsidRPr="00302AFF">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0BF5E" w14:textId="77777777" w:rsidR="00DA3360" w:rsidRDefault="00DA3360">
      <w:r>
        <w:separator/>
      </w:r>
    </w:p>
  </w:footnote>
  <w:footnote w:type="continuationSeparator" w:id="0">
    <w:p w14:paraId="2203A396" w14:textId="77777777" w:rsidR="00DA3360" w:rsidRDefault="00DA33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72FB3"/>
    <w:multiLevelType w:val="hybridMultilevel"/>
    <w:tmpl w:val="32C86B08"/>
    <w:lvl w:ilvl="0" w:tplc="9CEC776C" w:tentative="1">
      <w:start w:val="1"/>
      <w:numFmt w:val="bullet"/>
      <w:lvlText w:val="•"/>
      <w:lvlJc w:val="left"/>
      <w:pPr>
        <w:ind w:left="400" w:hanging="260"/>
      </w:pPr>
      <w:rPr>
        <w:rFonts w:ascii="Calibri" w:eastAsia="Calibri" w:hAnsi="Calibri" w:cs="Calibri"/>
        <w:color w:val="4A5A78"/>
      </w:rPr>
    </w:lvl>
    <w:lvl w:ilvl="1" w:tplc="DB5877C4">
      <w:numFmt w:val="decimal"/>
      <w:lvlText w:val=""/>
      <w:lvlJc w:val="left"/>
    </w:lvl>
    <w:lvl w:ilvl="2" w:tplc="2EACFAB0">
      <w:numFmt w:val="decimal"/>
      <w:lvlText w:val=""/>
      <w:lvlJc w:val="left"/>
    </w:lvl>
    <w:lvl w:ilvl="3" w:tplc="C396F82E">
      <w:numFmt w:val="decimal"/>
      <w:lvlText w:val=""/>
      <w:lvlJc w:val="left"/>
    </w:lvl>
    <w:lvl w:ilvl="4" w:tplc="8886086A">
      <w:numFmt w:val="decimal"/>
      <w:lvlText w:val=""/>
      <w:lvlJc w:val="left"/>
    </w:lvl>
    <w:lvl w:ilvl="5" w:tplc="0D6AE030">
      <w:numFmt w:val="decimal"/>
      <w:lvlText w:val=""/>
      <w:lvlJc w:val="left"/>
    </w:lvl>
    <w:lvl w:ilvl="6" w:tplc="3AE2513A">
      <w:numFmt w:val="decimal"/>
      <w:lvlText w:val=""/>
      <w:lvlJc w:val="left"/>
    </w:lvl>
    <w:lvl w:ilvl="7" w:tplc="9B2433D6">
      <w:numFmt w:val="decimal"/>
      <w:lvlText w:val=""/>
      <w:lvlJc w:val="left"/>
    </w:lvl>
    <w:lvl w:ilvl="8" w:tplc="FFE47CCC">
      <w:numFmt w:val="decimal"/>
      <w:lvlText w:val=""/>
      <w:lvlJc w:val="left"/>
    </w:lvl>
  </w:abstractNum>
  <w:abstractNum w:abstractNumId="1" w15:restartNumberingAfterBreak="0">
    <w:nsid w:val="3E421C79"/>
    <w:multiLevelType w:val="hybridMultilevel"/>
    <w:tmpl w:val="1BFE473A"/>
    <w:lvl w:ilvl="0" w:tplc="C88C4500">
      <w:start w:val="1"/>
      <w:numFmt w:val="lowerLetter"/>
      <w:lvlText w:val="%1)"/>
      <w:lvlJc w:val="left"/>
      <w:pPr>
        <w:ind w:left="400" w:hanging="300"/>
      </w:pPr>
      <w:rPr>
        <w:rFonts w:ascii="Calibri" w:eastAsia="Calibri" w:hAnsi="Calibri" w:cs="Calibri"/>
        <w:b/>
        <w:bCs/>
        <w:color w:val="1B2A47"/>
      </w:rPr>
    </w:lvl>
    <w:lvl w:ilvl="1" w:tplc="8E968712">
      <w:numFmt w:val="decimal"/>
      <w:lvlText w:val=""/>
      <w:lvlJc w:val="left"/>
    </w:lvl>
    <w:lvl w:ilvl="2" w:tplc="4498D9C6">
      <w:numFmt w:val="decimal"/>
      <w:lvlText w:val=""/>
      <w:lvlJc w:val="left"/>
    </w:lvl>
    <w:lvl w:ilvl="3" w:tplc="25720D16">
      <w:numFmt w:val="decimal"/>
      <w:lvlText w:val=""/>
      <w:lvlJc w:val="left"/>
    </w:lvl>
    <w:lvl w:ilvl="4" w:tplc="65F62134">
      <w:numFmt w:val="decimal"/>
      <w:lvlText w:val=""/>
      <w:lvlJc w:val="left"/>
    </w:lvl>
    <w:lvl w:ilvl="5" w:tplc="1A06D4B0">
      <w:numFmt w:val="decimal"/>
      <w:lvlText w:val=""/>
      <w:lvlJc w:val="left"/>
    </w:lvl>
    <w:lvl w:ilvl="6" w:tplc="FC7022A6">
      <w:numFmt w:val="decimal"/>
      <w:lvlText w:val=""/>
      <w:lvlJc w:val="left"/>
    </w:lvl>
    <w:lvl w:ilvl="7" w:tplc="7CBA9010">
      <w:numFmt w:val="decimal"/>
      <w:lvlText w:val=""/>
      <w:lvlJc w:val="left"/>
    </w:lvl>
    <w:lvl w:ilvl="8" w:tplc="244CB9A6">
      <w:numFmt w:val="decimal"/>
      <w:lvlText w:val=""/>
      <w:lvlJc w:val="left"/>
    </w:lvl>
  </w:abstractNum>
  <w:abstractNum w:abstractNumId="2" w15:restartNumberingAfterBreak="0">
    <w:nsid w:val="6A727174"/>
    <w:multiLevelType w:val="hybridMultilevel"/>
    <w:tmpl w:val="9D96214E"/>
    <w:lvl w:ilvl="0" w:tplc="07EE7B38" w:tentative="1">
      <w:start w:val="1"/>
      <w:numFmt w:val="bullet"/>
      <w:lvlText w:val="●"/>
      <w:lvlJc w:val="left"/>
      <w:pPr>
        <w:ind w:left="720" w:hanging="360"/>
      </w:pPr>
    </w:lvl>
    <w:lvl w:ilvl="1" w:tplc="83DC1D90" w:tentative="1">
      <w:start w:val="1"/>
      <w:numFmt w:val="bullet"/>
      <w:lvlText w:val="○"/>
      <w:lvlJc w:val="left"/>
      <w:pPr>
        <w:ind w:left="1440" w:hanging="360"/>
      </w:pPr>
    </w:lvl>
    <w:lvl w:ilvl="2" w:tplc="8B583D46" w:tentative="1">
      <w:start w:val="1"/>
      <w:numFmt w:val="bullet"/>
      <w:lvlText w:val="■"/>
      <w:lvlJc w:val="left"/>
      <w:pPr>
        <w:ind w:left="2160" w:hanging="360"/>
      </w:pPr>
    </w:lvl>
    <w:lvl w:ilvl="3" w:tplc="F79E2602" w:tentative="1">
      <w:start w:val="1"/>
      <w:numFmt w:val="bullet"/>
      <w:lvlText w:val="●"/>
      <w:lvlJc w:val="left"/>
      <w:pPr>
        <w:ind w:left="2880" w:hanging="360"/>
      </w:pPr>
    </w:lvl>
    <w:lvl w:ilvl="4" w:tplc="7092EE48" w:tentative="1">
      <w:start w:val="1"/>
      <w:numFmt w:val="bullet"/>
      <w:lvlText w:val="○"/>
      <w:lvlJc w:val="left"/>
      <w:pPr>
        <w:ind w:left="3600" w:hanging="360"/>
      </w:pPr>
    </w:lvl>
    <w:lvl w:ilvl="5" w:tplc="EA58F90C" w:tentative="1">
      <w:start w:val="1"/>
      <w:numFmt w:val="bullet"/>
      <w:lvlText w:val="■"/>
      <w:lvlJc w:val="left"/>
      <w:pPr>
        <w:ind w:left="4320" w:hanging="360"/>
      </w:pPr>
    </w:lvl>
    <w:lvl w:ilvl="6" w:tplc="C70A62C4" w:tentative="1">
      <w:start w:val="1"/>
      <w:numFmt w:val="bullet"/>
      <w:lvlText w:val="●"/>
      <w:lvlJc w:val="left"/>
      <w:pPr>
        <w:ind w:left="5040" w:hanging="360"/>
      </w:pPr>
    </w:lvl>
    <w:lvl w:ilvl="7" w:tplc="62ACB6A8" w:tentative="1">
      <w:start w:val="1"/>
      <w:numFmt w:val="bullet"/>
      <w:lvlText w:val="●"/>
      <w:lvlJc w:val="left"/>
      <w:pPr>
        <w:ind w:left="5760" w:hanging="360"/>
      </w:pPr>
    </w:lvl>
    <w:lvl w:ilvl="8" w:tplc="C21E9D7A" w:tentative="1">
      <w:start w:val="1"/>
      <w:numFmt w:val="bullet"/>
      <w:lvlText w:val="●"/>
      <w:lvlJc w:val="left"/>
      <w:pPr>
        <w:ind w:left="6480" w:hanging="360"/>
      </w:pPr>
    </w:lvl>
  </w:abstractNum>
  <w:num w:numId="1" w16cid:durableId="180169281">
    <w:abstractNumId w:val="2"/>
    <w:lvlOverride w:ilvl="0">
      <w:startOverride w:val="1"/>
    </w:lvlOverride>
  </w:num>
  <w:num w:numId="2" w16cid:durableId="1977175453">
    <w:abstractNumId w:val="1"/>
    <w:lvlOverride w:ilvl="0">
      <w:startOverride w:val="1"/>
    </w:lvlOverride>
  </w:num>
  <w:num w:numId="3" w16cid:durableId="1762068893">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n Nana Darko Francois">
    <w15:presenceInfo w15:providerId="AD" w15:userId="S::jfrancois1@worldbankgroup.org::9f372e11-03e3-40ab-ac6e-57a1053e3af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isplayBackgroundShape/>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78B"/>
    <w:rsid w:val="000524E7"/>
    <w:rsid w:val="000E3505"/>
    <w:rsid w:val="001C289E"/>
    <w:rsid w:val="00242306"/>
    <w:rsid w:val="002E1D1E"/>
    <w:rsid w:val="00302AFF"/>
    <w:rsid w:val="00433C15"/>
    <w:rsid w:val="00450BB7"/>
    <w:rsid w:val="0048278B"/>
    <w:rsid w:val="005D0AAF"/>
    <w:rsid w:val="005E308A"/>
    <w:rsid w:val="00715AA5"/>
    <w:rsid w:val="00815747"/>
    <w:rsid w:val="009539F5"/>
    <w:rsid w:val="009E0DDC"/>
    <w:rsid w:val="00A57264"/>
    <w:rsid w:val="00AB7A44"/>
    <w:rsid w:val="00B85111"/>
    <w:rsid w:val="00C02F87"/>
    <w:rsid w:val="00DA3360"/>
    <w:rsid w:val="00E00582"/>
    <w:rsid w:val="00E04546"/>
    <w:rsid w:val="00E66F59"/>
    <w:rsid w:val="00EB606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EAC51"/>
  <w15:docId w15:val="{482C3656-CF8C-4668-B197-11147C905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color w:val="2B2F36"/>
        <w:sz w:val="21"/>
        <w:szCs w:val="21"/>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302AFF"/>
    <w:pPr>
      <w:tabs>
        <w:tab w:val="center" w:pos="4680"/>
        <w:tab w:val="right" w:pos="9360"/>
      </w:tabs>
    </w:pPr>
  </w:style>
  <w:style w:type="character" w:customStyle="1" w:styleId="FooterChar">
    <w:name w:val="Footer Char"/>
    <w:basedOn w:val="DefaultParagraphFont"/>
    <w:link w:val="Footer"/>
    <w:uiPriority w:val="99"/>
    <w:rsid w:val="00302AFF"/>
  </w:style>
  <w:style w:type="paragraph" w:styleId="Revision">
    <w:name w:val="Revision"/>
    <w:hidden/>
    <w:uiPriority w:val="99"/>
    <w:semiHidden/>
    <w:rsid w:val="000524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11/relationships/people" Target="people.xml"/><Relationship Id="rId4" Type="http://schemas.openxmlformats.org/officeDocument/2006/relationships/settings" Target="settings.xml"/><Relationship Id="rId14" Type="http://schemas.openxmlformats.org/officeDocument/2006/relationships/fontTable" Target="fontTable.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E2075D-3E18-495C-B890-51E99F3C7A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16</Pages>
  <Words>2862</Words>
  <Characters>16314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Hands-On Training Workbook: SOE Fiscal Risk</vt:lpstr>
    </vt:vector>
  </TitlesOfParts>
  <Company/>
  <LinksUpToDate>false</LinksUpToDate>
  <CharactersWithSpaces>19138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Hands-On Training Workbook: SOE Fiscal Risk</dc:title>
  <dc:creator>SOE fiscal risk training team</dc:creator>
  <cp:lastModifiedBy>John Nana Darko Francois</cp:lastModifiedBy>
  <cp:revision>19</cp:revision>
  <dcterms:created xsi:type="dcterms:W3CDTF">2026-10-29T16:44:00Z</dcterms:created>
  <dcterms:modified xsi:type="dcterms:W3CDTF">2026-10-30T19:28:00Z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76a7e78a,344928c9,51cb2f3e</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2026-10-29T18:35:34Z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e65ee57f-27e2-4135-8fb3-35d0f32b70d0</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