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rPr>
          <w:rFonts w:ascii="Calibri" w:hAnsi="Calibri" w:eastAsia="Malgun Gothic" w:cs="Malgun Gothic"/>
          <w:b/>
          <w:color w:val="2E74B5"/>
          <w:sz w:val="32"/>
        </w:rPr>
        <w:t>전시 동원예비군 수송체계 연구에서 정해야 할 핵심 가정</w:t>
      </w:r>
    </w:p>
    <w:p>
      <w:pPr>
        <w:pStyle w:val="ResearchContext"/>
        <w:keepNext/>
      </w:pPr>
      <w:r>
        <w:rPr>
          <w:rFonts w:ascii="Calibri" w:hAnsi="Calibri" w:eastAsia="Malgun Gothic" w:cs="Malgun Gothic"/>
          <w:b w:val="0"/>
          <w:color w:val="17212B"/>
          <w:sz w:val="20"/>
        </w:rPr>
        <w:t>이 연구는 전시 동원예비군 약 1,000명을 수도권 집결지에서 강원 고성권까지 수송하는 상황을 다룬다. 버스만 이용하는 방식과 철도·버스를 연계하는 방식을 같은 조건에서 비교한다. 도로·철도 이용 여건이 달라질 때 어느 방식이 유리해지는지도 살펴본다. 실제 작전계획이나 특정 이동경로를 제시하려는 연구는 아니다.</w:t>
      </w:r>
    </w:p>
    <w:p>
      <w:pPr>
        <w:pStyle w:val="ResearchContext"/>
        <w:keepNext/>
      </w:pPr>
      <w:r>
        <w:rPr>
          <w:rFonts w:ascii="Calibri" w:hAnsi="Calibri" w:eastAsia="Malgun Gothic" w:cs="Malgun Gothic"/>
          <w:b w:val="0"/>
          <w:color w:val="17212B"/>
          <w:sz w:val="20"/>
        </w:rPr>
        <w:t>현재 계산은 열차와 버스가 일정량 확보되고 철도를 정상적으로 이용할 수 있다고 임시로 본다. 실제 전시에는 열차를 1편만 쓸지 2편 이상 쓸지, 일반 승객이나 다른 군 수송수요와 좌석을 나눌지, 버스와 운전자를 얼마나 확보할지 불확실하다. 이런 판단이 달라지면 결과도 달라진다. 이 문서는 아래 항목을 군 관계자와 논의해 연구 가정으로 정하기 위한 자료다.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shd w:val="clear" w:color="auto" w:fill="E8EEF5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4" w:space="0" w:color="C8D2DD"/>
              <w:left w:val="single" w:sz="4" w:space="0" w:color="C8D2DD"/>
              <w:bottom w:val="single" w:sz="4" w:space="0" w:color="C8D2DD"/>
              <w:right w:val="single" w:sz="4" w:space="0" w:color="C8D2DD"/>
              <w:insideH w:val="single" w:sz="4" w:space="0" w:color="C8D2DD"/>
              <w:insideV w:val="single" w:sz="4" w:space="0" w:color="C8D2DD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algun Gothic" w:cs="Malgun Gothic"/>
                <w:b/>
                <w:color w:val="17212B"/>
                <w:sz w:val="20"/>
              </w:rPr>
              <w:t>정해야 할 핵심 항목</w:t>
            </w:r>
          </w:p>
        </w:tc>
        <w:tc>
          <w:tcPr>
            <w:tcW w:type="dxa" w:w="6960"/>
            <w:shd w:val="clear" w:color="auto" w:fill="E8EEF5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4" w:space="0" w:color="C8D2DD"/>
              <w:left w:val="single" w:sz="4" w:space="0" w:color="C8D2DD"/>
              <w:bottom w:val="single" w:sz="4" w:space="0" w:color="C8D2DD"/>
              <w:right w:val="single" w:sz="4" w:space="0" w:color="C8D2DD"/>
              <w:insideH w:val="single" w:sz="4" w:space="0" w:color="C8D2DD"/>
              <w:insideV w:val="single" w:sz="4" w:space="0" w:color="C8D2DD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algun Gothic" w:cs="Malgun Gothic"/>
                <w:b/>
                <w:color w:val="17212B"/>
                <w:sz w:val="20"/>
              </w:rPr>
              <w:t>세부 결정내용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4" w:space="0" w:color="C8D2DD"/>
              <w:left w:val="single" w:sz="4" w:space="0" w:color="C8D2DD"/>
              <w:bottom w:val="single" w:sz="4" w:space="0" w:color="C8D2DD"/>
              <w:right w:val="single" w:sz="4" w:space="0" w:color="C8D2DD"/>
              <w:insideH w:val="single" w:sz="4" w:space="0" w:color="C8D2DD"/>
              <w:insideV w:val="single" w:sz="4" w:space="0" w:color="C8D2DD"/>
            </w:tcBorders>
          </w:tcPr>
          <w:p>
            <w:pPr>
              <w:pStyle w:val="CoreItem"/>
              <w:spacing w:before="0" w:after="0"/>
            </w:pPr>
            <w:r>
              <w:rPr>
                <w:rFonts w:ascii="Calibri" w:hAnsi="Calibri" w:eastAsia="Malgun Gothic" w:cs="Malgun Gothic"/>
                <w:b/>
                <w:color w:val="1F4D78"/>
                <w:sz w:val="20"/>
              </w:rPr>
              <w:t>1. 수송 대상과 임무 완료 기준</w:t>
            </w:r>
          </w:p>
        </w:tc>
        <w:tc>
          <w:tcPr>
            <w:tcW w:type="dxa" w:w="6960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4" w:space="0" w:color="C8D2DD"/>
              <w:left w:val="single" w:sz="4" w:space="0" w:color="C8D2DD"/>
              <w:bottom w:val="single" w:sz="4" w:space="0" w:color="C8D2DD"/>
              <w:right w:val="single" w:sz="4" w:space="0" w:color="C8D2DD"/>
              <w:insideH w:val="single" w:sz="4" w:space="0" w:color="C8D2DD"/>
              <w:insideV w:val="single" w:sz="4" w:space="0" w:color="C8D2DD"/>
            </w:tcBorders>
          </w:tcPr>
          <w:p>
            <w:pPr>
              <w:pStyle w:val="CoreDetail"/>
              <w:spacing w:before="0" w:after="20" w:line="276" w:lineRule="auto"/>
              <w:numPr>
                <w:ilvl w:val="0"/>
                <w:numId w:val="10"/>
              </w:numPr>
            </w:pPr>
            <w:r>
              <w:rPr>
                <w:rFonts w:ascii="Calibri" w:hAnsi="Calibri" w:eastAsia="Malgun Gothic" w:cs="Malgun Gothic"/>
                <w:b w:val="0"/>
                <w:color w:val="17212B"/>
                <w:sz w:val="20"/>
              </w:rPr>
              <w:t>기준 수송인원과 인원이 늘거나 줄어드는 범위를 정한다.</w:t>
            </w:r>
          </w:p>
          <w:p>
            <w:pPr>
              <w:pStyle w:val="CoreDetail"/>
              <w:spacing w:before="0" w:after="20" w:line="276" w:lineRule="auto"/>
              <w:numPr>
                <w:ilvl w:val="0"/>
                <w:numId w:val="10"/>
              </w:numPr>
            </w:pPr>
            <w:r>
              <w:rPr>
                <w:rFonts w:ascii="Calibri" w:hAnsi="Calibri" w:eastAsia="Malgun Gothic" w:cs="Malgun Gothic"/>
                <w:b w:val="0"/>
                <w:color w:val="17212B"/>
                <w:sz w:val="20"/>
              </w:rPr>
              <w:t>인원이 한꺼번에 모일지 시간에 걸쳐 도착할지, 지각자와 미응소자를 따로 처리할지 정한다.</w:t>
            </w:r>
          </w:p>
          <w:p>
            <w:pPr>
              <w:pStyle w:val="CoreDetail"/>
              <w:spacing w:before="0" w:after="0" w:line="276" w:lineRule="auto"/>
              <w:numPr>
                <w:ilvl w:val="0"/>
                <w:numId w:val="10"/>
              </w:numPr>
            </w:pPr>
            <w:r>
              <w:rPr>
                <w:rFonts w:ascii="Calibri" w:hAnsi="Calibri" w:eastAsia="Malgun Gothic" w:cs="Malgun Gothic"/>
                <w:b w:val="0"/>
                <w:color w:val="17212B"/>
                <w:sz w:val="20"/>
              </w:rPr>
              <w:t>몇 명이 언제까지 도착해야 임무가 끝난 것으로 볼지, 우선수송 대상이 있는지 정한다.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4" w:space="0" w:color="C8D2DD"/>
              <w:left w:val="single" w:sz="4" w:space="0" w:color="C8D2DD"/>
              <w:bottom w:val="single" w:sz="4" w:space="0" w:color="C8D2DD"/>
              <w:right w:val="single" w:sz="4" w:space="0" w:color="C8D2DD"/>
              <w:insideH w:val="single" w:sz="4" w:space="0" w:color="C8D2DD"/>
              <w:insideV w:val="single" w:sz="4" w:space="0" w:color="C8D2DD"/>
            </w:tcBorders>
          </w:tcPr>
          <w:p>
            <w:pPr>
              <w:pStyle w:val="CoreItem"/>
              <w:spacing w:before="0" w:after="0"/>
            </w:pPr>
            <w:r>
              <w:rPr>
                <w:rFonts w:ascii="Calibri" w:hAnsi="Calibri" w:eastAsia="Malgun Gothic" w:cs="Malgun Gothic"/>
                <w:b/>
                <w:color w:val="1F4D78"/>
                <w:sz w:val="20"/>
              </w:rPr>
              <w:t>2. 비교할 수송 방식과 자원 기준</w:t>
            </w:r>
          </w:p>
        </w:tc>
        <w:tc>
          <w:tcPr>
            <w:tcW w:type="dxa" w:w="6960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4" w:space="0" w:color="C8D2DD"/>
              <w:left w:val="single" w:sz="4" w:space="0" w:color="C8D2DD"/>
              <w:bottom w:val="single" w:sz="4" w:space="0" w:color="C8D2DD"/>
              <w:right w:val="single" w:sz="4" w:space="0" w:color="C8D2DD"/>
              <w:insideH w:val="single" w:sz="4" w:space="0" w:color="C8D2DD"/>
              <w:insideV w:val="single" w:sz="4" w:space="0" w:color="C8D2DD"/>
            </w:tcBorders>
          </w:tcPr>
          <w:p>
            <w:pPr>
              <w:pStyle w:val="CoreDetail"/>
              <w:spacing w:before="0" w:after="20" w:line="276" w:lineRule="auto"/>
              <w:numPr>
                <w:ilvl w:val="0"/>
                <w:numId w:val="10"/>
              </w:numPr>
            </w:pPr>
            <w:r>
              <w:rPr>
                <w:rFonts w:ascii="Calibri" w:hAnsi="Calibri" w:eastAsia="Malgun Gothic" w:cs="Malgun Gothic"/>
                <w:b w:val="0"/>
                <w:color w:val="17212B"/>
                <w:sz w:val="20"/>
              </w:rPr>
              <w:t>버스 단독, 철도·버스 연계, 철도 이용이 어려울 때의 버스 전환 가운데 무엇을 비교할지 정한다.</w:t>
            </w:r>
          </w:p>
          <w:p>
            <w:pPr>
              <w:pStyle w:val="CoreDetail"/>
              <w:spacing w:before="0" w:after="20" w:line="276" w:lineRule="auto"/>
              <w:numPr>
                <w:ilvl w:val="0"/>
                <w:numId w:val="10"/>
              </w:numPr>
            </w:pPr>
            <w:r>
              <w:rPr>
                <w:rFonts w:ascii="Calibri" w:hAnsi="Calibri" w:eastAsia="Malgun Gothic" w:cs="Malgun Gothic"/>
                <w:b w:val="0"/>
                <w:color w:val="17212B"/>
                <w:sz w:val="20"/>
              </w:rPr>
              <w:t>확보한 자원을 그대로 비교할지, 차량 수·수송인원·비용을 비슷하게 맞춰 비교할지 정한다.</w:t>
            </w:r>
          </w:p>
          <w:p>
            <w:pPr>
              <w:pStyle w:val="CoreDetail"/>
              <w:spacing w:before="0" w:after="0" w:line="276" w:lineRule="auto"/>
              <w:numPr>
                <w:ilvl w:val="0"/>
                <w:numId w:val="10"/>
              </w:numPr>
            </w:pPr>
            <w:r>
              <w:rPr>
                <w:rFonts w:ascii="Calibri" w:hAnsi="Calibri" w:eastAsia="Malgun Gothic" w:cs="Malgun Gothic"/>
                <w:b w:val="0"/>
                <w:color w:val="17212B"/>
                <w:sz w:val="20"/>
              </w:rPr>
              <w:t>철도 연계에 필요한 열차와 모든 버스를 총 투입자원에 포함할지 정한다.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4" w:space="0" w:color="C8D2DD"/>
              <w:left w:val="single" w:sz="4" w:space="0" w:color="C8D2DD"/>
              <w:bottom w:val="single" w:sz="4" w:space="0" w:color="C8D2DD"/>
              <w:right w:val="single" w:sz="4" w:space="0" w:color="C8D2DD"/>
              <w:insideH w:val="single" w:sz="4" w:space="0" w:color="C8D2DD"/>
              <w:insideV w:val="single" w:sz="4" w:space="0" w:color="C8D2DD"/>
            </w:tcBorders>
          </w:tcPr>
          <w:p>
            <w:pPr>
              <w:pStyle w:val="CoreItem"/>
              <w:spacing w:before="0" w:after="0"/>
            </w:pPr>
            <w:r>
              <w:rPr>
                <w:rFonts w:ascii="Calibri" w:hAnsi="Calibri" w:eastAsia="Malgun Gothic" w:cs="Malgun Gothic"/>
                <w:b/>
                <w:color w:val="1F4D78"/>
                <w:sz w:val="20"/>
              </w:rPr>
              <w:t>3. 철도 이용 가능 범위</w:t>
            </w:r>
          </w:p>
        </w:tc>
        <w:tc>
          <w:tcPr>
            <w:tcW w:type="dxa" w:w="6960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4" w:space="0" w:color="C8D2DD"/>
              <w:left w:val="single" w:sz="4" w:space="0" w:color="C8D2DD"/>
              <w:bottom w:val="single" w:sz="4" w:space="0" w:color="C8D2DD"/>
              <w:right w:val="single" w:sz="4" w:space="0" w:color="C8D2DD"/>
              <w:insideH w:val="single" w:sz="4" w:space="0" w:color="C8D2DD"/>
              <w:insideV w:val="single" w:sz="4" w:space="0" w:color="C8D2DD"/>
            </w:tcBorders>
          </w:tcPr>
          <w:p>
            <w:pPr>
              <w:pStyle w:val="CoreDetail"/>
              <w:spacing w:before="0" w:after="20" w:line="276" w:lineRule="auto"/>
              <w:numPr>
                <w:ilvl w:val="0"/>
                <w:numId w:val="10"/>
              </w:numPr>
            </w:pPr>
            <w:r>
              <w:rPr>
                <w:rFonts w:ascii="Calibri" w:hAnsi="Calibri" w:eastAsia="Malgun Gothic" w:cs="Malgun Gothic"/>
                <w:b w:val="0"/>
                <w:color w:val="17212B"/>
                <w:sz w:val="20"/>
              </w:rPr>
              <w:t>열차 1편과 2편 이상 확보 조건을 모두 살펴볼지, 같은 열차를 다시 쓸 수 있다고 볼지 정한다.</w:t>
            </w:r>
          </w:p>
          <w:p>
            <w:pPr>
              <w:pStyle w:val="CoreDetail"/>
              <w:spacing w:before="0" w:after="20" w:line="276" w:lineRule="auto"/>
              <w:numPr>
                <w:ilvl w:val="0"/>
                <w:numId w:val="10"/>
              </w:numPr>
            </w:pPr>
            <w:r>
              <w:rPr>
                <w:rFonts w:ascii="Calibri" w:hAnsi="Calibri" w:eastAsia="Malgun Gothic" w:cs="Malgun Gothic"/>
                <w:b w:val="0"/>
                <w:color w:val="17212B"/>
                <w:sz w:val="20"/>
              </w:rPr>
              <w:t>동원 전용열차를 쓸지, 일반 승객이나 다른 군 수송수요와 함께 타는 상황을 기본으로 볼지 정한다.</w:t>
            </w:r>
          </w:p>
          <w:p>
            <w:pPr>
              <w:pStyle w:val="CoreDetail"/>
              <w:spacing w:before="0" w:after="0" w:line="276" w:lineRule="auto"/>
              <w:numPr>
                <w:ilvl w:val="0"/>
                <w:numId w:val="10"/>
              </w:numPr>
            </w:pPr>
            <w:r>
              <w:rPr>
                <w:rFonts w:ascii="Calibri" w:hAnsi="Calibri" w:eastAsia="Malgun Gothic" w:cs="Malgun Gothic"/>
                <w:b w:val="0"/>
                <w:color w:val="17212B"/>
                <w:sz w:val="20"/>
              </w:rPr>
              <w:t>동원예비군에게 배정할 좌석 수와 열차 출발 가능 시간대를 정한다.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4" w:space="0" w:color="C8D2DD"/>
              <w:left w:val="single" w:sz="4" w:space="0" w:color="C8D2DD"/>
              <w:bottom w:val="single" w:sz="4" w:space="0" w:color="C8D2DD"/>
              <w:right w:val="single" w:sz="4" w:space="0" w:color="C8D2DD"/>
              <w:insideH w:val="single" w:sz="4" w:space="0" w:color="C8D2DD"/>
              <w:insideV w:val="single" w:sz="4" w:space="0" w:color="C8D2DD"/>
            </w:tcBorders>
          </w:tcPr>
          <w:p>
            <w:pPr>
              <w:pStyle w:val="CoreItem"/>
              <w:spacing w:before="0" w:after="0"/>
            </w:pPr>
            <w:r>
              <w:rPr>
                <w:rFonts w:ascii="Calibri" w:hAnsi="Calibri" w:eastAsia="Malgun Gothic" w:cs="Malgun Gothic"/>
                <w:b/>
                <w:color w:val="1F4D78"/>
                <w:sz w:val="20"/>
              </w:rPr>
              <w:t>4. 버스와 운전자 확보 범위</w:t>
            </w:r>
          </w:p>
        </w:tc>
        <w:tc>
          <w:tcPr>
            <w:tcW w:type="dxa" w:w="6960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4" w:space="0" w:color="C8D2DD"/>
              <w:left w:val="single" w:sz="4" w:space="0" w:color="C8D2DD"/>
              <w:bottom w:val="single" w:sz="4" w:space="0" w:color="C8D2DD"/>
              <w:right w:val="single" w:sz="4" w:space="0" w:color="C8D2DD"/>
              <w:insideH w:val="single" w:sz="4" w:space="0" w:color="C8D2DD"/>
              <w:insideV w:val="single" w:sz="4" w:space="0" w:color="C8D2DD"/>
            </w:tcBorders>
          </w:tcPr>
          <w:p>
            <w:pPr>
              <w:pStyle w:val="CoreDetail"/>
              <w:spacing w:before="0" w:after="20" w:line="276" w:lineRule="auto"/>
              <w:numPr>
                <w:ilvl w:val="0"/>
                <w:numId w:val="10"/>
              </w:numPr>
            </w:pPr>
            <w:r>
              <w:rPr>
                <w:rFonts w:ascii="Calibri" w:hAnsi="Calibri" w:eastAsia="Malgun Gothic" w:cs="Malgun Gothic"/>
                <w:b w:val="0"/>
                <w:color w:val="17212B"/>
                <w:sz w:val="20"/>
              </w:rPr>
              <w:t>실제 투입할 버스와 운전자 수, 차량 한 대에 태울 인원을 정한다.</w:t>
            </w:r>
          </w:p>
          <w:p>
            <w:pPr>
              <w:pStyle w:val="CoreDetail"/>
              <w:spacing w:before="0" w:after="20" w:line="276" w:lineRule="auto"/>
              <w:numPr>
                <w:ilvl w:val="0"/>
                <w:numId w:val="10"/>
              </w:numPr>
            </w:pPr>
            <w:r>
              <w:rPr>
                <w:rFonts w:ascii="Calibri" w:hAnsi="Calibri" w:eastAsia="Malgun Gothic" w:cs="Malgun Gothic"/>
                <w:b w:val="0"/>
                <w:color w:val="17212B"/>
                <w:sz w:val="20"/>
              </w:rPr>
              <w:t>버스를 직행, 역까지의 이동, 도착역 이후 이동, 비상대기에 어떻게 나눌지 정한다.</w:t>
            </w:r>
          </w:p>
          <w:p>
            <w:pPr>
              <w:pStyle w:val="CoreDetail"/>
              <w:spacing w:before="0" w:after="0" w:line="276" w:lineRule="auto"/>
              <w:numPr>
                <w:ilvl w:val="0"/>
                <w:numId w:val="10"/>
              </w:numPr>
            </w:pPr>
            <w:r>
              <w:rPr>
                <w:rFonts w:ascii="Calibri" w:hAnsi="Calibri" w:eastAsia="Malgun Gothic" w:cs="Malgun Gothic"/>
                <w:b w:val="0"/>
                <w:color w:val="17212B"/>
                <w:sz w:val="20"/>
              </w:rPr>
              <w:t>버스를 다시 쓰는 데 필요한 이동·준비시간과 연료·정비 때문에 줄어드는 차량 수를 반영할지 정한다.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4" w:space="0" w:color="C8D2DD"/>
              <w:left w:val="single" w:sz="4" w:space="0" w:color="C8D2DD"/>
              <w:bottom w:val="single" w:sz="4" w:space="0" w:color="C8D2DD"/>
              <w:right w:val="single" w:sz="4" w:space="0" w:color="C8D2DD"/>
              <w:insideH w:val="single" w:sz="4" w:space="0" w:color="C8D2DD"/>
              <w:insideV w:val="single" w:sz="4" w:space="0" w:color="C8D2DD"/>
            </w:tcBorders>
          </w:tcPr>
          <w:p>
            <w:pPr>
              <w:pStyle w:val="CoreItem"/>
              <w:spacing w:before="0" w:after="0"/>
            </w:pPr>
            <w:r>
              <w:rPr>
                <w:rFonts w:ascii="Calibri" w:hAnsi="Calibri" w:eastAsia="Malgun Gothic" w:cs="Malgun Gothic"/>
                <w:b/>
                <w:color w:val="1F4D78"/>
                <w:sz w:val="20"/>
              </w:rPr>
              <w:t>5. 전시 교통과 장애 상황</w:t>
            </w:r>
          </w:p>
        </w:tc>
        <w:tc>
          <w:tcPr>
            <w:tcW w:type="dxa" w:w="6960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4" w:space="0" w:color="C8D2DD"/>
              <w:left w:val="single" w:sz="4" w:space="0" w:color="C8D2DD"/>
              <w:bottom w:val="single" w:sz="4" w:space="0" w:color="C8D2DD"/>
              <w:right w:val="single" w:sz="4" w:space="0" w:color="C8D2DD"/>
              <w:insideH w:val="single" w:sz="4" w:space="0" w:color="C8D2DD"/>
              <w:insideV w:val="single" w:sz="4" w:space="0" w:color="C8D2DD"/>
            </w:tcBorders>
          </w:tcPr>
          <w:p>
            <w:pPr>
              <w:pStyle w:val="CoreDetail"/>
              <w:spacing w:before="0" w:after="20" w:line="276" w:lineRule="auto"/>
              <w:numPr>
                <w:ilvl w:val="0"/>
                <w:numId w:val="10"/>
              </w:numPr>
            </w:pPr>
            <w:r>
              <w:rPr>
                <w:rFonts w:ascii="Calibri" w:hAnsi="Calibri" w:eastAsia="Malgun Gothic" w:cs="Malgun Gothic"/>
                <w:b w:val="0"/>
                <w:color w:val="17212B"/>
                <w:sz w:val="20"/>
              </w:rPr>
              <w:t>민간차량이 거의 없다고 볼지, 어느 정도 남아 있는 상황도 살펴볼지 정한다.</w:t>
            </w:r>
          </w:p>
          <w:p>
            <w:pPr>
              <w:pStyle w:val="CoreDetail"/>
              <w:spacing w:before="0" w:after="20" w:line="276" w:lineRule="auto"/>
              <w:numPr>
                <w:ilvl w:val="0"/>
                <w:numId w:val="10"/>
              </w:numPr>
            </w:pPr>
            <w:r>
              <w:rPr>
                <w:rFonts w:ascii="Calibri" w:hAnsi="Calibri" w:eastAsia="Malgun Gothic" w:cs="Malgun Gothic"/>
                <w:b w:val="0"/>
                <w:color w:val="17212B"/>
                <w:sz w:val="20"/>
              </w:rPr>
              <w:t>도로의 어느 구간이 얼마나 느려지거나 끊기는 상황까지 다룰지 정한다.</w:t>
            </w:r>
          </w:p>
          <w:p>
            <w:pPr>
              <w:pStyle w:val="CoreDetail"/>
              <w:spacing w:before="0" w:after="0" w:line="276" w:lineRule="auto"/>
              <w:numPr>
                <w:ilvl w:val="0"/>
                <w:numId w:val="10"/>
              </w:numPr>
            </w:pPr>
            <w:r>
              <w:rPr>
                <w:rFonts w:ascii="Calibri" w:hAnsi="Calibri" w:eastAsia="Malgun Gothic" w:cs="Malgun Gothic"/>
                <w:b w:val="0"/>
                <w:color w:val="17212B"/>
                <w:sz w:val="20"/>
              </w:rPr>
              <w:t>철도 지연, 일부 운행중단, 전면 사용불가, 역 접근 제한을 어떻게 나눌지 정한다.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4" w:space="0" w:color="C8D2DD"/>
              <w:left w:val="single" w:sz="4" w:space="0" w:color="C8D2DD"/>
              <w:bottom w:val="single" w:sz="4" w:space="0" w:color="C8D2DD"/>
              <w:right w:val="single" w:sz="4" w:space="0" w:color="C8D2DD"/>
              <w:insideH w:val="single" w:sz="4" w:space="0" w:color="C8D2DD"/>
              <w:insideV w:val="single" w:sz="4" w:space="0" w:color="C8D2DD"/>
            </w:tcBorders>
          </w:tcPr>
          <w:p>
            <w:pPr>
              <w:pStyle w:val="CoreItem"/>
              <w:spacing w:before="0" w:after="0"/>
            </w:pPr>
            <w:r>
              <w:rPr>
                <w:rFonts w:ascii="Calibri" w:hAnsi="Calibri" w:eastAsia="Malgun Gothic" w:cs="Malgun Gothic"/>
                <w:b/>
                <w:color w:val="1F4D78"/>
                <w:sz w:val="20"/>
              </w:rPr>
              <w:t>6. 상황 파악과 대응 방식</w:t>
            </w:r>
          </w:p>
        </w:tc>
        <w:tc>
          <w:tcPr>
            <w:tcW w:type="dxa" w:w="6960"/>
            <w:vAlign w:val="center"/>
            <w:tcMar>
              <w:top w:w="60" w:type="dxa"/>
              <w:bottom w:w="60" w:type="dxa"/>
              <w:start w:w="120" w:type="dxa"/>
              <w:end w:w="120" w:type="dxa"/>
            </w:tcMar>
            <w:tcBorders>
              <w:top w:val="single" w:sz="4" w:space="0" w:color="C8D2DD"/>
              <w:left w:val="single" w:sz="4" w:space="0" w:color="C8D2DD"/>
              <w:bottom w:val="single" w:sz="4" w:space="0" w:color="C8D2DD"/>
              <w:right w:val="single" w:sz="4" w:space="0" w:color="C8D2DD"/>
              <w:insideH w:val="single" w:sz="4" w:space="0" w:color="C8D2DD"/>
              <w:insideV w:val="single" w:sz="4" w:space="0" w:color="C8D2DD"/>
            </w:tcBorders>
          </w:tcPr>
          <w:p>
            <w:pPr>
              <w:pStyle w:val="CoreDetail"/>
              <w:spacing w:before="0" w:after="20" w:line="276" w:lineRule="auto"/>
              <w:numPr>
                <w:ilvl w:val="0"/>
                <w:numId w:val="10"/>
              </w:numPr>
            </w:pPr>
            <w:r>
              <w:rPr>
                <w:rFonts w:ascii="Calibri" w:hAnsi="Calibri" w:eastAsia="Malgun Gothic" w:cs="Malgun Gothic"/>
                <w:b w:val="0"/>
                <w:color w:val="17212B"/>
                <w:sz w:val="20"/>
              </w:rPr>
              <w:t>도로와 철도 상태를 출발 전, 이동 중, 역 도착 후 중 언제 알 수 있다고 볼지 정한다.</w:t>
            </w:r>
          </w:p>
          <w:p>
            <w:pPr>
              <w:pStyle w:val="CoreDetail"/>
              <w:spacing w:before="0" w:after="20" w:line="276" w:lineRule="auto"/>
              <w:numPr>
                <w:ilvl w:val="0"/>
                <w:numId w:val="10"/>
              </w:numPr>
            </w:pPr>
            <w:r>
              <w:rPr>
                <w:rFonts w:ascii="Calibri" w:hAnsi="Calibri" w:eastAsia="Malgun Gothic" w:cs="Malgun Gothic"/>
                <w:b w:val="0"/>
                <w:color w:val="17212B"/>
                <w:sz w:val="20"/>
              </w:rPr>
              <w:t>철도 좌석이 부족하면 일부만 열차로 보내고 나머지는 버스로 보낼지, 누구를 먼저 보낼지 정한다.</w:t>
            </w:r>
          </w:p>
          <w:p>
            <w:pPr>
              <w:pStyle w:val="CoreDetail"/>
              <w:spacing w:before="0" w:after="0" w:line="276" w:lineRule="auto"/>
              <w:numPr>
                <w:ilvl w:val="0"/>
                <w:numId w:val="10"/>
              </w:numPr>
            </w:pPr>
            <w:r>
              <w:rPr>
                <w:rFonts w:ascii="Calibri" w:hAnsi="Calibri" w:eastAsia="Malgun Gothic" w:cs="Malgun Gothic"/>
                <w:b w:val="0"/>
                <w:color w:val="17212B"/>
                <w:sz w:val="20"/>
              </w:rPr>
              <w:t>철도가 늦어지거나 사용할 수 없을 때 얼마나 기다린 뒤 버스로 바꿀지, 예비버스를 언제 투입할지 정한다.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7100009"/>
    <w:multiLevelType w:val="singleLevel"/>
    <w:tmpl w:val="B8200009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algun Gothic" w:cs="Malgun Gothic"/>
      <w:b w:val="0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algun Gothic" w:cs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earchContext">
    <w:name w:val="Research Context"/>
    <w:pPr>
      <w:widowControl/>
      <w:spacing w:before="0" w:after="120" w:line="288" w:lineRule="auto"/>
    </w:pPr>
    <w:rPr>
      <w:rFonts w:ascii="Calibri" w:hAnsi="Calibri" w:eastAsia="Malgun Gothic" w:cs="Malgun Gothic"/>
      <w:b w:val="0"/>
      <w:color w:val="17212B"/>
      <w:sz w:val="20"/>
    </w:rPr>
  </w:style>
  <w:style w:type="paragraph" w:customStyle="1" w:styleId="CoreItem">
    <w:name w:val="Core Item"/>
    <w:pPr>
      <w:widowControl/>
      <w:spacing w:before="0" w:after="0" w:line="276" w:lineRule="auto"/>
    </w:pPr>
    <w:rPr>
      <w:rFonts w:ascii="Calibri" w:hAnsi="Calibri" w:eastAsia="Malgun Gothic" w:cs="Malgun Gothic"/>
      <w:b/>
      <w:color w:val="1F4D78"/>
      <w:sz w:val="20"/>
    </w:rPr>
  </w:style>
  <w:style w:type="paragraph" w:customStyle="1" w:styleId="CoreDetail">
    <w:name w:val="Core Detail"/>
    <w:pPr>
      <w:widowControl/>
      <w:spacing w:before="0" w:after="20" w:line="276" w:lineRule="auto"/>
    </w:pPr>
    <w:rPr>
      <w:rFonts w:ascii="Calibri" w:hAnsi="Calibri" w:eastAsia="Malgun Gothic" w:cs="Malgun Gothic"/>
      <w:b w:val="0"/>
      <w:color w:val="17212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전시 동원예비군 수송체계 연구에서 정해야 할 핵심 가정</dc:title>
  <dc:subject>전시 동원예비군 수송 연구 핵심 계획가정</dc:subject>
  <dc:creator>transport-system-sim research project</dc:creator>
  <cp:keywords/>
  <dc:description>Generated by scripts/build_advisor_consultation_questionnaire.py; preset=compact_reference_guide; layout=title-context-table; override=context_table_compaction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