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0b2182b9d97a5e1846d8fe04798ebb3491055db"/>
    <w:p>
      <w:pPr>
        <w:pStyle w:val="Heading1"/>
      </w:pPr>
      <w:r>
        <w:t xml:space="preserve">예비군 동원수송 회랑에서 복합수단 적용 조건 식별 — 송파↔양주 부곡리 사례를 중심으로</w:t>
      </w:r>
    </w:p>
    <w:p>
      <w:pPr>
        <w:pStyle w:val="FirstParagraph"/>
      </w:pPr>
      <w:r>
        <w:rPr>
          <w:b/>
          <w:bCs/>
        </w:rPr>
        <w:t xml:space="preserve">English title: Identifying Conditions for Multimodal Applicability in Reserve-Force Mobilization Corridors — A Songpa-to-Yangju Bugok-ri Case Study</w:t>
      </w:r>
    </w:p>
    <w:p>
      <w:pPr>
        <w:pStyle w:val="BodyText"/>
      </w:pPr>
      <w:r>
        <w:rPr>
          <w:b/>
          <w:bCs/>
        </w:rPr>
        <w:t xml:space="preserve">English keywords: counterfactual lever sweep; paired common random numbers; quantile arrival KPI; reserve mobilization; rail-bus multimodal</w:t>
      </w:r>
    </w:p>
    <w:p>
      <w:r>
        <w:pict>
          <v:rect style="width:0;height:1.5pt" o:hralign="center" o:hrstd="t" o:hr="t"/>
        </w:pict>
      </w:r>
    </w:p>
    <w:p>
      <w:pPr>
        <w:pStyle w:val="FirstParagraph"/>
      </w:pPr>
      <w:r>
        <w:rPr>
          <w:b/>
          <w:bCs/>
        </w:rPr>
        <w:t xml:space="preserve">초록.</w:t>
      </w:r>
      <w:r>
        <w:t xml:space="preserve"> </w:t>
      </w:r>
      <w:r>
        <w:t xml:space="preserve">예비군 동원수송은 대규모 인원을 마감 내 훈련장까지 이동시켜야 하나, 운영 자료 제한으로 단일수단(직행버스)과 복합수단(철도-버스)의 상대 강건성은 외부 연구자에게 검증되어 있지 않다. 본 연구는 break-even 탐색을</w:t>
      </w:r>
      <w:r>
        <w:t xml:space="preserve"> </w:t>
      </w:r>
      <w:r>
        <w:rPr>
          <w:i/>
          <w:iCs/>
        </w:rPr>
        <w:t xml:space="preserve">적용 조건 식별(applicability-condition identification)</w:t>
      </w:r>
      <w:r>
        <w:t xml:space="preserve"> </w:t>
      </w:r>
      <w:r>
        <w:t xml:space="preserve">로 재포지셔닝하여, 송파↔양주 부곡리 회랑에서 복합수단 우위 조건의 존재 여부를 검정한다. OSMnx 기반 SimPy 시뮬레이터를 4단계 실험(Phase 1a 기준, 1b 원점, 2 단일수단 튜닝, 3 반사실 레버 스윕)으로 평가하며, 셀당 동일 seed로 도로 장애·도착·배경 교통을 등화하는 페어드 공통난수(paired CRN)를 적용한다. 핵심 KPI는 검열 인식 벌점 메이크스팬과 분위 도착 KPI이며, Morris 민감도(k = 14, T = 100, 1,500 평가)와 반사실 레버 스윕을 결합한다. 부호 규약 Δ = bus_only − multimodal (음수 = 직행버스 우위) 하에서 Phase 1a는 p_fail = 0.0에서 Δ =</w:t>
      </w:r>
      <w:r>
        <w:t xml:space="preserve"> </w:t>
      </w:r>
      <w:r>
        <w:rPr>
          <w:b/>
          <w:bCs/>
        </w:rPr>
        <w:t xml:space="preserve">−58.5분</w:t>
      </w:r>
      <w:r>
        <w:t xml:space="preserve">, p_fail = 2.0에서 Δ P(완료 ≤ 1500분) =</w:t>
      </w:r>
      <w:r>
        <w:t xml:space="preserve"> </w:t>
      </w:r>
      <w:r>
        <w:rPr>
          <w:b/>
          <w:bCs/>
        </w:rPr>
        <w:t xml:space="preserve">+0.433</w:t>
      </w:r>
      <w:r>
        <w:t xml:space="preserve"> </w:t>
      </w:r>
      <w:r>
        <w:t xml:space="preserve">[95% CI +0.245, +0.622]를 보인다. Phase 3의</w:t>
      </w:r>
      <w:r>
        <w:t xml:space="preserve"> </w:t>
      </w:r>
      <w:r>
        <w:rPr>
          <w:b/>
          <w:bCs/>
        </w:rPr>
        <w:t xml:space="preserve">81셀 중 multi_dominant 셀은 0개</w:t>
      </w:r>
      <w:r>
        <w:t xml:space="preserve">(bus_dominant 54, inconclusive 27)이며, Morris 상위 3개는 passenger_volume (μ* =</w:t>
      </w:r>
      <w:r>
        <w:t xml:space="preserve"> </w:t>
      </w:r>
      <w:r>
        <w:rPr>
          <w:b/>
          <w:bCs/>
        </w:rPr>
        <w:t xml:space="preserve">44.5</w:t>
      </w:r>
      <w:r>
        <w:t xml:space="preserve">), direct_bus_fleet_size (</w:t>
      </w:r>
      <w:r>
        <w:rPr>
          <w:b/>
          <w:bCs/>
        </w:rPr>
        <w:t xml:space="preserve">27.4</w:t>
      </w:r>
      <w:r>
        <w:t xml:space="preserve">), dispatch_interval (</w:t>
      </w:r>
      <w:r>
        <w:rPr>
          <w:b/>
          <w:bCs/>
        </w:rPr>
        <w:t xml:space="preserve">20.8</w:t>
      </w:r>
      <w:r>
        <w:t xml:space="preserve">)로 모두 공급측 자원 모수이다. 검토 공간 내 복합수단 적용 조건은 부재하며, 미보정 계획 프록시 조건도 내에서 통계적으로 검정된 정의된 negative result로 보고된다.</w:t>
      </w:r>
    </w:p>
    <w:p>
      <w:pPr>
        <w:pStyle w:val="BodyText"/>
      </w:pPr>
      <w:r>
        <w:rPr>
          <w:b/>
          <w:bCs/>
        </w:rPr>
        <w:t xml:space="preserve">주제어.</w:t>
      </w:r>
      <w:r>
        <w:t xml:space="preserve"> </w:t>
      </w:r>
      <w:r>
        <w:t xml:space="preserve">반사실 레버 스윕; 페어드 공통난수; 분위 도착 KPI; 예비군 동원; 철도-버스 복합수단</w:t>
      </w:r>
    </w:p>
    <w:p>
      <w:r>
        <w:pict>
          <v:rect style="width:0;height:1.5pt" o:hralign="center" o:hrstd="t" o:hr="t"/>
        </w:pict>
      </w:r>
    </w:p>
    <w:bookmarkStart w:id="18" w:name="서론"/>
    <w:p>
      <w:pPr>
        <w:pStyle w:val="Heading2"/>
      </w:pPr>
      <w:r>
        <w:t xml:space="preserve">1. 서론</w:t>
      </w:r>
    </w:p>
    <w:bookmarkStart w:id="12" w:name="연구-배경"/>
    <w:p>
      <w:pPr>
        <w:pStyle w:val="Heading3"/>
      </w:pPr>
      <w:r>
        <w:t xml:space="preserve">1.1. 연구 배경</w:t>
      </w:r>
    </w:p>
    <w:p>
      <w:pPr>
        <w:pStyle w:val="FirstParagraph"/>
      </w:pPr>
      <w:r>
        <w:t xml:space="preserve">대한민국의 국방태세는 상비전력과 예비전력의 통합 운용을 전제로 한다. 「병역법」 및 「예비군법」에 따라 편성되는 예비군은 전시·사변·국가비상사태 시 신속히 동원되어 전방 보충 및 후방 방어 임무를 수행하는 핵심 인적자원이다 [1]. 병무청 공개 자료에 따르면 동원지정 인력은 「병력동원소집통지서」를 통해 개별 통지된 시각·장소에 입영하며, 72보병사단 부곡리 동원훈련장(경기 양주 장흥 부곡리 산 6-17)을 비롯한 전국의 동원사단 훈련장이 그 입영 거점으로 운용된다 [2]. 동원훈련은 2박 3일 일정이며 12시 정시 입영을 기준으로 1시간의 지연입소 허용 시한이 공시되어 있다 [2].</w:t>
      </w:r>
    </w:p>
    <w:p>
      <w:pPr>
        <w:pStyle w:val="BodyText"/>
      </w:pPr>
      <w:r>
        <w:t xml:space="preserve">이러한 동원 절차의 실효성은 평상시 행정 동원 단계에서뿐 아니라 전시 도로망이 부분적으로 손상되거나 통제되는 상황에서 더욱 중요하게 부각된다. 수도권 남동부에서 경기 북부 동원훈련장으로 연결되는 회랑은 올림픽대로, 강변북로, 서울외곽순환고속도로 등 소수의 주요 간선도로에 의존한다. 이 간선도로 망은 평시에도 출퇴근 시간 정체와 사고로 인한 단발성 통행 차단에 취약하며, 전시 또는 대규모 재난 시에는 그 취약성이 더욱 증폭될 수 있다 [3, 4]. 〈그림 1〉은 본 연구가 가정하는 전시 예비군 수송체계의 개념도로, 도시 집결지(송파구 내 가상 출발지)에서 동원훈련장(72보병사단 부곡리)까지의 단일수단 버스 직송과 철도-버스 복합수단 환승의 두 가지 대안적 수송체계를 도식화한다.</w:t>
      </w:r>
    </w:p>
    <w:p>
      <w:pPr>
        <w:pStyle w:val="BodyText"/>
      </w:pPr>
      <w:r>
        <w:drawing>
          <wp:inline>
            <wp:extent cx="6261100" cy="3523741"/>
            <wp:effectExtent b="0" l="0" r="0" t="0"/>
            <wp:docPr descr="그림 1" title="" id="10" name="Picture"/>
            <a:graphic>
              <a:graphicData uri="http://schemas.openxmlformats.org/drawingml/2006/picture">
                <pic:pic>
                  <pic:nvPicPr>
                    <pic:cNvPr descr="figures/figure1_concept.png" id="11" name="Picture"/>
                    <pic:cNvPicPr>
                      <a:picLocks noChangeArrowheads="1" noChangeAspect="1"/>
                    </pic:cNvPicPr>
                  </pic:nvPicPr>
                  <pic:blipFill>
                    <a:blip r:embed="rId9"/>
                    <a:stretch>
                      <a:fillRect/>
                    </a:stretch>
                  </pic:blipFill>
                  <pic:spPr bwMode="auto">
                    <a:xfrm>
                      <a:off x="0" y="0"/>
                      <a:ext cx="6261100" cy="3523741"/>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Conceptual diagram of the wartime reserve-force transport system simulated in this study. From the four virtual assembly points in Songpa-gu (A·B·C·D), two alternative transport schemes — direct-bus single-mode and rail–bus multimodal transfer — converge on the 72nd Infantry Division Bugok-ri Mobilization Training Center, overlaid on the major arterial corridor. (Source: authors’ own diagram,</w:t>
      </w:r>
      <w:r>
        <w:t xml:space="preserve"> </w:t>
      </w:r>
      <w:r>
        <w:rPr>
          <w:rStyle w:val="VerbatimChar"/>
        </w:rPr>
        <w:t xml:space="preserve">figure1_concept.png</w:t>
      </w:r>
      <w:r>
        <w:t xml:space="preserve">.)</w:t>
      </w:r>
    </w:p>
    <w:p>
      <w:pPr>
        <w:pStyle w:val="BodyText"/>
      </w:pPr>
      <w:r>
        <w:t xml:space="preserve">본 연구는 송파구 내 네 개 가상 집결지로부터 양주시 장흥면 부곡리에 위치한 72보병사단 동원훈련장에 이르는 약 40~50 km의 주요 간선도로 회랑을 분석 대상으로 한다. 집결지(Origin) A·B·C는 각각 송파구청 일자리센터 앞(37.5147 N, 127.1057 E), 삼전동 구민회관 앞(37.5036 N, 127.0857 E), 장지역 4번 출구 앞(37.4784 N, 127.1262 E)으로 송파구 조례 및 보도자료에서 공개적으로 확인되는 예비군 수송버스 집결지이다 [5, 6]. 단, 해당 집결지들은 평시 예비군훈련용으로 지정된 지점이며 동원훈련 집결지 지정 여부는 공개 자료로 확인되지 않으므로, 본 연구에서는 이를 동원훈련 수송 시나리오에 가상으로 적용한다. 추가로 (D) 잠실종합운동장(37.5159 N, 127.0727 E)은 도시계획상의 대규모 집결 가능 공간으로서 비교 시나리오에 포함하되, 「병력동원 집결지」로서의 공식 지정 여부가 공개 자료에서 확인되지 않으므로 본 논문에서는</w:t>
      </w:r>
      <w:r>
        <w:t xml:space="preserve"> </w:t>
      </w:r>
      <w:r>
        <w:t xml:space="preserve">“출처 미확인 가정 변형(unverified illustrative variant) (비검증)”</w:t>
      </w:r>
      <w:r>
        <w:t xml:space="preserve">으로 명시한다(상세 caveat은 §4.2 참조).</w:t>
      </w:r>
    </w:p>
    <w:bookmarkEnd w:id="12"/>
    <w:bookmarkStart w:id="13" w:name="문제-인식"/>
    <w:p>
      <w:pPr>
        <w:pStyle w:val="Heading3"/>
      </w:pPr>
      <w:r>
        <w:t xml:space="preserve">1.2. 문제 인식</w:t>
      </w:r>
    </w:p>
    <w:p>
      <w:pPr>
        <w:pStyle w:val="FirstParagraph"/>
      </w:pPr>
      <w:r>
        <w:t xml:space="preserve">동원 수송체계의 회복력(resilience)을 정량적으로 평가하려면 (i) 평시 운용 실적 자료, (ii) 도로망의 시간대별 용량·자유속도, (iii) 철도·버스 환승 시각표, (iv) 동원지정 자원의 행정구역별 배정 정보가 모두 확보되어야 한다. 그러나 한국에서 이들 자료 중 다수는 보안상의 사유로 공개 범위가 제한되어 있다. 특히 동원지정 자원의 행정구역별 배정은 「병력동원소집통지서」로 개별 고지되며 공개 자료로 검증할 수 없고 [2], 사단별 실제 수송 실적·통과 시간 자료 역시 공개되지 않는다. 이러한 정보 비대칭은 군사적 의의가 큰 동원 수송 문제임에도 불구하고, 외부 연구자의 정량적 의사결정 지원 분석을 제한하는 구조적 제약이 된다.</w:t>
      </w:r>
    </w:p>
    <w:p>
      <w:pPr>
        <w:pStyle w:val="BodyText"/>
      </w:pPr>
      <w:r>
        <w:t xml:space="preserve">또한 도로망 장애 시 단일수단(버스 직송)과 복합수단(철도-버스 연계)의 상대적 신뢰성은 사전 직관에 의해 단정하기 어렵다. 일반적으로 복합수단은 환승 손실과 일정 의존성이라는 비용을 수반하지만, 도로 일부 구간이 차단되었을 때 우회 경로를 제공한다는 장점을 갖는다 [7]. 반대로 단일수단은 환승 손실이 없으나 회랑이 차단되면 전체 시스템이 한꺼번에 영향을 받는다. 두 대안의 비교 우위는 (a) 장애의 강도와 빈도, (b) 가용 차량·열차 자원, (c) 출발 정책(엄격 출발 STRICT vs 유예 출발 GRACE), (d) 집결 지연 분포에 따라 가변적이다. 따라서 어느 한 수단을 일률적으로 권고하기보다는, 어떤 조건에서 어느 수단이 우위에 있는가를 보여 주는</w:t>
      </w:r>
      <w:r>
        <w:t xml:space="preserve"> </w:t>
      </w:r>
      <w:r>
        <w:t xml:space="preserve">“조건 지도(condition map)”</w:t>
      </w:r>
      <w:r>
        <w:t xml:space="preserve">가 의사결정자에게 더 유용한 산출물이 된다 [8, 9].</w:t>
      </w:r>
    </w:p>
    <w:p>
      <w:pPr>
        <w:pStyle w:val="BodyText"/>
      </w:pPr>
      <w:r>
        <w:t xml:space="preserve">이 같은 문제의식 위에서, 본 연구는 산업공학 방법론을 적용하여 실 데이터 보정 없이도 회복력 평가의 정량적 기반을 제시하고자 한다. 구체적으로 (i) 통제실험 설계(controlled experiment design)를 통해 모형 외 잡음의 영향을 제거하고, (ii) censoring-aware 지표 체계를 통해 시한 내 미도착 인원을 일급(first-class) 결과로 다루며, (iii) 민감도 분석을 통해 결과의 강건성과 주요 인자를 식별한다. 본 연구가 사용하는 도로 용량·자유속도·차량 수·헤드웨이·환승 시간 등의 모수는 모두 공개된 계획 가정에 근거한 값이며, 실세계 보정은 후속 연구의 과제로 명시적으로 유보한다.</w:t>
      </w:r>
    </w:p>
    <w:bookmarkEnd w:id="13"/>
    <w:bookmarkStart w:id="14" w:name="연구-질문-및-가설"/>
    <w:p>
      <w:pPr>
        <w:pStyle w:val="Heading3"/>
      </w:pPr>
      <w:r>
        <w:t xml:space="preserve">1.3. 연구 질문 및 가설</w:t>
      </w:r>
    </w:p>
    <w:p>
      <w:pPr>
        <w:pStyle w:val="FirstParagraph"/>
      </w:pPr>
      <w:r>
        <w:t xml:space="preserve">본 연구의 v0.6 기준 분석은 송파↔부곡리 회랑에서 단일수단 버스 직송이 모든 현실적 도로 장애 강도(차단율 0~30%) 구간에서 철도-버스 복합수단을 우위로 압도하며, 두 수단의 성과 곡선이 교차하는 break-even 지점이 base 모수 영역 안에서 발견되지 않음을 확인하였다. 이 결과는 본 회랑의 지리적 구조에서 기인한다. 복합수단은 두 개의 도로 구간 — 출발지(A)에서 송파구청·광운대 환승점(S)에 이르는 약 12 km의 도시 간선과 양주역(R)에서 부곡리(D)에 이르는 약 30 km의 마지막 구간 — 을 노출시키는 반면, 직송 버스는 단일한 A→D 도로 구간만을 노출시킨다. 즉 이 회랑에서 철도는 잉여(redundancy)가 아니라 누적되는 추가 위험(added risk)으로 작용한다.</w:t>
      </w:r>
    </w:p>
    <w:p>
      <w:pPr>
        <w:pStyle w:val="BodyText"/>
      </w:pPr>
      <w:r>
        <w:t xml:space="preserve">이러한 관찰을 바탕으로 본 연구는 연구 질문을</w:t>
      </w:r>
      <w:r>
        <w:t xml:space="preserve"> </w:t>
      </w:r>
      <w:r>
        <w:t xml:space="preserve">“어느 수단이 더 회복력 있는가”</w:t>
      </w:r>
      <w:r>
        <w:t xml:space="preserve">에서</w:t>
      </w:r>
      <w:r>
        <w:t xml:space="preserve"> </w:t>
      </w:r>
      <w:r>
        <w:t xml:space="preserve">“어떤 조건에서 복합수단이 경쟁력을 갖게 되는가”</w:t>
      </w:r>
      <w:r>
        <w:t xml:space="preserve">로 재정의한다. 즉 단순한 우위 비교 대신, 복합수단을 경쟁 가능 영역으로 끌어올리기 위해 어떤 인프라·운용 모수가 어느 수준으로 변화하여야 하는지를 식별하는 조건 지도(condition map)를 산출하는 것을 본 연구의 핵심 목표로 삼는다. 이를 다음의 작업가설로 정식화한다.</w:t>
      </w:r>
    </w:p>
    <w:p>
      <w:pPr>
        <w:pStyle w:val="BlockText"/>
      </w:pPr>
      <w:r>
        <w:rPr>
          <w:i/>
          <w:iCs/>
        </w:rPr>
        <w:t xml:space="preserve">송파→부곡리(72보병사단) 예비군 동원 회랑에서, 철도-버스 복합수단이 직송 버스에 대해 경쟁력을 갖게 되는 인프라/모수 조건은 무엇인가?</w:t>
      </w:r>
    </w:p>
    <w:p>
      <w:pPr>
        <w:pStyle w:val="FirstParagraph"/>
      </w:pPr>
      <w:r>
        <w:t xml:space="preserve">이 가설을 다음 세 가지 연구 질문(RQ)으로 분해한다.</w:t>
      </w:r>
    </w:p>
    <w:p>
      <w:pPr>
        <w:pStyle w:val="BodyText"/>
      </w:pPr>
      <w:r>
        <w:rPr>
          <w:b/>
          <w:bCs/>
        </w:rPr>
        <w:t xml:space="preserve">RQ1 (기준 강건성).</w:t>
      </w:r>
      <w:r>
        <w:t xml:space="preserve"> </w:t>
      </w:r>
      <w:r>
        <w:t xml:space="preserve">송파↔부곡리 회랑에서 직송 버스 수단은 도로 링크 장애 강도가 증가할 때 어느 정도까지 강건하게 시한 내 입영을 보장하는가? (Phase 1 기준선)</w:t>
      </w:r>
    </w:p>
    <w:p>
      <w:pPr>
        <w:pStyle w:val="BodyText"/>
      </w:pPr>
      <w:r>
        <w:rPr>
          <w:b/>
          <w:bCs/>
        </w:rPr>
        <w:t xml:space="preserve">RQ2 (단일수단 튜닝의 효과).</w:t>
      </w:r>
      <w:r>
        <w:t xml:space="preserve"> </w:t>
      </w:r>
      <w:r>
        <w:t xml:space="preserve">차량 대수(fleet size)와 배차 간격(dispatch interval) 등 단일수단 내부 운용 모수의 조정만으로 회복력 frontier를 어느 정도 이동시킬 수 있는가? (Phase 2 정책 sweep)</w:t>
      </w:r>
    </w:p>
    <w:p>
      <w:pPr>
        <w:pStyle w:val="BodyText"/>
      </w:pPr>
      <w:r>
        <w:rPr>
          <w:b/>
          <w:bCs/>
        </w:rPr>
        <w:t xml:space="preserve">RQ3 (반사실 조건 지도, 핵심 기여).</w:t>
      </w:r>
      <w:r>
        <w:t xml:space="preserve"> </w:t>
      </w:r>
      <w:r>
        <w:t xml:space="preserve">철도 헤드웨이, 마지막 구간 셔틀 대수, 철도 1열차 수송용량의 어떤 반사실(counterfactual) 모수 조합에서 복합수단이 직송 버스와 경쟁 가능 영역에 진입하는가? 즉, 어떤 인프라 투자 임계점에서 modal preference가 뒤집히는가? (Phase 3 lever sweep)</w:t>
      </w:r>
    </w:p>
    <w:bookmarkEnd w:id="14"/>
    <w:bookmarkStart w:id="15" w:name="연구-의의-및-기여"/>
    <w:p>
      <w:pPr>
        <w:pStyle w:val="Heading3"/>
      </w:pPr>
      <w:r>
        <w:t xml:space="preserve">1.4. 연구 의의 및 기여</w:t>
      </w:r>
    </w:p>
    <w:p>
      <w:pPr>
        <w:pStyle w:val="FirstParagraph"/>
      </w:pPr>
      <w:r>
        <w:t xml:space="preserve">본 연구의 기여는 군사학과 산업공학의 학제간 위치 위에서 다음과 같이 정리된다.</w:t>
      </w:r>
    </w:p>
    <w:p>
      <w:pPr>
        <w:pStyle w:val="BodyText"/>
      </w:pPr>
      <w:r>
        <w:rPr>
          <w:b/>
          <w:bCs/>
        </w:rPr>
        <w:t xml:space="preserve">첫째, 학제간 의의.</w:t>
      </w:r>
      <w:r>
        <w:t xml:space="preserve"> </w:t>
      </w:r>
      <w:r>
        <w:t xml:space="preserve">군 동원 수송 문제는 전통적으로 군사 운용 분석(Operations Analysis)의 영역에 속하였으나, 그 분석 자료의 공개 제약이 외부 연구자의 정량적 검증을 제한하여 왔다 [12]. 본 연구는 실 데이터 보정 없이도 산업공학의 통제실험 설계와 시뮬레이션 방법론을 통해 의사결정 지원의 정량적 기반을 마련할 수 있음을 보인다. 이는 군사학 연구에 산업공학적 엄밀성을 도입하는 동시에, 산업공학 연구에 국방 도메인의 실질적 문제 영역을 제공하는 양방향 기여를 갖는다.</w:t>
      </w:r>
    </w:p>
    <w:p>
      <w:pPr>
        <w:pStyle w:val="BodyText"/>
      </w:pPr>
      <w:r>
        <w:rPr>
          <w:b/>
          <w:bCs/>
        </w:rPr>
        <w:t xml:space="preserve">둘째, 시뮬레이션 기반 의사결정지원 프레임워크.</w:t>
      </w:r>
      <w:r>
        <w:t xml:space="preserve"> </w:t>
      </w:r>
      <w:r>
        <w:t xml:space="preserve">본 연구가 제시하는 paired CRN + censoring-aware 지표 + Morris + 2단계 DoE 결합 프레임워크는 특정 회랑이나 특정 사단에 국한되지 않고, 다른 군사 수송 문제(전시 후송, 장비 후속 수송, 민·관·군 협동 작전 등)에 재적용 가능한 일반 구조를 갖는다. 특히 본 연구의 핵심 기여는 두 수단의 단순 우열 판정이나 break-even 지점 식별이 아니라, 복합수단이 직송 수단에 대해 경쟁력을 갖게 되는 인프라·운용 모수 임계 조합을 식별하는 조건 지도(condition map) — 즉 적용가능성 조건 지도 — 의 산출이다. 이러한 산출물은 단일 권고에 비해 의사결정자에게 더 큰 유연성을 제공하며, 인프라 투자 우선순위 판단의 정량적 근거로 활용될 수 있다.</w:t>
      </w:r>
    </w:p>
    <w:p>
      <w:pPr>
        <w:pStyle w:val="BodyText"/>
      </w:pPr>
      <w:r>
        <w:rPr>
          <w:b/>
          <w:bCs/>
        </w:rPr>
        <w:t xml:space="preserve">셋째, 공개 자료 기반 분석 원칙.</w:t>
      </w:r>
      <w:r>
        <w:t xml:space="preserve"> </w:t>
      </w:r>
      <w:r>
        <w:t xml:space="preserve">본 연구는 병무청이 공식적으로 공개한 동원훈련장 주소·규정, 송파구 조례·보도자료를 통해 확인되는 집결지 정보, OpenStreetMap에서 추출한 도로망 위상(topology)만을 입력으로 사용한다. 군사 시설의 내부 배치, 부대 정원, 동원지정 자원의 행정구역별 배정 등 비공개 정보는 분석 대상에서 의도적으로 배제한다. 이러한 공개 자료 기반 원칙은 군 기관의 보안성 검토 절차와 양립 가능하며, 학술 커뮤니티의 검증 가능성을 보장한다.</w:t>
      </w:r>
    </w:p>
    <w:p>
      <w:pPr>
        <w:pStyle w:val="BodyText"/>
      </w:pPr>
      <w:r>
        <w:rPr>
          <w:b/>
          <w:bCs/>
        </w:rPr>
        <w:t xml:space="preserve">넷째, 후속 보정 연구의 기반.</w:t>
      </w:r>
      <w:r>
        <w:t xml:space="preserve"> </w:t>
      </w:r>
      <w:r>
        <w:t xml:space="preserve">본 연구의 가상 회랑 결과는 단일 권고가 아닌 조건 지도이므로, 향후 실 도로 용량, 실 철도 시각표, 실 동원지정 자원 배정 자료가 보정 단계에서 확보될 경우, 동일한 실험 골격 위에서 결과를 갱신하고 정밀화할 수 있다. 본 연구는 그 보정 단계로 가는 방법론적 발판을 제공한다.</w:t>
      </w:r>
    </w:p>
    <w:bookmarkEnd w:id="15"/>
    <w:bookmarkStart w:id="16" w:name="연구-범위-및-한정-사항"/>
    <w:p>
      <w:pPr>
        <w:pStyle w:val="Heading3"/>
      </w:pPr>
      <w:r>
        <w:t xml:space="preserve">1.5. 연구 범위 및 한정 사항</w:t>
      </w:r>
    </w:p>
    <w:p>
      <w:pPr>
        <w:pStyle w:val="FirstParagraph"/>
      </w:pPr>
      <w:r>
        <w:t xml:space="preserve">연구 범위와 한정 사항은 본문 5장(논의 및 결론)에서 다시 정리하되, 다음 사항은 서론에서 미리 명시한다. 첫째, 본 연구가 분석하는 송파↔부곡리 회랑은 가상 사례이다. 실제 송파구 거주 동원 자원이 72보병사단으로 배정되는지의 여부는 공개 자료로 검증할 수 없으며, 본 연구는 이를</w:t>
      </w:r>
      <w:r>
        <w:t xml:space="preserve"> </w:t>
      </w:r>
      <w:r>
        <w:t xml:space="preserve">“예시적(illustrative)”</w:t>
      </w:r>
      <w:r>
        <w:t xml:space="preserve"> </w:t>
      </w:r>
      <w:r>
        <w:t xml:space="preserve">회랑으로 다룬다. 둘째, 도로 용량·자유속도·차량 수·헤드웨이·환승 시간·철도 시각표는 모두 공개된 계획 가정이며, 실 측정값으로 보정되지 않았다. 셋째, 본 연구의 산출물은 운용 경로 계획이나 부대 운용 지침이 아니라, 산업공학 방법론을 통해 도출된 조건 지도이다.</w:t>
      </w:r>
    </w:p>
    <w:bookmarkEnd w:id="16"/>
    <w:bookmarkStart w:id="17" w:name="논문의-구성"/>
    <w:p>
      <w:pPr>
        <w:pStyle w:val="Heading3"/>
      </w:pPr>
      <w:r>
        <w:t xml:space="preserve">1.6. 논문의 구성</w:t>
      </w:r>
    </w:p>
    <w:p>
      <w:pPr>
        <w:pStyle w:val="FirstParagraph"/>
      </w:pPr>
      <w:r>
        <w:t xml:space="preserve">본 논문은 다음과 같이 구성된다. 2장에서는 동원·재난 수송과 다중수단 회복력 평가에 관한 선행연구를 검토하고, 산업공학·운영연구(OR) 문헌에서 제시된 통제실험 설계와 censoring-aware 평가 도구의 적용 사례를 정리한다. 3장에서는 연구 방법으로 (i) 시뮬레이터 구조, (ii) 송파↔양주 부곡리 가상 회랑의 네트워크 구성, (iii) 4단계 paired CRN 실험설계, (iv) censoring-aware 성과 지표 체계, (v) Morris 민감도 분석을 설명한다. 특히 §3.5.4에서 제시되는 Phase 3 반사실 lever sweep(철도 헤드웨이, 마지막 구간 셔틀 대수, 철도 수송용량의 결합 sweep)이 본 연구의 헤드라인 분석에 해당하며, 그 결과는 〈그림 6〉의 조건 지도와 〈표 6〉의 임계 조합 요약으로 제시된다. 4장에서는 결과를 4.1(기준선), 4.2(출발지 강건성), 4.3(단일수단 튜닝), 4.4(반사실 조건 지도, 헤드라인), 4.5(Morris 민감도), 4.6(종합)의 순서로 제시한다. 5장에서는 결과의 군사적 함의, 의사결정 시사점, 본 연구의 한계, 그리고 실 데이터 보정을 향한 후속 연구의 방향을 논의한다.</w:t>
      </w:r>
    </w:p>
    <w:bookmarkEnd w:id="17"/>
    <w:bookmarkEnd w:id="18"/>
    <w:bookmarkStart w:id="19" w:name="문헌-검토"/>
    <w:p>
      <w:pPr>
        <w:pStyle w:val="Heading2"/>
      </w:pPr>
      <w:r>
        <w:t xml:space="preserve">2. 문헌 검토</w:t>
      </w:r>
    </w:p>
    <w:p>
      <w:pPr>
        <w:pStyle w:val="FirstParagraph"/>
      </w:pPr>
      <w:r>
        <w:t xml:space="preserve">본 절은 본 연구의 방법론 골격을 구성하는 7개 주제 — 군 동원·인적자원 수송, 도로망 신뢰성·우선순위화, 이산사건 시뮬레이션, 짝지은 공통 난수, 검열 인식 성과지표, Morris 기초효과 민감도, OSMnx 도로망 추출 — 의 선행연구를 통합 검토한다.</w:t>
      </w:r>
    </w:p>
    <w:p>
      <w:pPr>
        <w:pStyle w:val="BodyText"/>
      </w:pPr>
      <w:r>
        <w:rPr>
          <w:b/>
          <w:bCs/>
        </w:rPr>
        <w:t xml:space="preserve">군 동원·재난 수송 연구.</w:t>
      </w:r>
      <w:r>
        <w:t xml:space="preserve"> </w:t>
      </w:r>
      <w:r>
        <w:t xml:space="preserve">군 동원 수송은 짧은 시간창 안에 대규모 인원을 정해진 집결지로 이동시켜야 하며 미도착의 비용이 비대칭적으로 크다는 특성을 갖는다. 한국에서는 병무청이 동원훈련 운영 골격을 공개하고[1] 송파구 등 자치구가 수송버스 운영 조례를 갖추고 있다[2]. 군 동원에 직접 대응되는 학술 문헌은 제한적이어서 본 연구는 대규모 대피·소개 문헌[3, 4]을 참고로 활용하되 직접 일반화는 회피한다. 군 OD 쌍의 시간 내 도달 가능성을 평가하는 도로망 신뢰성·취약성 연구는 단일 간선 차단의 일반화 통행비용 영향을 정량화한 Berdica[5]·Jenelius 외[6], 접근성 손실 기반 지표를 제시한 Taylor[7], 그리고 종합 검토를 제공한 Mattsson·Jenelius[8] 등이 OD 중심 평가 전통을 정립하였다.</w:t>
      </w:r>
    </w:p>
    <w:p>
      <w:pPr>
        <w:pStyle w:val="BodyText"/>
      </w:pPr>
      <w:r>
        <w:rPr>
          <w:b/>
          <w:bCs/>
        </w:rPr>
        <w:t xml:space="preserve">시뮬레이션·분산 감소·검열 지표.</w:t>
      </w:r>
      <w:r>
        <w:t xml:space="preserve"> </w:t>
      </w:r>
      <w:r>
        <w:t xml:space="preserve">이산사건 시뮬레이션(DES)은 차량·승객·정류장을 명시적 자원·사건으로 모형화하는 데 적합하며[9, 10], Python 생태계에서는 SimPy[11]가 표준이고 OSMnx 기반 도로 그래프와의 결합 워크플로우는 Boeing·Wang[12]이 실용성을 보였다. 공통 난수(CRN)는 서로 다른 시스템 구성을 같은 외생 표본에서 비교하여 분산을 줄이는 기법이며 본 연구의 두 수단 비교에 직접 적용된다[9, 13, 14]. 평균·중위 완료시간만으로 평가하면 미도착(censored) 관측치가 묵시적으로 제거되는 편향이 발생하므로 본 연구는 Kaplan·Meier[15] 및 Klein·Moeschberger[16]의 검열 처리 원칙과 Pinedo[17]·Hall·Posner[18]의 벌점 메이크스팬·마감위반 비용 분리 보고 권고를 따라 (i) 완료시간 중위·평균, (ii) 미도착률, (iii) 벌점 메이크스팬을 동시 보고한다.</w:t>
      </w:r>
    </w:p>
    <w:p>
      <w:pPr>
        <w:pStyle w:val="BodyText"/>
      </w:pPr>
      <w:r>
        <w:rPr>
          <w:b/>
          <w:bCs/>
        </w:rPr>
        <w:t xml:space="preserve">민감도·도로망 추출.</w:t>
      </w:r>
      <w:r>
        <w:t xml:space="preserve"> </w:t>
      </w:r>
      <w:r>
        <w:t xml:space="preserve">Morris elementary effects[20]는 고차원 모수공간에서 영향력 있는 인자를 OAT(one-at-a-time) 표집으로 선별하는 정전 기법이며, Campolongo 외[21]가 trajectory 기반 효율 개선을 제시하고 Sobol’[19] 및 SALib[22]이 추가 도구를 제공한다. 본 연구는 SALib을 통한 Morris 14-parameter 사전선별을 수행하였다. 도로망 추출은 Boeing[23, 12]이 OSMnx로 OpenStreetMap을 NetworkX 그래프로 변환하는 표준 워크플로우를 정립하였으며, 본 연구는 이를 v0.7에서도 그대로 차용한다. 종합적으로 본 연구의 기여는 (i) 적용 가능 조건 식별을 위한 4단계 DoE 골격, (ii) 페어드 CRN + censoring-aware + Morris 통합 평가 프레임워크, (iii) 결과의 정성·정량적 공유가능성을 보존하는 공개 자료 기반 원칙의 결합에 있다[24, 25].</w:t>
      </w:r>
      <w:r>
        <w:t xml:space="preserve"> </w:t>
      </w:r>
      <w:r>
        <w:t xml:space="preserve">종합적으로 본 연구의 방법론 골격은 대피 문헌[3, 4]·DES 표준 텍스트[10]·CRN 이론 권고[13, 14] 및 OR 응용 일반[24, 25]을 통합한다.</w:t>
      </w:r>
    </w:p>
    <w:bookmarkEnd w:id="19"/>
    <w:bookmarkStart w:id="39" w:name="방법론"/>
    <w:p>
      <w:pPr>
        <w:pStyle w:val="Heading2"/>
      </w:pPr>
      <w:r>
        <w:t xml:space="preserve">3. 방법론</w:t>
      </w:r>
    </w:p>
    <w:p>
      <w:pPr>
        <w:pStyle w:val="FirstParagraph"/>
      </w:pPr>
      <w:r>
        <w:t xml:space="preserve">본 장은 송파구–양주 부곡리 회랑 위에서 단일수단(버스 전용)과 복합수단(철도–버스)의 회복력을 통제실험으로 비교하기 위해 구축한 시뮬레이션·실험·민감도 분석 체계를 기술한다. 방법론 골격은 (i) SimPy 기반 이산사건 시뮬레이터, (ii) OSMnx로 추출한 주요 간선 가상 회랑, (iii) Paired CRN 기반 4단계 DoE, (iv) Morris elementary-effects 민감도 분석의 네 축으로 구성된다. 모든 매개변수 값은 미보정 계획 프록시(planning proxy)임을 본 절 전반에 걸쳐 명시한다. 본 장에서 도입되는</w:t>
      </w:r>
      <w:r>
        <w:t xml:space="preserve"> </w:t>
      </w:r>
      <w:r>
        <w:rPr>
          <w:b/>
          <w:bCs/>
        </w:rPr>
        <w:t xml:space="preserve">부호 규약은 Δ = bus_only − multimodal</w:t>
      </w:r>
      <w:r>
        <w:t xml:space="preserve"> </w:t>
      </w:r>
      <w:r>
        <w:t xml:space="preserve">(코드</w:t>
      </w:r>
      <w:r>
        <w:t xml:space="preserve"> </w:t>
      </w:r>
      <w:r>
        <w:rPr>
          <w:rStyle w:val="VerbatimChar"/>
        </w:rPr>
        <w:t xml:space="preserve">_safe_delta(left=bus, right=multi)</w:t>
      </w:r>
      <w:r>
        <w:t xml:space="preserve">; 음수 = 직행버스 우위)이며, 본 규약은 §4·§5의 모든 정량 비교에 일관 적용된다. 본 연구의 실험 설계 격자 요약은 보충자료 〈표 S1〉에 별도 수록된다.</w:t>
      </w:r>
    </w:p>
    <w:bookmarkStart w:id="23" w:name="시뮬레이터-구조"/>
    <w:p>
      <w:pPr>
        <w:pStyle w:val="Heading3"/>
      </w:pPr>
      <w:r>
        <w:t xml:space="preserve">3.1 시뮬레이터 구조</w:t>
      </w:r>
    </w:p>
    <w:p>
      <w:pPr>
        <w:pStyle w:val="FirstParagraph"/>
      </w:pPr>
      <w:r>
        <w:t xml:space="preserve">본 시뮬레이터는 Python 3.11 환경에서</w:t>
      </w:r>
      <w:r>
        <w:t xml:space="preserve"> </w:t>
      </w:r>
      <w:r>
        <w:rPr>
          <w:rStyle w:val="VerbatimChar"/>
        </w:rPr>
        <w:t xml:space="preserve">SimPy</w:t>
      </w:r>
      <w:r>
        <w:t xml:space="preserve"> </w:t>
      </w:r>
      <w:r>
        <w:t xml:space="preserve">[11]의 이산사건(discrete-event) 패러다임을 채택하여, 인원 도착·차량 디스패치·도로 통행·환승·열차 운행을 모두 명시적 사건 단위로 처리한다. 시뮬레이터는 추상 네트워크</w:t>
      </w:r>
      <w:r>
        <w:t xml:space="preserve"> </w:t>
      </w:r>
      <w:r>
        <w:rPr>
          <w:rStyle w:val="VerbatimChar"/>
        </w:rPr>
        <w:t xml:space="preserve">H/A/S/R/D</w:t>
      </w:r>
      <w:r>
        <w:t xml:space="preserve"> </w:t>
      </w:r>
      <w:r>
        <w:t xml:space="preserve">노드 계약(canonical node contract; H: 출발 허브, A: 집결지, S: 철도 승차역, R: 철도 하차역, D: 최종 목적지)을 따른다. 본 KCI 연구에서는</w:t>
      </w:r>
      <w:r>
        <w:t xml:space="preserve"> </w:t>
      </w:r>
      <w:r>
        <w:rPr>
          <w:rStyle w:val="VerbatimChar"/>
        </w:rPr>
        <w:t xml:space="preserve">A</w:t>
      </w:r>
      <w:r>
        <w:t xml:space="preserve">는 송파구 집결지 후보(§3.2),</w:t>
      </w:r>
      <w:r>
        <w:t xml:space="preserve"> </w:t>
      </w:r>
      <w:r>
        <w:rPr>
          <w:rStyle w:val="VerbatimChar"/>
        </w:rPr>
        <w:t xml:space="preserve">D</w:t>
      </w:r>
      <w:r>
        <w:t xml:space="preserve">는 72사단 부곡리 동원훈련장,</w:t>
      </w:r>
      <w:r>
        <w:t xml:space="preserve"> </w:t>
      </w:r>
      <w:r>
        <w:rPr>
          <w:rStyle w:val="VerbatimChar"/>
        </w:rPr>
        <w:t xml:space="preserve">S/R</w:t>
      </w:r>
      <w:r>
        <w:t xml:space="preserve">는 잠실역·의정부역에 각각 스냅된다.</w:t>
      </w:r>
    </w:p>
    <w:bookmarkStart w:id="20" w:name="동적-교통-모형-bpr-at-departure"/>
    <w:p>
      <w:pPr>
        <w:pStyle w:val="Heading4"/>
      </w:pPr>
      <w:r>
        <w:t xml:space="preserve">동적 교통 모형 (BPR-at-departure)</w:t>
      </w:r>
    </w:p>
    <w:p>
      <w:pPr>
        <w:pStyle w:val="FirstParagraph"/>
      </w:pPr>
      <w:r>
        <w:t xml:space="preserve">도로 통행시간은 출발시각(BPR-at-departure-time) 기준 BPR 함수로 결정된다.</w:t>
      </w:r>
    </w:p>
    <w:p>
      <w:pPr>
        <w:pStyle w:val="BodyText"/>
      </w:pPr>
      <m:oMathPara>
        <m:oMathParaPr>
          <m:jc m:val="center"/>
        </m:oMathParaPr>
        <m:oMath>
          <m:r>
            <m:t>t</m:t>
          </m:r>
          <m:r>
            <m:rPr>
              <m:sty m:val="p"/>
            </m:rPr>
            <m:t>(</m:t>
          </m:r>
          <m:r>
            <m:t>v</m:t>
          </m:r>
          <m:r>
            <m:rPr>
              <m:sty m:val="p"/>
            </m:rPr>
            <m:t>)</m:t>
          </m:r>
          <m:r>
            <m:rPr>
              <m:sty m:val="p"/>
            </m:rPr>
            <m:t>=</m:t>
          </m:r>
          <m:sSub>
            <m:e>
              <m:r>
                <m:t>t</m:t>
              </m:r>
            </m:e>
            <m:sub>
              <m:r>
                <m:t>0</m:t>
              </m:r>
            </m:sub>
          </m:sSub>
          <m:r>
            <m:rPr>
              <m:sty m:val="p"/>
            </m:rPr>
            <m:t>⋅</m:t>
          </m:r>
          <m:d>
            <m:dPr>
              <m:begChr m:val="["/>
              <m:sepChr m:val=""/>
              <m:endChr m:val="]"/>
              <m:grow/>
            </m:dPr>
            <m:e>
              <m:r>
                <m:t>1</m:t>
              </m:r>
              <m:r>
                <m:rPr>
                  <m:sty m:val="p"/>
                </m:rPr>
                <m:t>+</m:t>
              </m:r>
              <m:r>
                <m:t>α</m:t>
              </m:r>
              <m:sSup>
                <m:e>
                  <m:d>
                    <m:dPr>
                      <m:begChr m:val="("/>
                      <m:sepChr m:val=""/>
                      <m:endChr m:val=")"/>
                      <m:grow/>
                    </m:dPr>
                    <m:e>
                      <m:f>
                        <m:fPr>
                          <m:type m:val="bar"/>
                        </m:fPr>
                        <m:num>
                          <m:r>
                            <m:t>v</m:t>
                          </m:r>
                        </m:num>
                        <m:den>
                          <m:r>
                            <m:t>C</m:t>
                          </m:r>
                        </m:den>
                      </m:f>
                    </m:e>
                  </m:d>
                </m:e>
                <m:sup>
                  <m:r>
                    <m:t>β</m:t>
                  </m:r>
                </m:sup>
              </m:sSup>
            </m:e>
          </m:d>
        </m:oMath>
      </m:oMathPara>
    </w:p>
    <w:p>
      <w:pPr>
        <w:pStyle w:val="FirstParagraph"/>
      </w:pPr>
      <w:r>
        <w:t xml:space="preserve">여기서</w:t>
      </w:r>
      <w:r>
        <w:t xml:space="preserve"> </w:t>
      </w:r>
      <m:oMath>
        <m:sSub>
          <m:e>
            <m:r>
              <m:t>t</m:t>
            </m:r>
          </m:e>
          <m:sub>
            <m:r>
              <m:t>0</m:t>
            </m:r>
          </m:sub>
        </m:sSub>
      </m:oMath>
      <w:r>
        <w:t xml:space="preserve">는 자유 통행시간(분),</w:t>
      </w:r>
      <w:r>
        <w:t xml:space="preserve"> </w:t>
      </w:r>
      <m:oMath>
        <m:r>
          <m:t>v</m:t>
        </m:r>
      </m:oMath>
      <w:r>
        <w:t xml:space="preserve">는 배경 교통량(rolling 60분 윈도),</w:t>
      </w:r>
      <w:r>
        <w:t xml:space="preserve"> </w:t>
      </w:r>
      <m:oMath>
        <m:r>
          <m:t>C</m:t>
        </m:r>
      </m:oMath>
      <w:r>
        <w:t xml:space="preserve">는 directional capacity(veh/h),</w:t>
      </w:r>
      <w:r>
        <w:t xml:space="preserve"> </w:t>
      </w:r>
      <m:oMath>
        <m:r>
          <m:rPr>
            <m:sty m:val="p"/>
          </m:rPr>
          <m:t>(</m:t>
        </m:r>
        <m:r>
          <m:t>α</m:t>
        </m:r>
        <m:r>
          <m:rPr>
            <m:sty m:val="p"/>
          </m:rPr>
          <m:t>,</m:t>
        </m:r>
        <m:r>
          <m:t>β</m:t>
        </m:r>
        <m:r>
          <m:rPr>
            <m:sty m:val="p"/>
          </m:rPr>
          <m:t>)</m:t>
        </m:r>
        <m:r>
          <m:rPr>
            <m:sty m:val="p"/>
          </m:rPr>
          <m:t>=</m:t>
        </m:r>
        <m:r>
          <m:rPr>
            <m:sty m:val="p"/>
          </m:rPr>
          <m:t>(</m:t>
        </m:r>
        <m:r>
          <m:t>0.15</m:t>
        </m:r>
        <m:r>
          <m:rPr>
            <m:sty m:val="p"/>
          </m:rPr>
          <m:t>,</m:t>
        </m:r>
        <m:r>
          <m:t>4.0</m:t>
        </m:r>
        <m:r>
          <m:rPr>
            <m:sty m:val="p"/>
          </m:rPr>
          <m:t>)</m:t>
        </m:r>
      </m:oMath>
      <w:r>
        <w:t xml:space="preserve">은 표준 미국연방도로국(FHWA) 권장값을 따른다. 차량은 배차 시각에 한 번 통행시간을 산정하고, 도중 재산정은 하지 않는다(</w:t>
      </w:r>
      <w:r>
        <w:rPr>
          <w:i/>
          <w:iCs/>
        </w:rPr>
        <w:t xml:space="preserve">static-at-dispatch</w:t>
      </w:r>
      <w:r>
        <w:t xml:space="preserve"> </w:t>
      </w:r>
      <w:r>
        <w:t xml:space="preserve">가정).</w:t>
      </w:r>
    </w:p>
    <w:bookmarkEnd w:id="20"/>
    <w:bookmarkStart w:id="21" w:name="fleet-dispatch-rail-last-mile-모듈"/>
    <w:p>
      <w:pPr>
        <w:pStyle w:val="Heading4"/>
      </w:pPr>
      <w:r>
        <w:t xml:space="preserve">Fleet / Dispatch / Rail / Last-mile 모듈</w:t>
      </w:r>
    </w:p>
    <w:p>
      <w:pPr>
        <w:pStyle w:val="FirstParagraph"/>
      </w:pPr>
      <w:r>
        <w:t xml:space="preserve">차량 운용은</w:t>
      </w:r>
      <w:r>
        <w:t xml:space="preserve"> </w:t>
      </w:r>
      <w:r>
        <w:rPr>
          <w:rStyle w:val="VerbatimChar"/>
        </w:rPr>
        <w:t xml:space="preserve">fleet.py</w:t>
      </w:r>
      <w:r>
        <w:t xml:space="preserve">(유한 차량 가용성),</w:t>
      </w:r>
      <w:r>
        <w:t xml:space="preserve"> </w:t>
      </w:r>
      <w:r>
        <w:rPr>
          <w:rStyle w:val="VerbatimChar"/>
        </w:rPr>
        <w:t xml:space="preserve">dispatch.py</w:t>
      </w:r>
      <w:r>
        <w:t xml:space="preserve">(대기열 기반 승객 디스패치),</w:t>
      </w:r>
      <w:r>
        <w:t xml:space="preserve"> </w:t>
      </w:r>
      <w:r>
        <w:rPr>
          <w:rStyle w:val="VerbatimChar"/>
        </w:rPr>
        <w:t xml:space="preserve">rail.py</w:t>
      </w:r>
      <w:r>
        <w:t xml:space="preserve">(고정 헤드웨이 철도),</w:t>
      </w:r>
      <w:r>
        <w:t xml:space="preserve"> </w:t>
      </w:r>
      <w:r>
        <w:rPr>
          <w:rStyle w:val="VerbatimChar"/>
        </w:rPr>
        <w:t xml:space="preserve">transfers.py</w:t>
      </w:r>
      <w:r>
        <w:t xml:space="preserve">(환승 지연 산정)의 4개 sibling 모듈로 분리된다. 단일수단 시나리오는</w:t>
      </w:r>
      <w:r>
        <w:t xml:space="preserve"> </w:t>
      </w:r>
      <w:r>
        <w:rPr>
          <w:rStyle w:val="VerbatimChar"/>
        </w:rPr>
        <w:t xml:space="preserve">A→D</w:t>
      </w:r>
      <w:r>
        <w:t xml:space="preserve"> </w:t>
      </w:r>
      <w:r>
        <w:t xml:space="preserve">직행 버스 단일 회로를 사용하고, 복합수단 시나리오는</w:t>
      </w:r>
      <w:r>
        <w:t xml:space="preserve"> </w:t>
      </w:r>
      <w:r>
        <w:rPr>
          <w:rStyle w:val="VerbatimChar"/>
        </w:rPr>
        <w:t xml:space="preserve">A→S</w:t>
      </w:r>
      <w:r>
        <w:t xml:space="preserve"> </w:t>
      </w:r>
      <w:r>
        <w:t xml:space="preserve">셔틀 →</w:t>
      </w:r>
      <w:r>
        <w:t xml:space="preserve"> </w:t>
      </w:r>
      <w:r>
        <w:rPr>
          <w:rStyle w:val="VerbatimChar"/>
        </w:rPr>
        <w:t xml:space="preserve">S→R</w:t>
      </w:r>
      <w:r>
        <w:t xml:space="preserve"> </w:t>
      </w:r>
      <w:r>
        <w:t xml:space="preserve">열차 →</w:t>
      </w:r>
      <w:r>
        <w:t xml:space="preserve"> </w:t>
      </w:r>
      <w:r>
        <w:rPr>
          <w:rStyle w:val="VerbatimChar"/>
        </w:rPr>
        <w:t xml:space="preserve">R→D</w:t>
      </w:r>
      <w:r>
        <w:t xml:space="preserve"> </w:t>
      </w:r>
      <w:r>
        <w:t xml:space="preserve">last-mile 버스의 3단 회로를 직렬 연결한다.</w:t>
      </w:r>
    </w:p>
    <w:bookmarkEnd w:id="21"/>
    <w:bookmarkStart w:id="22" w:name="censoring-aware-지표-정의"/>
    <w:p>
      <w:pPr>
        <w:pStyle w:val="Heading4"/>
      </w:pPr>
      <w:r>
        <w:t xml:space="preserve">Censoring-aware 지표 정의</w:t>
      </w:r>
    </w:p>
    <w:p>
      <w:pPr>
        <w:pStyle w:val="FirstParagraph"/>
      </w:pPr>
      <w:r>
        <w:t xml:space="preserve">총 인원</w:t>
      </w:r>
      <w:r>
        <w:t xml:space="preserve"> </w:t>
      </w:r>
      <m:oMath>
        <m:r>
          <m:t>N</m:t>
        </m:r>
      </m:oMath>
      <w:r>
        <w:t xml:space="preserve">이 시간 제한</w:t>
      </w:r>
      <w:r>
        <w:t xml:space="preserve"> </w:t>
      </w:r>
      <m:oMath>
        <m:sSub>
          <m:e>
            <m:r>
              <m:t>T</m:t>
            </m:r>
          </m:e>
          <m:sub>
            <m:r>
              <m:rPr>
                <m:sty m:val="p"/>
              </m:rPr>
              <m:t>max</m:t>
            </m:r>
          </m:sub>
        </m:sSub>
        <m:r>
          <m:rPr>
            <m:sty m:val="p"/>
          </m:rPr>
          <m:t>=</m:t>
        </m:r>
        <m:r>
          <m:t>1440</m:t>
        </m:r>
      </m:oMath>
      <w:r>
        <w:t xml:space="preserve">분 내에 모두 도착하지 못할 수 있으므로 단일 makespan만으로는</w:t>
      </w:r>
      <w:r>
        <w:t xml:space="preserve"> </w:t>
      </w:r>
      <w:r>
        <w:rPr>
          <w:i/>
          <w:iCs/>
        </w:rPr>
        <w:t xml:space="preserve">“빠르지만 누락이 많은”</w:t>
      </w:r>
      <w:r>
        <w:t xml:space="preserve"> </w:t>
      </w:r>
      <w:r>
        <w:t xml:space="preserve">시나리오가 호도된다. 따라서 본 연구는 다음을 1차 지표로 채택한다.</w:t>
      </w:r>
    </w:p>
    <w:p>
      <w:pPr>
        <w:pStyle w:val="Compact"/>
        <w:numPr>
          <w:ilvl w:val="0"/>
          <w:numId w:val="1001"/>
        </w:numPr>
      </w:pPr>
      <w:r>
        <w:rPr>
          <w:b/>
          <w:bCs/>
        </w:rPr>
        <w:t xml:space="preserve">censored_count</w:t>
      </w:r>
      <w:r>
        <w:t xml:space="preserve">:</w:t>
      </w:r>
      <w:r>
        <w:t xml:space="preserve"> </w:t>
      </w:r>
      <m:oMath>
        <m:sSub>
          <m:e>
            <m:r>
              <m:t>T</m:t>
            </m:r>
          </m:e>
          <m:sub>
            <m:r>
              <m:rPr>
                <m:sty m:val="p"/>
              </m:rPr>
              <m:t>max</m:t>
            </m:r>
          </m:sub>
        </m:sSub>
      </m:oMath>
      <w:r>
        <w:t xml:space="preserve"> </w:t>
      </w:r>
      <w:r>
        <w:t xml:space="preserve">내에</w:t>
      </w:r>
      <w:r>
        <w:t xml:space="preserve"> </w:t>
      </w:r>
      <m:oMath>
        <m:r>
          <m:t>D</m:t>
        </m:r>
      </m:oMath>
      <w:r>
        <w:t xml:space="preserve">에 도착하지 못한 인원 수.</w:t>
      </w:r>
    </w:p>
    <w:p>
      <w:pPr>
        <w:pStyle w:val="Compact"/>
        <w:numPr>
          <w:ilvl w:val="0"/>
          <w:numId w:val="1001"/>
        </w:numPr>
      </w:pPr>
      <w:r>
        <w:rPr>
          <w:b/>
          <w:bCs/>
        </w:rPr>
        <w:t xml:space="preserve">penalized_makespan</w:t>
      </w:r>
      <w:r>
        <w:t xml:space="preserve">:</w:t>
      </w:r>
    </w:p>
    <w:p>
      <w:pPr>
        <w:pStyle w:val="FirstParagraph"/>
      </w:pPr>
      <m:oMathPara>
        <m:oMathParaPr>
          <m:jc m:val="center"/>
        </m:oMathParaPr>
        <m:oMath>
          <m:sSub>
            <m:e>
              <m:r>
                <m:t>M</m:t>
              </m:r>
            </m:e>
            <m:sub>
              <m:r>
                <m:rPr>
                  <m:sty m:val="p"/>
                </m:rPr>
                <m:t>p</m:t>
              </m:r>
              <m:r>
                <m:rPr>
                  <m:sty m:val="p"/>
                </m:rPr>
                <m:t>e</m:t>
              </m:r>
              <m:r>
                <m:rPr>
                  <m:sty m:val="p"/>
                </m:rPr>
                <m:t>n</m:t>
              </m:r>
            </m:sub>
          </m:sSub>
          <m:r>
            <m:rPr>
              <m:sty m:val="p"/>
            </m:rPr>
            <m:t>=</m:t>
          </m:r>
          <m:r>
            <m:rPr>
              <m:sty m:val="p"/>
            </m:rPr>
            <m:t>max</m:t>
          </m:r>
          <m:r>
            <m:rPr>
              <m:sty m:val="p"/>
            </m:rPr>
            <m:t>(</m:t>
          </m:r>
          <m:sSub>
            <m:e>
              <m:r>
                <m:t>M</m:t>
              </m:r>
            </m:e>
            <m:sub>
              <m:r>
                <m:rPr>
                  <m:sty m:val="p"/>
                </m:rPr>
                <m:t>o</m:t>
              </m:r>
              <m:r>
                <m:rPr>
                  <m:sty m:val="p"/>
                </m:rPr>
                <m:t>b</m:t>
              </m:r>
              <m:r>
                <m:rPr>
                  <m:sty m:val="p"/>
                </m:rPr>
                <m:t>s</m:t>
              </m:r>
            </m:sub>
          </m:sSub>
          <m:r>
            <m:rPr>
              <m:sty m:val="p"/>
            </m:rPr>
            <m:t>,</m:t>
          </m:r>
          <m:sSub>
            <m:e>
              <m:r>
                <m:t>T</m:t>
              </m:r>
            </m:e>
            <m:sub>
              <m:r>
                <m:rPr>
                  <m:sty m:val="p"/>
                </m:rPr>
                <m:t>max</m:t>
              </m:r>
            </m:sub>
          </m:sSub>
          <m:r>
            <m:rPr>
              <m:sty m:val="p"/>
            </m:rPr>
            <m:t>)</m:t>
          </m:r>
          <m:r>
            <m:rPr>
              <m:sty m:val="p"/>
            </m:rPr>
            <m:t>+</m:t>
          </m:r>
          <m:sSub>
            <m:e>
              <m:r>
                <m:t>n</m:t>
              </m:r>
            </m:e>
            <m:sub>
              <m:r>
                <m:t>c</m:t>
              </m:r>
            </m:sub>
          </m:sSub>
          <m:r>
            <m:rPr>
              <m:sty m:val="p"/>
            </m:rPr>
            <m:t>⋅</m:t>
          </m:r>
          <m:r>
            <m:t>π</m:t>
          </m:r>
        </m:oMath>
      </m:oMathPara>
    </w:p>
    <w:p>
      <w:pPr>
        <w:pStyle w:val="FirstParagraph"/>
      </w:pPr>
      <w:r>
        <w:t xml:space="preserve">여기서</w:t>
      </w:r>
      <w:r>
        <w:t xml:space="preserve"> </w:t>
      </w:r>
      <m:oMath>
        <m:sSub>
          <m:e>
            <m:r>
              <m:t>M</m:t>
            </m:r>
          </m:e>
          <m:sub>
            <m:r>
              <m:rPr>
                <m:sty m:val="p"/>
              </m:rPr>
              <m:t>o</m:t>
            </m:r>
            <m:r>
              <m:rPr>
                <m:sty m:val="p"/>
              </m:rPr>
              <m:t>b</m:t>
            </m:r>
            <m:r>
              <m:rPr>
                <m:sty m:val="p"/>
              </m:rPr>
              <m:t>s</m:t>
            </m:r>
          </m:sub>
        </m:sSub>
      </m:oMath>
      <w:r>
        <w:t xml:space="preserve">는 관측된 마지막 도착시각,</w:t>
      </w:r>
      <w:r>
        <w:t xml:space="preserve"> </w:t>
      </w:r>
      <m:oMath>
        <m:sSub>
          <m:e>
            <m:r>
              <m:t>n</m:t>
            </m:r>
          </m:e>
          <m:sub>
            <m:r>
              <m:t>c</m:t>
            </m:r>
          </m:sub>
        </m:sSub>
      </m:oMath>
      <w:r>
        <w:t xml:space="preserve">는 censored_count,</w:t>
      </w:r>
      <w:r>
        <w:t xml:space="preserve"> </w:t>
      </w:r>
      <m:oMath>
        <m:r>
          <m:t>π</m:t>
        </m:r>
        <m:r>
          <m:rPr>
            <m:sty m:val="p"/>
          </m:rPr>
          <m:t>=</m:t>
        </m:r>
        <m:r>
          <m:t>1440</m:t>
        </m:r>
      </m:oMath>
      <w:r>
        <w:t xml:space="preserve">분(</w:t>
      </w:r>
      <w:r>
        <w:rPr>
          <w:rStyle w:val="VerbatimChar"/>
        </w:rPr>
        <w:t xml:space="preserve">late_penalty_min</w:t>
      </w:r>
      <w:r>
        <w:t xml:space="preserve">)은 누락 1인당 부과 페널티이다.</w:t>
      </w:r>
      <w:r>
        <w:t xml:space="preserve"> </w:t>
      </w:r>
      <m:oMath>
        <m:sSub>
          <m:e>
            <m:r>
              <m:t>n</m:t>
            </m:r>
          </m:e>
          <m:sub>
            <m:r>
              <m:t>c</m:t>
            </m:r>
          </m:sub>
        </m:sSub>
        <m:r>
          <m:rPr>
            <m:sty m:val="p"/>
          </m:rPr>
          <m:t>=</m:t>
        </m:r>
        <m:r>
          <m:t>0</m:t>
        </m:r>
      </m:oMath>
      <w:r>
        <w:t xml:space="preserve">이면</w:t>
      </w:r>
      <w:r>
        <w:t xml:space="preserve"> </w:t>
      </w:r>
      <m:oMath>
        <m:sSub>
          <m:e>
            <m:r>
              <m:t>M</m:t>
            </m:r>
          </m:e>
          <m:sub>
            <m:r>
              <m:rPr>
                <m:sty m:val="p"/>
              </m:rPr>
              <m:t>p</m:t>
            </m:r>
            <m:r>
              <m:rPr>
                <m:sty m:val="p"/>
              </m:rPr>
              <m:t>e</m:t>
            </m:r>
            <m:r>
              <m:rPr>
                <m:sty m:val="p"/>
              </m:rPr>
              <m:t>n</m:t>
            </m:r>
          </m:sub>
        </m:sSub>
        <m:r>
          <m:rPr>
            <m:sty m:val="p"/>
          </m:rPr>
          <m:t>=</m:t>
        </m:r>
        <m:sSub>
          <m:e>
            <m:r>
              <m:t>M</m:t>
            </m:r>
          </m:e>
          <m:sub>
            <m:r>
              <m:rPr>
                <m:sty m:val="p"/>
              </m:rPr>
              <m:t>o</m:t>
            </m:r>
            <m:r>
              <m:rPr>
                <m:sty m:val="p"/>
              </m:rPr>
              <m:t>b</m:t>
            </m:r>
            <m:r>
              <m:rPr>
                <m:sty m:val="p"/>
              </m:rPr>
              <m:t>s</m:t>
            </m:r>
          </m:sub>
        </m:sSub>
      </m:oMath>
      <w:r>
        <w:t xml:space="preserve">로 환원된다.</w:t>
      </w:r>
    </w:p>
    <w:p>
      <w:pPr>
        <w:pStyle w:val="BodyText"/>
      </w:pPr>
      <w:r>
        <w:t xml:space="preserve">부가 지표로 95퍼센타일 도착시각, 도로 차량-분(road vehicle-minutes), 1인당 총 서비스 분(passengers per total service minute, 자원 효율) 등이 계산된다.</w:t>
      </w:r>
    </w:p>
    <w:bookmarkEnd w:id="22"/>
    <w:bookmarkEnd w:id="23"/>
    <w:bookmarkStart w:id="31" w:name="가상-송파-부곡리-회랑"/>
    <w:p>
      <w:pPr>
        <w:pStyle w:val="Heading3"/>
      </w:pPr>
      <w:r>
        <w:t xml:space="preserve">3.2 가상 송파-부곡리 회랑</w:t>
      </w:r>
    </w:p>
    <w:bookmarkStart w:id="27" w:name="osmnx-bbox-추출"/>
    <w:p>
      <w:pPr>
        <w:pStyle w:val="Heading4"/>
      </w:pPr>
      <w:r>
        <w:t xml:space="preserve">OSMnx bbox 추출</w:t>
      </w:r>
    </w:p>
    <w:p>
      <w:pPr>
        <w:pStyle w:val="FirstParagraph"/>
      </w:pPr>
      <w:r>
        <w:t xml:space="preserve">도로망은 OSMnx [23]를 사용하여 위도 37.46–37.78°N, 경도 126.85–127.20°E 범위에서 추출하였다. 이 bbox는 송파구의 네 집결지 후보를 모두 남단에 포함하고, 양주 장흥 부곡리 동원훈련장(약 37.74 N / 126.95 E)을 북단에 포함하며, 사이를 잇는 올림픽대로·강변북로·서울외곽순환·1번 국도 연결구간을 충분히 포함하도록 설정되었다. 추출 결과는</w:t>
      </w:r>
      <w:r>
        <w:t xml:space="preserve"> </w:t>
      </w:r>
      <w:r>
        <w:rPr>
          <w:rStyle w:val="VerbatimChar"/>
        </w:rPr>
        <w:t xml:space="preserve">data/cache/songpa_yangju_corridor.graphml</w:t>
      </w:r>
      <w:r>
        <w:t xml:space="preserve">에 GraphML 형식으로 캐시되어 모든 후속 실험이 동일한 그래프 스냅숏을 재사용하도록 보장한다.</w:t>
      </w:r>
    </w:p>
    <w:p>
      <w:pPr>
        <w:pStyle w:val="BodyText"/>
      </w:pPr>
      <w:r>
        <w:drawing>
          <wp:inline>
            <wp:extent cx="6261100" cy="6631153"/>
            <wp:effectExtent b="0" l="0" r="0" t="0"/>
            <wp:docPr descr="그림 2" title="" id="25" name="Picture"/>
            <a:graphic>
              <a:graphicData uri="http://schemas.openxmlformats.org/drawingml/2006/picture">
                <pic:pic>
                  <pic:nvPicPr>
                    <pic:cNvPr descr="figures/figure2_corridor_map.png" id="26" name="Picture"/>
                    <pic:cNvPicPr>
                      <a:picLocks noChangeArrowheads="1" noChangeAspect="1"/>
                    </pic:cNvPicPr>
                  </pic:nvPicPr>
                  <pic:blipFill>
                    <a:blip r:embed="rId24"/>
                    <a:stretch>
                      <a:fillRect/>
                    </a:stretch>
                  </pic:blipFill>
                  <pic:spPr bwMode="auto">
                    <a:xfrm>
                      <a:off x="0" y="0"/>
                      <a:ext cx="6261100" cy="6631153"/>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Geographic layout of the Songpa–Bugok-ri reserve-force mobilization corridor (virtual major-arterial corridor). Major arterial roads (motorway, trunk, primary, secondary, and their</w:t>
      </w:r>
      <w:r>
        <w:t xml:space="preserve"> </w:t>
      </w:r>
      <w:r>
        <w:rPr>
          <w:rStyle w:val="VerbatimChar"/>
        </w:rPr>
        <w:t xml:space="preserve">_link</w:t>
      </w:r>
      <w:r>
        <w:t xml:space="preserve"> </w:t>
      </w:r>
      <w:r>
        <w:t xml:space="preserve">variants) are highlighted from the OSM-cached graph (77,002 nodes, 209,041 edges). Songpa-side candidate origins are A (Songpa-gu Job Center), B (Samjeon-dong Community Hall), C (Jangji Station Exit 4), and D (Jamsil Sports Complex, unverified variant). The canonical destination is T (72nd Division Bugok-ri Mobilization Training Center, ≈37.74°N 126.95°E). Rail entry/exit nodes are S (Jamsil Station) and R (Uijeongbu Station, ≈37.738°N 127.046°E).</w:t>
      </w:r>
    </w:p>
    <w:bookmarkEnd w:id="27"/>
    <w:bookmarkStart w:id="28" w:name="주요-간선-필터링"/>
    <w:p>
      <w:pPr>
        <w:pStyle w:val="Heading4"/>
      </w:pPr>
      <w:r>
        <w:t xml:space="preserve">주요 간선 필터링</w:t>
      </w:r>
    </w:p>
    <w:p>
      <w:pPr>
        <w:pStyle w:val="FirstParagraph"/>
      </w:pPr>
      <w:r>
        <w:rPr>
          <w:rStyle w:val="VerbatimChar"/>
        </w:rPr>
        <w:t xml:space="preserve">src/realworld/adapter.py</w:t>
      </w:r>
      <w:r>
        <w:t xml:space="preserve">의</w:t>
      </w:r>
      <w:r>
        <w:t xml:space="preserve"> </w:t>
      </w:r>
      <w:r>
        <w:rPr>
          <w:rStyle w:val="VerbatimChar"/>
        </w:rPr>
        <w:t xml:space="preserve">ROUTEABLE_HIGHWAY_CLASSES</w:t>
      </w:r>
      <w:r>
        <w:t xml:space="preserve"> </w:t>
      </w:r>
      <w:r>
        <w:t xml:space="preserve">집합을 다음으로 제한하였다.</w:t>
      </w:r>
    </w:p>
    <w:p>
      <w:pPr>
        <w:pStyle w:val="SourceCode"/>
      </w:pPr>
      <w:r>
        <w:rPr>
          <w:rStyle w:val="VerbatimChar"/>
        </w:rPr>
        <w:t xml:space="preserve">{motorway, motorway_link, trunk, trunk_link,</w:t>
      </w:r>
      <w:r>
        <w:br/>
      </w:r>
      <w:r>
        <w:rPr>
          <w:rStyle w:val="VerbatimChar"/>
        </w:rPr>
        <w:t xml:space="preserve"> primary, primary_link, secondary, secondary_link}</w:t>
      </w:r>
    </w:p>
    <w:p>
      <w:pPr>
        <w:pStyle w:val="FirstParagraph"/>
      </w:pPr>
      <w:r>
        <w:t xml:space="preserve">이는 본 연구가</w:t>
      </w:r>
      <w:r>
        <w:t xml:space="preserve"> </w:t>
      </w:r>
      <w:r>
        <w:rPr>
          <w:i/>
          <w:iCs/>
        </w:rPr>
        <w:t xml:space="preserve">주요 간선 회랑 추상화</w:t>
      </w:r>
      <w:r>
        <w:t xml:space="preserve">(major-arterial corridor abstraction)에 명시적으로 한정됨을 의미하며, 보행·자전거·생활도로 등 비차량 OSM 지오메트리가 버스 경로로 침투하는 것을 방지한다. 평행 도로 엣지는 결정론적 규칙으로 1개만 선택된다: ①</w:t>
      </w:r>
      <w:r>
        <w:t xml:space="preserve"> </w:t>
      </w:r>
      <m:oMath>
        <m:sSub>
          <m:e>
            <m:r>
              <m:t>t</m:t>
            </m:r>
          </m:e>
          <m:sub>
            <m:r>
              <m:t>0</m:t>
            </m:r>
          </m:sub>
        </m:sSub>
      </m:oMath>
      <w:r>
        <w:t xml:space="preserve"> </w:t>
      </w:r>
      <w:r>
        <w:t xml:space="preserve">최소, ② capacity 최대, ③</w:t>
      </w:r>
      <w:r>
        <w:t xml:space="preserve"> </w:t>
      </w:r>
      <w:r>
        <w:rPr>
          <w:rStyle w:val="VerbatimChar"/>
        </w:rPr>
        <w:t xml:space="preserve">base_p_fail</w:t>
      </w:r>
      <w:r>
        <w:t xml:space="preserve"> </w:t>
      </w:r>
      <w:r>
        <w:t xml:space="preserve">최소, ④ 안정적 edge ID. 어댑터 결과 본 회랑은 18,213개 노드 / 29,542개 directed 엣지로 구성된다(</w:t>
      </w:r>
      <w:r>
        <w:rPr>
          <w:rStyle w:val="VerbatimChar"/>
        </w:rPr>
        <w:t xml:space="preserve">data/validation/accessibility_loss_summary.csv</w:t>
      </w:r>
      <w:r>
        <w:t xml:space="preserve">). 이는 본 시뮬레이터의 종전 추상 베이스라인보다 한 자릿수 이상 큰 규모이며, §3.5의 반복 회수(R) 결정에 직접적 영향을 미친다.</w:t>
      </w:r>
    </w:p>
    <w:bookmarkEnd w:id="28"/>
    <w:bookmarkStart w:id="29" w:name="정규-노드-매핑"/>
    <w:p>
      <w:pPr>
        <w:pStyle w:val="Heading4"/>
      </w:pPr>
      <w:r>
        <w:t xml:space="preserve">정규 노드 매핑</w:t>
      </w:r>
    </w:p>
    <w:p>
      <w:pPr>
        <w:pStyle w:val="FirstParagraph"/>
      </w:pPr>
      <w:r>
        <w:t xml:space="preserve">어댑터는 region YAML에서 정의된 지리적 좌표를 가장 가까운 routeable OSM 노드에 스냅하고 양방향 connector 엣지(기본 connector_speed_kph = 30, connector_capacity = 600)를 추가한다. 정규 노드(</w:t>
      </w:r>
      <w:r>
        <w:rPr>
          <w:rStyle w:val="VerbatimChar"/>
        </w:rPr>
        <w:t xml:space="preserve">A</w:t>
      </w:r>
      <w:r>
        <w:t xml:space="preserve">,</w:t>
      </w:r>
      <w:r>
        <w:t xml:space="preserve"> </w:t>
      </w:r>
      <w:r>
        <w:rPr>
          <w:rStyle w:val="VerbatimChar"/>
        </w:rPr>
        <w:t xml:space="preserve">S</w:t>
      </w:r>
      <w:r>
        <w:t xml:space="preserve">,</w:t>
      </w:r>
      <w:r>
        <w:t xml:space="preserve"> </w:t>
      </w:r>
      <w:r>
        <w:rPr>
          <w:rStyle w:val="VerbatimChar"/>
        </w:rPr>
        <w:t xml:space="preserve">R</w:t>
      </w:r>
      <w:r>
        <w:t xml:space="preserve">,</w:t>
      </w:r>
      <w:r>
        <w:t xml:space="preserve"> </w:t>
      </w:r>
      <w:r>
        <w:rPr>
          <w:rStyle w:val="VerbatimChar"/>
        </w:rPr>
        <w:t xml:space="preserve">D</w:t>
      </w:r>
      <w:r>
        <w:t xml:space="preserve">)는</w:t>
      </w:r>
      <w:r>
        <w:t xml:space="preserve"> </w:t>
      </w:r>
      <w:r>
        <w:rPr>
          <w:rStyle w:val="VerbatimChar"/>
        </w:rPr>
        <w:t xml:space="preserve">_validate_required_routes</w:t>
      </w:r>
      <w:r>
        <w:t xml:space="preserve">에 의해</w:t>
      </w:r>
      <w:r>
        <w:t xml:space="preserve"> </w:t>
      </w:r>
      <w:r>
        <w:rPr>
          <w:rStyle w:val="VerbatimChar"/>
        </w:rPr>
        <w:t xml:space="preserve">A→D</w:t>
      </w:r>
      <w:r>
        <w:t xml:space="preserve">,</w:t>
      </w:r>
      <w:r>
        <w:t xml:space="preserve"> </w:t>
      </w:r>
      <w:r>
        <w:rPr>
          <w:rStyle w:val="VerbatimChar"/>
        </w:rPr>
        <w:t xml:space="preserve">A→S</w:t>
      </w:r>
      <w:r>
        <w:t xml:space="preserve">,</w:t>
      </w:r>
      <w:r>
        <w:t xml:space="preserve"> </w:t>
      </w:r>
      <w:r>
        <w:rPr>
          <w:rStyle w:val="VerbatimChar"/>
        </w:rPr>
        <w:t xml:space="preserve">R→D</w:t>
      </w:r>
      <w:r>
        <w:t xml:space="preserve"> </w:t>
      </w:r>
      <w:r>
        <w:t xml:space="preserve">경로가 모두 가능함을 확인한 뒤에야 시뮬레이션에 투입된다.</w:t>
      </w:r>
    </w:p>
    <w:bookmarkEnd w:id="29"/>
    <w:bookmarkStart w:id="30" w:name="origin-4개-후보"/>
    <w:p>
      <w:pPr>
        <w:pStyle w:val="Heading4"/>
      </w:pPr>
      <w:r>
        <w:t xml:space="preserve">Origin 4개 후보</w:t>
      </w:r>
    </w:p>
    <w:p>
      <w:pPr>
        <w:pStyle w:val="FirstParagraph"/>
      </w:pPr>
      <w:r>
        <w:t xml:space="preserve">집결지는 네 개의 후보 위치(</w:t>
      </w:r>
      <w:r>
        <w:rPr>
          <w:rStyle w:val="VerbatimChar"/>
        </w:rPr>
        <w:t xml:space="preserve">data/regions/origin_candidates.json</w:t>
      </w:r>
      <w:r>
        <w:t xml:space="preserve">)에 대해 검증된다.</w:t>
      </w:r>
    </w:p>
    <w:tbl>
      <w:tblPr>
        <w:tblStyle w:val="Table"/>
        <w:tblW w:type="dxa" w:w="9866"/>
        <w:tblLayout w:type="fixed"/>
        <w:tblLook w:firstRow="1" w:lastRow="0" w:firstColumn="0" w:lastColumn="0" w:noHBand="0" w:noVBand="0" w:val="0020"/>
      </w:tblPr>
      <w:tblGrid>
        <w:gridCol w:w="1973"/>
        <w:gridCol w:w="1973"/>
        <w:gridCol w:w="1973"/>
        <w:gridCol w:w="1973"/>
        <w:gridCol w:w="1973"/>
      </w:tblGrid>
      <w:tr>
        <w:trPr>
          <w:tblHeader w:val="on"/>
        </w:trPr>
        <w:tc>
          <w:tcPr>
            <w:tcW w:type="dxa" w:w="1973"/>
          </w:tcPr>
          <w:p>
            <w:pPr>
              <w:pStyle w:val="Compact"/>
            </w:pPr>
            <w:r>
              <w:t xml:space="preserve">ID</w:t>
            </w:r>
          </w:p>
        </w:tc>
        <w:tc>
          <w:tcPr>
            <w:tcW w:type="dxa" w:w="1973"/>
          </w:tcPr>
          <w:p>
            <w:pPr>
              <w:pStyle w:val="Compact"/>
            </w:pPr>
            <w:r>
              <w:t xml:space="preserve">명칭</w:t>
            </w:r>
          </w:p>
        </w:tc>
        <w:tc>
          <w:tcPr>
            <w:tcW w:type="dxa" w:w="1973"/>
          </w:tcPr>
          <w:p>
            <w:pPr>
              <w:pStyle w:val="Compact"/>
            </w:pPr>
            <w:r>
              <w:t xml:space="preserve">위도</w:t>
            </w:r>
          </w:p>
        </w:tc>
        <w:tc>
          <w:tcPr>
            <w:tcW w:type="dxa" w:w="1973"/>
          </w:tcPr>
          <w:p>
            <w:pPr>
              <w:pStyle w:val="Compact"/>
            </w:pPr>
            <w:r>
              <w:t xml:space="preserve">경도</w:t>
            </w:r>
          </w:p>
        </w:tc>
        <w:tc>
          <w:tcPr>
            <w:tcW w:type="dxa" w:w="1973"/>
          </w:tcPr>
          <w:p>
            <w:pPr>
              <w:pStyle w:val="Compact"/>
            </w:pPr>
            <w:r>
              <w:t xml:space="preserve">검증</w:t>
            </w:r>
          </w:p>
        </w:tc>
      </w:tr>
      <w:tr>
        <w:tc>
          <w:tcPr>
            <w:tcW w:type="dxa" w:w="1973"/>
          </w:tcPr>
          <w:p>
            <w:pPr>
              <w:pStyle w:val="Compact"/>
            </w:pPr>
            <w:r>
              <w:t xml:space="preserve">A</w:t>
            </w:r>
          </w:p>
        </w:tc>
        <w:tc>
          <w:tcPr>
            <w:tcW w:type="dxa" w:w="1973"/>
          </w:tcPr>
          <w:p>
            <w:pPr>
              <w:pStyle w:val="Compact"/>
            </w:pPr>
            <w:r>
              <w:t xml:space="preserve">송파구청 일자리센터</w:t>
            </w:r>
          </w:p>
        </w:tc>
        <w:tc>
          <w:tcPr>
            <w:tcW w:type="dxa" w:w="1973"/>
          </w:tcPr>
          <w:p>
            <w:pPr>
              <w:pStyle w:val="Compact"/>
            </w:pPr>
            <w:r>
              <w:t xml:space="preserve">37.5147</w:t>
            </w:r>
          </w:p>
        </w:tc>
        <w:tc>
          <w:tcPr>
            <w:tcW w:type="dxa" w:w="1973"/>
          </w:tcPr>
          <w:p>
            <w:pPr>
              <w:pStyle w:val="Compact"/>
            </w:pPr>
            <w:r>
              <w:t xml:space="preserve">127.1057</w:t>
            </w:r>
          </w:p>
        </w:tc>
        <w:tc>
          <w:tcPr>
            <w:tcW w:type="dxa" w:w="1973"/>
          </w:tcPr>
          <w:p>
            <w:pPr>
              <w:pStyle w:val="Compact"/>
            </w:pPr>
            <w:r>
              <w:t xml:space="preserve">검증 (Hankyung 2024-02-29, 송파구 조례 2023-09-14)</w:t>
            </w:r>
          </w:p>
        </w:tc>
      </w:tr>
      <w:tr>
        <w:tc>
          <w:tcPr>
            <w:tcW w:type="dxa" w:w="1973"/>
          </w:tcPr>
          <w:p>
            <w:pPr>
              <w:pStyle w:val="Compact"/>
            </w:pPr>
            <w:r>
              <w:t xml:space="preserve">B</w:t>
            </w:r>
          </w:p>
        </w:tc>
        <w:tc>
          <w:tcPr>
            <w:tcW w:type="dxa" w:w="1973"/>
          </w:tcPr>
          <w:p>
            <w:pPr>
              <w:pStyle w:val="Compact"/>
            </w:pPr>
            <w:r>
              <w:t xml:space="preserve">삼전동 구민회관</w:t>
            </w:r>
          </w:p>
        </w:tc>
        <w:tc>
          <w:tcPr>
            <w:tcW w:type="dxa" w:w="1973"/>
          </w:tcPr>
          <w:p>
            <w:pPr>
              <w:pStyle w:val="Compact"/>
            </w:pPr>
            <w:r>
              <w:t xml:space="preserve">37.5036</w:t>
            </w:r>
          </w:p>
        </w:tc>
        <w:tc>
          <w:tcPr>
            <w:tcW w:type="dxa" w:w="1973"/>
          </w:tcPr>
          <w:p>
            <w:pPr>
              <w:pStyle w:val="Compact"/>
            </w:pPr>
            <w:r>
              <w:t xml:space="preserve">127.0857</w:t>
            </w:r>
          </w:p>
        </w:tc>
        <w:tc>
          <w:tcPr>
            <w:tcW w:type="dxa" w:w="1973"/>
          </w:tcPr>
          <w:p>
            <w:pPr>
              <w:pStyle w:val="Compact"/>
            </w:pPr>
            <w:r>
              <w:t xml:space="preserve">검증 (Hankyung 2024-02-29, 송파구 조례 2023-09-14)</w:t>
            </w:r>
          </w:p>
        </w:tc>
      </w:tr>
      <w:tr>
        <w:tc>
          <w:tcPr>
            <w:tcW w:type="dxa" w:w="1973"/>
          </w:tcPr>
          <w:p>
            <w:pPr>
              <w:pStyle w:val="Compact"/>
            </w:pPr>
            <w:r>
              <w:t xml:space="preserve">C</w:t>
            </w:r>
          </w:p>
        </w:tc>
        <w:tc>
          <w:tcPr>
            <w:tcW w:type="dxa" w:w="1973"/>
          </w:tcPr>
          <w:p>
            <w:pPr>
              <w:pStyle w:val="Compact"/>
            </w:pPr>
            <w:r>
              <w:t xml:space="preserve">장지역 4번 출구</w:t>
            </w:r>
          </w:p>
        </w:tc>
        <w:tc>
          <w:tcPr>
            <w:tcW w:type="dxa" w:w="1973"/>
          </w:tcPr>
          <w:p>
            <w:pPr>
              <w:pStyle w:val="Compact"/>
            </w:pPr>
            <w:r>
              <w:t xml:space="preserve">37.4784</w:t>
            </w:r>
          </w:p>
        </w:tc>
        <w:tc>
          <w:tcPr>
            <w:tcW w:type="dxa" w:w="1973"/>
          </w:tcPr>
          <w:p>
            <w:pPr>
              <w:pStyle w:val="Compact"/>
            </w:pPr>
            <w:r>
              <w:t xml:space="preserve">127.1262</w:t>
            </w:r>
          </w:p>
        </w:tc>
        <w:tc>
          <w:tcPr>
            <w:tcW w:type="dxa" w:w="1973"/>
          </w:tcPr>
          <w:p>
            <w:pPr>
              <w:pStyle w:val="Compact"/>
            </w:pPr>
            <w:r>
              <w:t xml:space="preserve">검증 (Hankyung 2024-02-29, 송파구 조례 2023-09-14)</w:t>
            </w:r>
          </w:p>
        </w:tc>
      </w:tr>
      <w:tr>
        <w:tc>
          <w:tcPr>
            <w:tcW w:type="dxa" w:w="1973"/>
          </w:tcPr>
          <w:p>
            <w:pPr>
              <w:pStyle w:val="Compact"/>
            </w:pPr>
            <w:r>
              <w:t xml:space="preserve">D</w:t>
            </w:r>
          </w:p>
        </w:tc>
        <w:tc>
          <w:tcPr>
            <w:tcW w:type="dxa" w:w="1973"/>
          </w:tcPr>
          <w:p>
            <w:pPr>
              <w:pStyle w:val="Compact"/>
            </w:pPr>
            <w:r>
              <w:t xml:space="preserve">잠실종합운동장</w:t>
            </w:r>
          </w:p>
        </w:tc>
        <w:tc>
          <w:tcPr>
            <w:tcW w:type="dxa" w:w="1973"/>
          </w:tcPr>
          <w:p>
            <w:pPr>
              <w:pStyle w:val="Compact"/>
            </w:pPr>
            <w:r>
              <w:t xml:space="preserve">37.5159</w:t>
            </w:r>
          </w:p>
        </w:tc>
        <w:tc>
          <w:tcPr>
            <w:tcW w:type="dxa" w:w="1973"/>
          </w:tcPr>
          <w:p>
            <w:pPr>
              <w:pStyle w:val="Compact"/>
            </w:pPr>
            <w:r>
              <w:t xml:space="preserve">127.0727</w:t>
            </w:r>
          </w:p>
        </w:tc>
        <w:tc>
          <w:tcPr>
            <w:tcW w:type="dxa" w:w="1973"/>
          </w:tcPr>
          <w:p>
            <w:pPr>
              <w:pStyle w:val="Compact"/>
            </w:pPr>
            <w:r>
              <w:rPr>
                <w:b/>
                <w:bCs/>
              </w:rPr>
              <w:t xml:space="preserve">출처 미확인 가정 변형 (비검증 / unverified)</w:t>
            </w:r>
          </w:p>
        </w:tc>
      </w:tr>
    </w:tbl>
    <w:p>
      <w:pPr>
        <w:pStyle w:val="BodyText"/>
      </w:pPr>
      <w:r>
        <w:t xml:space="preserve">A·B·C는 송파구 조례 2023-09-14 및 한국경제 2024-02-29 보도에 명시된 예비군 수송버스 집결지이며 본 연구에서는 동원훈련장 수송에 유추 적용된다(역할 차이는 §3.9에서 언급). 후보 D(잠실종합운동장)는 어떠한 공개 자료에서도 병력동원 집결지로 확인되지 않았으며, 사용자 지정에 따라</w:t>
      </w:r>
      <w:r>
        <w:t xml:space="preserve"> </w:t>
      </w:r>
      <w:r>
        <w:rPr>
          <w:i/>
          <w:iCs/>
        </w:rPr>
        <w:t xml:space="preserve">robustness 가정 변형(비검증)</w:t>
      </w:r>
      <w:r>
        <w:t xml:space="preserve">으로만 사용된다 — §4.2 caveat 박스 및 §5.3 한계 항목 참조. 목적지는 병무청이 공개적으로 게시한 72사단 부곡리 동원훈련장(경기 양주 장흥 부곡리 산 6-17, 약 37.74 N / 126.95 E) 단일 지점이다.</w:t>
      </w:r>
    </w:p>
    <w:bookmarkEnd w:id="30"/>
    <w:bookmarkEnd w:id="31"/>
    <w:bookmarkStart w:id="32" w:name="도로-신뢰성-모델"/>
    <w:p>
      <w:pPr>
        <w:pStyle w:val="Heading3"/>
      </w:pPr>
      <w:r>
        <w:t xml:space="preserve">3.3 도로 신뢰성 모델</w:t>
      </w:r>
    </w:p>
    <w:p>
      <w:pPr>
        <w:pStyle w:val="FirstParagraph"/>
      </w:pPr>
      <w:r>
        <w:t xml:space="preserve">OSM의</w:t>
      </w:r>
      <w:r>
        <w:t xml:space="preserve"> </w:t>
      </w:r>
      <w:r>
        <w:rPr>
          <w:rStyle w:val="VerbatimChar"/>
        </w:rPr>
        <w:t xml:space="preserve">maxspeed</w:t>
      </w:r>
      <w:r>
        <w:t xml:space="preserve">,</w:t>
      </w:r>
      <w:r>
        <w:t xml:space="preserve"> </w:t>
      </w:r>
      <w:r>
        <w:rPr>
          <w:rStyle w:val="VerbatimChar"/>
        </w:rPr>
        <w:t xml:space="preserve">length</w:t>
      </w:r>
      <w:r>
        <w:t xml:space="preserve">,</w:t>
      </w:r>
      <w:r>
        <w:t xml:space="preserve"> </w:t>
      </w:r>
      <w:r>
        <w:rPr>
          <w:rStyle w:val="VerbatimChar"/>
        </w:rPr>
        <w:t xml:space="preserve">capacity</w:t>
      </w:r>
      <w:r>
        <w:t xml:space="preserve"> </w:t>
      </w:r>
      <w:r>
        <w:t xml:space="preserve">태그는 결손·불일치가 흔하므로 어댑터는 클래스별 결정론적 기본값을 적용한다(</w:t>
      </w:r>
      <w:r>
        <w:rPr>
          <w:rStyle w:val="VerbatimChar"/>
        </w:rPr>
        <w:t xml:space="preserve">src/realworld/attributes.py</w:t>
      </w:r>
      <w:r>
        <w:t xml:space="preserve">). 4개 routeable 클래스의 기본값(speed_kph / capacity veh·h⁻¹ / base_p_fail): motorway(100 / 2,200 / 0.010), trunk(80 / 1,800 / 0.015), primary(60 / 1,400 / 0.020), secondary(50 / 1,000 / 0.025), 그리고 각 link 변형은 </w:t>
      </w:r>
      <w:r>
        <w:rPr>
          <w:rFonts w:hint="eastAsia"/>
        </w:rPr>
        <w:t xml:space="preserve">모(母)</w:t>
      </w:r>
      <w:r>
        <w:t xml:space="preserve"> 클래스 대비 약 80%의 속도·capacity와 약 1.5배의</w:t>
      </w:r>
      <w:r>
        <w:t xml:space="preserve"> </w:t>
      </w:r>
      <w:r>
        <w:rPr>
          <w:rStyle w:val="VerbatimChar"/>
        </w:rPr>
        <w:t xml:space="preserve">base_p_fail</w:t>
      </w:r>
      <w:r>
        <w:t xml:space="preserve">을 가진다. 자유 통행시간은</w:t>
      </w:r>
      <w:r>
        <w:t xml:space="preserve"> </w:t>
      </w:r>
      <m:oMath>
        <m:sSub>
          <m:e>
            <m:r>
              <m:t>t</m:t>
            </m:r>
          </m:e>
          <m:sub>
            <m:r>
              <m:t>0</m:t>
            </m:r>
          </m:sub>
        </m:sSub>
        <m:r>
          <m:rPr>
            <m:sty m:val="p"/>
          </m:rPr>
          <m:t>=</m:t>
        </m:r>
        <m:r>
          <m:t>L</m:t>
        </m:r>
        <m:r>
          <m:rPr>
            <m:sty m:val="p"/>
          </m:rPr>
          <m:t>/</m:t>
        </m:r>
        <m:r>
          <m:rPr>
            <m:sty m:val="p"/>
          </m:rPr>
          <m:t>(</m:t>
        </m:r>
        <m:r>
          <m:t>v</m:t>
        </m:r>
        <m:r>
          <m:rPr>
            <m:sty m:val="p"/>
          </m:rPr>
          <m:t>⋅</m:t>
        </m:r>
        <m:r>
          <m:t>1000</m:t>
        </m:r>
        <m:r>
          <m:rPr>
            <m:sty m:val="p"/>
          </m:rPr>
          <m:t>/</m:t>
        </m:r>
        <m:r>
          <m:t>60</m:t>
        </m:r>
        <m:r>
          <m:rPr>
            <m:sty m:val="p"/>
          </m:rPr>
          <m:t>)</m:t>
        </m:r>
      </m:oMath>
      <w:r>
        <w:t xml:space="preserve">로 산정한다.</w:t>
      </w:r>
      <w:r>
        <w:t xml:space="preserve"> </w:t>
      </w:r>
      <w:r>
        <w:rPr>
          <w:b/>
          <w:bCs/>
        </w:rPr>
        <w:t xml:space="preserve">이 값들은 한국 도로 데이터로 보정된 값이 아니라 OR/IE 연구용 결정론적 계획 프록시</w:t>
      </w:r>
      <w:r>
        <w:t xml:space="preserve">이며 §3.9에서 정직하게 언급한다. 시뮬레이터의 장애 모형(</w:t>
      </w:r>
      <w:r>
        <w:rPr>
          <w:rStyle w:val="VerbatimChar"/>
        </w:rPr>
        <w:t xml:space="preserve">src/disruptions.py</w:t>
      </w:r>
      <w:r>
        <w:t xml:space="preserve">)은 두 모드(blocked: 통행시간을 +∞로 만들어 라우팅에서 제외; capacity_reduction:</w:t>
      </w:r>
      <w:r>
        <w:t xml:space="preserve"> </w:t>
      </w:r>
      <m:oMath>
        <m:r>
          <m:t>C</m:t>
        </m:r>
        <m:r>
          <m:rPr>
            <m:sty m:val="p"/>
          </m:rPr>
          <m:t>←</m:t>
        </m:r>
        <m:r>
          <m:t>C</m:t>
        </m:r>
        <m:r>
          <m:rPr>
            <m:sty m:val="p"/>
          </m:rPr>
          <m:t>⋅</m:t>
        </m:r>
        <m:r>
          <m:t>κ</m:t>
        </m:r>
      </m:oMath>
      <w:r>
        <w:t xml:space="preserve">,</w:t>
      </w:r>
      <w:r>
        <w:t xml:space="preserve"> </w:t>
      </w:r>
      <m:oMath>
        <m:r>
          <m:t>κ</m:t>
        </m:r>
        <m:r>
          <m:rPr>
            <m:sty m:val="p"/>
          </m:rPr>
          <m:t>∈</m:t>
        </m:r>
        <m:r>
          <m:rPr>
            <m:sty m:val="p"/>
          </m:rPr>
          <m:t>[</m:t>
        </m:r>
        <m:r>
          <m:t>0</m:t>
        </m:r>
        <m:r>
          <m:rPr>
            <m:sty m:val="p"/>
          </m:rPr>
          <m:t>,</m:t>
        </m:r>
        <m:r>
          <m:t>1</m:t>
        </m:r>
        <m:r>
          <m:rPr>
            <m:sty m:val="p"/>
          </m:rPr>
          <m:t>)</m:t>
        </m:r>
      </m:oMath>
      <w:r>
        <w:t xml:space="preserve">)를 지원하며 발생 확률은</w:t>
      </w:r>
      <w:r>
        <w:t xml:space="preserve"> </w:t>
      </w:r>
      <m:oMath>
        <m:sSub>
          <m:e>
            <m:r>
              <m:t>p</m:t>
            </m:r>
          </m:e>
          <m:sub>
            <m:r>
              <m:t>e</m:t>
            </m:r>
          </m:sub>
        </m:sSub>
        <m:r>
          <m:t>x</m:t>
        </m:r>
        <m:r>
          <m:t>t</m:t>
        </m:r>
        <m:r>
          <m:t>f</m:t>
        </m:r>
        <m:r>
          <m:t>a</m:t>
        </m:r>
        <m:r>
          <m:t>i</m:t>
        </m:r>
        <m:r>
          <m:t>l</m:t>
        </m:r>
        <m:r>
          <m:rPr>
            <m:sty m:val="p"/>
          </m:rPr>
          <m:t>(</m:t>
        </m:r>
        <m:r>
          <m:t>e</m:t>
        </m:r>
        <m:r>
          <m:rPr>
            <m:sty m:val="p"/>
          </m:rPr>
          <m:t>)</m:t>
        </m:r>
        <m:r>
          <m:rPr>
            <m:sty m:val="p"/>
          </m:rPr>
          <m:t>=</m:t>
        </m:r>
        <m:r>
          <m:rPr>
            <m:sty m:val="p"/>
          </m:rPr>
          <m:t>min</m:t>
        </m:r>
        <m:r>
          <m:rPr>
            <m:sty m:val="p"/>
          </m:rPr>
          <m:t>(</m:t>
        </m:r>
        <m:r>
          <m:t>1</m:t>
        </m:r>
        <m:r>
          <m:rPr>
            <m:sty m:val="p"/>
          </m:rPr>
          <m:t>,</m:t>
        </m:r>
        <m:sSub>
          <m:e>
            <m:r>
              <m:t>p</m:t>
            </m:r>
          </m:e>
          <m:sub>
            <m:r>
              <m:t>e</m:t>
            </m:r>
          </m:sub>
        </m:sSub>
        <m:r>
          <m:t>x</m:t>
        </m:r>
        <m:r>
          <m:t>t</m:t>
        </m:r>
        <m:r>
          <m:t>f</m:t>
        </m:r>
        <m:r>
          <m:t>a</m:t>
        </m:r>
        <m:r>
          <m:t>i</m:t>
        </m:r>
        <m:r>
          <m:t>l</m:t>
        </m:r>
        <m:r>
          <m:rPr>
            <m:sty m:val="p"/>
          </m:rPr>
          <m:t>,</m:t>
        </m:r>
        <m:r>
          <m:t>s</m:t>
        </m:r>
        <m:r>
          <m:t>c</m:t>
        </m:r>
        <m:r>
          <m:t>a</m:t>
        </m:r>
        <m:r>
          <m:t>l</m:t>
        </m:r>
        <m:r>
          <m:t>e</m:t>
        </m:r>
        <m:r>
          <m:rPr>
            <m:sty m:val="p"/>
          </m:rPr>
          <m:t>⋅</m:t>
        </m:r>
        <m:sSub>
          <m:e>
            <m:r>
              <m:t>p</m:t>
            </m:r>
          </m:e>
          <m:sub>
            <m:r>
              <m:t>e</m:t>
            </m:r>
          </m:sub>
        </m:sSub>
        <m:r>
          <m:t>x</m:t>
        </m:r>
        <m:r>
          <m:t>t</m:t>
        </m:r>
        <m:r>
          <m:t>b</m:t>
        </m:r>
        <m:r>
          <m:t>a</m:t>
        </m:r>
        <m:r>
          <m:t>s</m:t>
        </m:r>
        <m:r>
          <m:t>e</m:t>
        </m:r>
        <m:r>
          <m:rPr>
            <m:sty m:val="p"/>
          </m:rPr>
          <m:t>(</m:t>
        </m:r>
        <m:r>
          <m:t>e</m:t>
        </m:r>
        <m:r>
          <m:rPr>
            <m:sty m:val="p"/>
          </m:rPr>
          <m:t>)</m:t>
        </m:r>
        <m:r>
          <m:rPr>
            <m:sty m:val="p"/>
          </m:rPr>
          <m:t>)</m:t>
        </m:r>
      </m:oMath>
      <w:r>
        <w:t xml:space="preserve">로 결정된다.</w:t>
      </w:r>
    </w:p>
    <w:bookmarkEnd w:id="32"/>
    <w:bookmarkStart w:id="33" w:name="시나리오-정의"/>
    <w:p>
      <w:pPr>
        <w:pStyle w:val="Heading3"/>
      </w:pPr>
      <w:r>
        <w:t xml:space="preserve">3.4 시나리오 정의</w:t>
      </w:r>
    </w:p>
    <w:p>
      <w:pPr>
        <w:pStyle w:val="FirstParagraph"/>
      </w:pPr>
      <w:r>
        <w:t xml:space="preserve">장애 시나리오는</w:t>
      </w:r>
      <w:r>
        <w:t xml:space="preserve"> </w:t>
      </w:r>
      <w:r>
        <w:rPr>
          <w:rStyle w:val="VerbatimChar"/>
        </w:rPr>
        <w:t xml:space="preserve">data/scenarios/disruption_scenarios.csv</w:t>
      </w:r>
      <w:r>
        <w:t xml:space="preserve">에 8개 family로 정의된다(random hash-rank 무작위 / critical_link 도로 betweenness 상위 / access_road A→S 진입로 / access_road A→D 직행 / last_mile R→D 종단 / rail_station_access 역 진입·진출 / spatial_hazard_overlay 탄천 회랑 bbox). 각 family는 결정론적 선택규칙(hash rank, edge betweenness, shortest-path, station_access, bbox)에 따라 영향 엣지를 식별하므로 동일 seed에서 재현된다. 모든 행에서</w:t>
      </w:r>
      <w:r>
        <w:t xml:space="preserve"> </w:t>
      </w:r>
      <w:r>
        <w:rPr>
          <w:rStyle w:val="VerbatimChar"/>
        </w:rPr>
        <w:t xml:space="preserve">evidence_class = scenario_based</w:t>
      </w:r>
      <w:r>
        <w:t xml:space="preserve">이며</w:t>
      </w:r>
      <w:r>
        <w:t xml:space="preserve"> </w:t>
      </w:r>
      <w:r>
        <w:rPr>
          <w:rStyle w:val="VerbatimChar"/>
        </w:rPr>
        <w:t xml:space="preserve">observed_disaster_data = false</w:t>
      </w:r>
      <w:r>
        <w:t xml:space="preserve"> </w:t>
      </w:r>
      <w:r>
        <w:t xml:space="preserve">— 즉 어떤 시나리오도 실제 관측 재해 데이터를 표현하지 않는다.</w:t>
      </w:r>
    </w:p>
    <w:bookmarkEnd w:id="33"/>
    <w:bookmarkStart w:id="34" w:name="doe-설계"/>
    <w:p>
      <w:pPr>
        <w:pStyle w:val="Heading3"/>
      </w:pPr>
      <w:r>
        <w:t xml:space="preserve">3.5 DoE 설계</w:t>
      </w:r>
    </w:p>
    <w:p>
      <w:pPr>
        <w:pStyle w:val="FirstParagraph"/>
      </w:pPr>
      <w:r>
        <w:t xml:space="preserve">v0.7 실험 설계는 네 개의 DoE 스트림과 한 개의 민감도 스트림(§3.7 Morris)으로 구성되며 모든 스트림은 §3.6의 paired CRN을 공유한다. cell 정의·반복 횟수·grid 크기는</w:t>
      </w:r>
      <w:r>
        <w:t xml:space="preserve"> </w:t>
      </w:r>
      <w:r>
        <w:rPr>
          <w:rStyle w:val="VerbatimChar"/>
        </w:rPr>
        <w:t xml:space="preserve">kci/config.yaml</w:t>
      </w:r>
      <w:r>
        <w:t xml:space="preserve">이 단일 출처로 보유한다.</w:t>
      </w:r>
    </w:p>
    <w:p>
      <w:pPr>
        <w:pStyle w:val="Compact"/>
        <w:numPr>
          <w:ilvl w:val="0"/>
          <w:numId w:val="1002"/>
        </w:numPr>
      </w:pPr>
      <w:r>
        <w:rPr>
          <w:b/>
          <w:bCs/>
        </w:rPr>
        <w:t xml:space="preserve">Phase 1a (기저 강건성).</w:t>
      </w:r>
      <w:r>
        <w:t xml:space="preserve"> </w:t>
      </w:r>
      <w:r>
        <w:t xml:space="preserve">Origin A,</w:t>
      </w:r>
      <w:r>
        <w:t xml:space="preserve"> </w:t>
      </w:r>
      <w:r>
        <w:rPr>
          <w:rStyle w:val="VerbatimChar"/>
        </w:rPr>
        <w:t xml:space="preserve">p_fail_scale</w:t>
      </w:r>
      <w:r>
        <w:t xml:space="preserve"> </w:t>
      </w:r>
      <w:r>
        <w:t xml:space="preserve">8수준 {0.0, 0.10, 0.25, 0.50, 0.75, 1.0, 1.5, 2.0},</w:t>
      </w:r>
      <w:r>
        <w:t xml:space="preserve"> </w:t>
      </w:r>
      <m:oMath>
        <m:r>
          <m:t>s</m:t>
        </m:r>
        <m:r>
          <m:rPr>
            <m:sty m:val="p"/>
          </m:rPr>
          <m:t>=</m:t>
        </m:r>
        <m:r>
          <m:t>1.2</m:t>
        </m:r>
      </m:oMath>
      <w:r>
        <w:t xml:space="preserve"> </w:t>
      </w:r>
      <w:r>
        <w:t xml:space="preserve">고정, blocked 모드,</w:t>
      </w:r>
      <w:r>
        <w:t xml:space="preserve"> </w:t>
      </w:r>
      <w:r>
        <w:rPr>
          <w:b/>
          <w:bCs/>
        </w:rPr>
        <w:t xml:space="preserve">cell당 R = 30</w:t>
      </w:r>
      <w:r>
        <w:t xml:space="preserve">, 총 8 × 30 = 240 paired = 480 실행. 출력</w:t>
      </w:r>
      <w:r>
        <w:t xml:space="preserve"> </w:t>
      </w:r>
      <w:r>
        <w:rPr>
          <w:rStyle w:val="VerbatimChar"/>
        </w:rPr>
        <w:t xml:space="preserve">results/phase1a_origin_A.csv</w:t>
      </w:r>
      <w:r>
        <w:t xml:space="preserve">.</w:t>
      </w:r>
    </w:p>
    <w:p>
      <w:pPr>
        <w:pStyle w:val="Compact"/>
        <w:numPr>
          <w:ilvl w:val="0"/>
          <w:numId w:val="1002"/>
        </w:numPr>
      </w:pPr>
      <w:r>
        <w:rPr>
          <w:b/>
          <w:bCs/>
        </w:rPr>
        <w:t xml:space="preserve">Phase 1b (원점 강건성).</w:t>
      </w:r>
      <w:r>
        <w:t xml:space="preserve"> </w:t>
      </w:r>
      <w:r>
        <w:t xml:space="preserve">Origin B/C/D,</w:t>
      </w:r>
      <w:r>
        <w:t xml:space="preserve"> </w:t>
      </w:r>
      <w:r>
        <w:rPr>
          <w:rStyle w:val="VerbatimChar"/>
        </w:rPr>
        <w:t xml:space="preserve">p_fail_scale</w:t>
      </w:r>
      <w:r>
        <w:t xml:space="preserve"> </w:t>
      </w:r>
      <w:r>
        <w:t xml:space="preserve">4수준 {0.0, 0.5, 1.0, 1.5},</w:t>
      </w:r>
      <w:r>
        <w:t xml:space="preserve"> </w:t>
      </w:r>
      <w:r>
        <w:rPr>
          <w:b/>
          <w:bCs/>
        </w:rPr>
        <w:t xml:space="preserve">cell당 R = 20</w:t>
      </w:r>
      <w:r>
        <w:t xml:space="preserve">, 총 3 × 4 × 20 = 240 paired = 480 실행. Origin D는 §3.9·§4.2의 비검증(unverified) 태그를 모든 표·그림에서 일관 유지.</w:t>
      </w:r>
    </w:p>
    <w:p>
      <w:pPr>
        <w:pStyle w:val="Compact"/>
        <w:numPr>
          <w:ilvl w:val="0"/>
          <w:numId w:val="1002"/>
        </w:numPr>
      </w:pPr>
      <w:r>
        <w:rPr>
          <w:b/>
          <w:bCs/>
        </w:rPr>
        <w:t xml:space="preserve">Phase 2 (단일수단 매개변수 스윕).</w:t>
      </w:r>
      <w:r>
        <w:t xml:space="preserve"> </w:t>
      </w:r>
      <w:r>
        <w:rPr>
          <w:rStyle w:val="VerbatimChar"/>
        </w:rPr>
        <w:t xml:space="preserve">bus.fleet_size</w:t>
      </w:r>
      <w:r>
        <w:t xml:space="preserve"> </w:t>
      </w:r>
      <w:r>
        <w:t xml:space="preserve">5수준 {15, 23, 35, 50, 80} ×</w:t>
      </w:r>
      <w:r>
        <w:t xml:space="preserve"> </w:t>
      </w:r>
      <w:r>
        <w:rPr>
          <w:rStyle w:val="VerbatimChar"/>
        </w:rPr>
        <w:t xml:space="preserve">bus.dispatch_interval_min</w:t>
      </w:r>
      <w:r>
        <w:t xml:space="preserve"> </w:t>
      </w:r>
      <w:r>
        <w:t xml:space="preserve">3수준 {3, 5, 10} ×</w:t>
      </w:r>
      <w:r>
        <w:t xml:space="preserve"> </w:t>
      </w:r>
      <w:r>
        <w:rPr>
          <w:rStyle w:val="VerbatimChar"/>
        </w:rPr>
        <w:t xml:space="preserve">p_fail_scale</w:t>
      </w:r>
      <w:r>
        <w:t xml:space="preserve"> </w:t>
      </w:r>
      <w:r>
        <w:t xml:space="preserve">3수준 {0.5, 1.0, 2.0},</w:t>
      </w:r>
      <w:r>
        <w:t xml:space="preserve"> </w:t>
      </w:r>
      <w:r>
        <w:rPr>
          <w:b/>
          <w:bCs/>
        </w:rPr>
        <w:t xml:space="preserve">cell당 R = 20</w:t>
      </w:r>
      <w:r>
        <w:t xml:space="preserve">, 총 45 × 20 = 900 paired = 1,800 실행.</w:t>
      </w:r>
    </w:p>
    <w:p>
      <w:pPr>
        <w:pStyle w:val="Compact"/>
        <w:numPr>
          <w:ilvl w:val="0"/>
          <w:numId w:val="1002"/>
        </w:numPr>
      </w:pPr>
      <w:r>
        <w:rPr>
          <w:b/>
          <w:bCs/>
        </w:rPr>
        <w:t xml:space="preserve">Phase 3 (반사실 레버 스윕, 헤드라인).</w:t>
      </w:r>
      <w:r>
        <w:t xml:space="preserve"> </w:t>
      </w:r>
      <w:r>
        <w:rPr>
          <w:rStyle w:val="VerbatimChar"/>
        </w:rPr>
        <w:t xml:space="preserve">rail_headway_min</w:t>
      </w:r>
      <w:r>
        <w:t xml:space="preserve"> </w:t>
      </w:r>
      <w:r>
        <w:t xml:space="preserve">{3, 7.5, 15} ×</w:t>
      </w:r>
      <w:r>
        <w:t xml:space="preserve"> </w:t>
      </w:r>
      <w:r>
        <w:rPr>
          <w:rStyle w:val="VerbatimChar"/>
        </w:rPr>
        <w:t xml:space="preserve">lastmile_fleet_size</w:t>
      </w:r>
      <w:r>
        <w:t xml:space="preserve"> </w:t>
      </w:r>
      <w:r>
        <w:t xml:space="preserve">{23, 50, 100} ×</w:t>
      </w:r>
      <w:r>
        <w:t xml:space="preserve"> </w:t>
      </w:r>
      <w:r>
        <w:rPr>
          <w:rStyle w:val="VerbatimChar"/>
        </w:rPr>
        <w:t xml:space="preserve">rail_capacity_pax_per_train</w:t>
      </w:r>
      <w:r>
        <w:t xml:space="preserve"> </w:t>
      </w:r>
      <w:r>
        <w:t xml:space="preserve">{500, 1000, 2000} ×</w:t>
      </w:r>
      <w:r>
        <w:t xml:space="preserve"> </w:t>
      </w:r>
      <w:r>
        <w:rPr>
          <w:rStyle w:val="VerbatimChar"/>
        </w:rPr>
        <w:t xml:space="preserve">p_fail_scale</w:t>
      </w:r>
      <w:r>
        <w:t xml:space="preserve"> </w:t>
      </w:r>
      <w:r>
        <w:t xml:space="preserve">{0.0, 0.5, 1.5},</w:t>
      </w:r>
      <w:r>
        <w:t xml:space="preserve"> </w:t>
      </w:r>
      <w:r>
        <w:rPr>
          <w:b/>
          <w:bCs/>
        </w:rPr>
        <w:t xml:space="preserve">cell당 R = 15</w:t>
      </w:r>
      <w:r>
        <w:t xml:space="preserve">, 총 3⁴ = 81 × 15 = 1,215 paired = 2,430 실행. 격자 정의는</w:t>
      </w:r>
      <w:r>
        <w:t xml:space="preserve"> </w:t>
      </w:r>
      <w:r>
        <w:rPr>
          <w:rStyle w:val="VerbatimChar"/>
        </w:rPr>
        <w:t xml:space="preserve">src/experiment/doe.py::Phase3Point</w:t>
      </w:r>
      <w:r>
        <w:t xml:space="preserve">/</w:t>
      </w:r>
      <w:r>
        <w:rPr>
          <w:rStyle w:val="VerbatimChar"/>
        </w:rPr>
        <w:t xml:space="preserve">phase3_grid(config)</w:t>
      </w:r>
      <w:r>
        <w:t xml:space="preserve">가 단일 출처로 보유한다. cell 단위 레버 주입은</w:t>
      </w:r>
      <w:r>
        <w:t xml:space="preserve"> </w:t>
      </w:r>
      <w:r>
        <w:rPr>
          <w:rStyle w:val="VerbatimChar"/>
        </w:rPr>
        <w:t xml:space="preserve">src/experiment/phase3_runner.py::run_phase3</w:t>
      </w:r>
      <w:r>
        <w:t xml:space="preserve">가</w:t>
      </w:r>
      <w:r>
        <w:t xml:space="preserve"> </w:t>
      </w:r>
      <w:r>
        <w:rPr>
          <w:rStyle w:val="VerbatimChar"/>
        </w:rPr>
        <w:t xml:space="preserve">src/kci_runtime.py::apply_phase3_lever_override</w:t>
      </w:r>
      <w:r>
        <w:t xml:space="preserve">를 호출하며, 후자는 입력 config를 deepcopy한 뒤</w:t>
      </w:r>
      <w:r>
        <w:t xml:space="preserve"> </w:t>
      </w:r>
      <w:r>
        <w:rPr>
          <w:rStyle w:val="VerbatimChar"/>
        </w:rPr>
        <w:t xml:space="preserve">multimodal</w:t>
      </w:r>
      <w:r>
        <w:t xml:space="preserve"> </w:t>
      </w:r>
      <w:r>
        <w:t xml:space="preserve">블록과</w:t>
      </w:r>
      <w:r>
        <w:t xml:space="preserve"> </w:t>
      </w:r>
      <w:r>
        <w:rPr>
          <w:rStyle w:val="VerbatimChar"/>
        </w:rPr>
        <w:t xml:space="preserve">network.rail_link[0]</w:t>
      </w:r>
      <w:r>
        <w:t xml:space="preserve">을 함께 재기록하여 cell 간 레버 누출을 코드 계약 수준에서 차단한다.</w:t>
      </w:r>
    </w:p>
    <w:bookmarkEnd w:id="34"/>
    <w:bookmarkStart w:id="35" w:name="censoring-aware-지표분위수-kpipaired-crn-신뢰구간"/>
    <w:p>
      <w:pPr>
        <w:pStyle w:val="Heading3"/>
      </w:pPr>
      <w:r>
        <w:t xml:space="preserve">3.6 Censoring-aware 지표·분위수 KPI·Paired CRN 신뢰구간</w:t>
      </w:r>
    </w:p>
    <w:p>
      <w:pPr>
        <w:pStyle w:val="FirstParagraph"/>
      </w:pPr>
      <w:r>
        <w:t xml:space="preserve">§3.1의</w:t>
      </w:r>
      <w:r>
        <w:t xml:space="preserve"> </w:t>
      </w:r>
      <w:r>
        <w:rPr>
          <w:rStyle w:val="VerbatimChar"/>
        </w:rPr>
        <w:t xml:space="preserve">penalized_makespan</w:t>
      </w:r>
      <w:r>
        <w:t xml:space="preserve">은 1차 비교 지표로 유지된다. v0.7은 censoring 페널티에 가려진 분포 형태 정보를 복원하기 위해 분위수 기반 KPI를 추가한다.</w:t>
      </w:r>
    </w:p>
    <w:p>
      <w:pPr>
        <w:pStyle w:val="BodyText"/>
      </w:pPr>
      <w:r>
        <w:rPr>
          <w:b/>
          <w:bCs/>
        </w:rPr>
        <w:t xml:space="preserve">분위수 도착시각 (population-padded).</w:t>
      </w:r>
      <w:r>
        <w:t xml:space="preserve"> </w:t>
      </w:r>
      <w:r>
        <w:t xml:space="preserve">각 실행에서 인원 총수</w:t>
      </w:r>
      <w:r>
        <w:t xml:space="preserve"> </w:t>
      </w:r>
      <m:oMath>
        <m:r>
          <m:t>N</m:t>
        </m:r>
      </m:oMath>
      <w:r>
        <w:t xml:space="preserve"> </w:t>
      </w:r>
      <w:r>
        <w:t xml:space="preserve">=</w:t>
      </w:r>
      <w:r>
        <w:t xml:space="preserve"> </w:t>
      </w:r>
      <w:r>
        <w:rPr>
          <w:rStyle w:val="VerbatimChar"/>
        </w:rPr>
        <w:t xml:space="preserve">personnel.total</w:t>
      </w:r>
      <w:r>
        <w:t xml:space="preserve"> </w:t>
      </w:r>
      <w:r>
        <w:t xml:space="preserve">의 모집단 벡터는 (i)</w:t>
      </w:r>
      <w:r>
        <w:t xml:space="preserve"> </w:t>
      </w:r>
      <m:oMath>
        <m:r>
          <m:t>D</m:t>
        </m:r>
      </m:oMath>
      <w:r>
        <w:t xml:space="preserve">에 도착한</w:t>
      </w:r>
      <w:r>
        <w:t xml:space="preserve"> </w:t>
      </w:r>
      <m:oMath>
        <m:r>
          <m:t>N</m:t>
        </m:r>
        <m:r>
          <m:rPr>
            <m:sty m:val="p"/>
          </m:rPr>
          <m:t>−</m:t>
        </m:r>
        <m:sSub>
          <m:e>
            <m:r>
              <m:t>n</m:t>
            </m:r>
          </m:e>
          <m:sub>
            <m:r>
              <m:t>c</m:t>
            </m:r>
          </m:sub>
        </m:sSub>
      </m:oMath>
      <w:r>
        <w:t xml:space="preserve">명의 실제 도착시각 + (ii) censored된</w:t>
      </w:r>
      <w:r>
        <w:t xml:space="preserve"> </w:t>
      </w:r>
      <m:oMath>
        <m:sSub>
          <m:e>
            <m:r>
              <m:t>n</m:t>
            </m:r>
          </m:e>
          <m:sub>
            <m:r>
              <m:t>c</m:t>
            </m:r>
          </m:sub>
        </m:sSub>
      </m:oMath>
      <w:r>
        <w:t xml:space="preserve">명에 대한 sentinel</w:t>
      </w:r>
      <w:r>
        <w:t xml:space="preserve"> </w:t>
      </w:r>
      <w:r>
        <w:rPr>
          <w:rStyle w:val="VerbatimChar"/>
        </w:rPr>
        <w:t xml:space="preserve">time_limit</w:t>
      </w:r>
      <w:r>
        <w:t xml:space="preserve"> </w:t>
      </w:r>
      <w:r>
        <w:t xml:space="preserve">= 1{,}440분으로 구성된다. 이 길이-</w:t>
      </w:r>
      <m:oMath>
        <m:r>
          <m:t>N</m:t>
        </m:r>
      </m:oMath>
      <w:r>
        <w:t xml:space="preserve"> </w:t>
      </w:r>
      <w:r>
        <w:t xml:space="preserve">벡터에 선형 보간 q-분위수를 적용해</w:t>
      </w:r>
      <w:r>
        <w:t xml:space="preserve"> </w:t>
      </w:r>
      <w:r>
        <w:rPr>
          <w:rStyle w:val="VerbatimChar"/>
        </w:rPr>
        <w:t xml:space="preserve">arrival_q50_min</w:t>
      </w:r>
      <w:r>
        <w:t xml:space="preserve">,</w:t>
      </w:r>
      <w:r>
        <w:t xml:space="preserve"> </w:t>
      </w:r>
      <w:r>
        <w:rPr>
          <w:rStyle w:val="VerbatimChar"/>
        </w:rPr>
        <w:t xml:space="preserve">arrival_q90_min</w:t>
      </w:r>
      <w:r>
        <w:t xml:space="preserve">,</w:t>
      </w:r>
      <w:r>
        <w:t xml:space="preserve"> </w:t>
      </w:r>
      <w:r>
        <w:rPr>
          <w:rStyle w:val="VerbatimChar"/>
        </w:rPr>
        <w:t xml:space="preserve">arrival_q95_min</w:t>
      </w:r>
      <w:r>
        <w:t xml:space="preserve">을 정의한다. 본 규칙은</w:t>
      </w:r>
      <w:r>
        <w:t xml:space="preserve"> </w:t>
      </w:r>
      <w:r>
        <w:rPr>
          <w:i/>
          <w:iCs/>
        </w:rPr>
        <w:t xml:space="preserve">성공자 분위수</w:t>
      </w:r>
      <w:r>
        <w:t xml:space="preserve">가 아니라</w:t>
      </w:r>
      <w:r>
        <w:t xml:space="preserve"> </w:t>
      </w:r>
      <w:r>
        <w:rPr>
          <w:i/>
          <w:iCs/>
        </w:rPr>
        <w:t xml:space="preserve">모집단 분위수</w:t>
      </w:r>
      <w:r>
        <w:t xml:space="preserve"> </w:t>
      </w:r>
      <w:r>
        <w:t xml:space="preserve">이므로 censored 인원이 sentinel 값으로 꼬리에 보존되어 censoring 신호가 사라지지 않는다. 구현은</w:t>
      </w:r>
      <w:r>
        <w:t xml:space="preserve"> </w:t>
      </w:r>
      <w:r>
        <w:rPr>
          <w:rStyle w:val="VerbatimChar"/>
        </w:rPr>
        <w:t xml:space="preserve">src/metrics.py::MetricsCollector._quantile_over_population</w:t>
      </w:r>
      <w:r>
        <w:t xml:space="preserve">.</w:t>
      </w:r>
    </w:p>
    <w:p>
      <w:pPr>
        <w:pStyle w:val="BodyText"/>
      </w:pPr>
      <w:r>
        <w:rPr>
          <w:b/>
          <w:bCs/>
        </w:rPr>
        <w:t xml:space="preserve">마감 시한 내 완료 확률.</w:t>
      </w:r>
      <w:r>
        <w:t xml:space="preserve"> </w:t>
      </w:r>
      <m:oMath>
        <m:r>
          <m:rPr>
            <m:sty m:val="p"/>
          </m:rPr>
          <m:t>p</m:t>
        </m:r>
        <m:r>
          <m:rPr>
            <m:sty m:val="p"/>
          </m:rPr>
          <m:t>r</m:t>
        </m:r>
        <m:r>
          <m:rPr>
            <m:sty m:val="p"/>
          </m:rPr>
          <m:t>o</m:t>
        </m:r>
        <m:r>
          <m:rPr>
            <m:sty m:val="p"/>
          </m:rPr>
          <m:t>b</m:t>
        </m:r>
        <m:r>
          <m:rPr>
            <m:sty m:val="p"/>
          </m:rPr>
          <m:t>_</m:t>
        </m:r>
        <m:r>
          <m:rPr>
            <m:sty m:val="p"/>
          </m:rPr>
          <m:t>c</m:t>
        </m:r>
        <m:r>
          <m:rPr>
            <m:sty m:val="p"/>
          </m:rPr>
          <m:t>o</m:t>
        </m:r>
        <m:r>
          <m:rPr>
            <m:sty m:val="p"/>
          </m:rPr>
          <m:t>m</m:t>
        </m:r>
        <m:r>
          <m:rPr>
            <m:sty m:val="p"/>
          </m:rPr>
          <m:t>p</m:t>
        </m:r>
        <m:r>
          <m:rPr>
            <m:sty m:val="p"/>
          </m:rPr>
          <m:t>l</m:t>
        </m:r>
        <m:r>
          <m:rPr>
            <m:sty m:val="p"/>
          </m:rPr>
          <m:t>e</m:t>
        </m:r>
        <m:r>
          <m:rPr>
            <m:sty m:val="p"/>
          </m:rPr>
          <m:t>t</m:t>
        </m:r>
        <m:r>
          <m:rPr>
            <m:sty m:val="p"/>
          </m:rPr>
          <m:t>i</m:t>
        </m:r>
        <m:r>
          <m:rPr>
            <m:sty m:val="p"/>
          </m:rPr>
          <m:t>o</m:t>
        </m:r>
        <m:r>
          <m:rPr>
            <m:sty m:val="p"/>
          </m:rPr>
          <m:t>n</m:t>
        </m:r>
        <m:r>
          <m:rPr>
            <m:sty m:val="p"/>
          </m:rPr>
          <m:t>_</m:t>
        </m:r>
        <m:r>
          <m:rPr>
            <m:sty m:val="p"/>
          </m:rPr>
          <m:t>w</m:t>
        </m:r>
        <m:r>
          <m:rPr>
            <m:sty m:val="p"/>
          </m:rPr>
          <m:t>i</m:t>
        </m:r>
        <m:r>
          <m:rPr>
            <m:sty m:val="p"/>
          </m:rPr>
          <m:t>t</m:t>
        </m:r>
        <m:r>
          <m:rPr>
            <m:sty m:val="p"/>
          </m:rPr>
          <m:t>h</m:t>
        </m:r>
        <m:r>
          <m:rPr>
            <m:sty m:val="p"/>
          </m:rPr>
          <m:t>i</m:t>
        </m:r>
        <m:r>
          <m:rPr>
            <m:sty m:val="p"/>
          </m:rPr>
          <m:t>n</m:t>
        </m:r>
        <m:r>
          <m:rPr>
            <m:sty m:val="p"/>
          </m:rPr>
          <m:t>_</m:t>
        </m:r>
        <m:r>
          <m:rPr>
            <m:sty m:val="p"/>
          </m:rPr>
          <m:t>w</m:t>
        </m:r>
        <m:r>
          <m:rPr>
            <m:sty m:val="p"/>
          </m:rPr>
          <m:t>i</m:t>
        </m:r>
        <m:r>
          <m:rPr>
            <m:sty m:val="p"/>
          </m:rPr>
          <m:t>n</m:t>
        </m:r>
        <m:r>
          <m:rPr>
            <m:sty m:val="p"/>
          </m:rPr>
          <m:t>d</m:t>
        </m:r>
        <m:r>
          <m:rPr>
            <m:sty m:val="p"/>
          </m:rPr>
          <m:t>o</m:t>
        </m:r>
        <m:r>
          <m:rPr>
            <m:sty m:val="p"/>
          </m:rPr>
          <m:t>w</m:t>
        </m:r>
        <m:r>
          <m:rPr>
            <m:sty m:val="p"/>
          </m:rPr>
          <m:t>=</m:t>
        </m:r>
        <m:r>
          <m:rPr>
            <m:sty m:val="p"/>
          </m:rPr>
          <m:t>#</m:t>
        </m:r>
        <m:r>
          <m:rPr>
            <m:sty m:val="p"/>
          </m:rPr>
          <m:t>{</m:t>
        </m:r>
        <m:r>
          <m:t>i</m:t>
        </m:r>
        <m:r>
          <m:rPr>
            <m:sty m:val="p"/>
          </m:rPr>
          <m:t>:</m:t>
        </m:r>
        <m:sSub>
          <m:e>
            <m:r>
              <m:t>t</m:t>
            </m:r>
          </m:e>
          <m:sub>
            <m:r>
              <m:t>i</m:t>
            </m:r>
          </m:sub>
        </m:sSub>
        <m:r>
          <m:rPr>
            <m:sty m:val="p"/>
          </m:rPr>
          <m:t>≤</m:t>
        </m:r>
        <m:r>
          <m:rPr>
            <m:nor/>
            <m:sty m:val="p"/>
          </m:rPr>
          <m:t>deadline_min</m:t>
        </m:r>
        <m:r>
          <m:rPr>
            <m:sty m:val="p"/>
          </m:rPr>
          <m:t>}</m:t>
        </m:r>
        <m:r>
          <m:rPr>
            <m:sty m:val="p"/>
          </m:rPr>
          <m:t>/</m:t>
        </m:r>
        <m:r>
          <m:t>N</m:t>
        </m:r>
      </m:oMath>
      <w:r>
        <w:t xml:space="preserve">,</w:t>
      </w:r>
      <w:r>
        <w:t xml:space="preserve"> </w:t>
      </w:r>
      <w:r>
        <w:rPr>
          <w:rStyle w:val="VerbatimChar"/>
        </w:rPr>
        <w:t xml:space="preserve">deadline_min</w:t>
      </w:r>
      <w:r>
        <w:t xml:space="preserve"> </w:t>
      </w:r>
      <w:r>
        <w:t xml:space="preserve">=</w:t>
      </w:r>
      <w:r>
        <w:t xml:space="preserve"> </w:t>
      </w:r>
      <w:r>
        <w:rPr>
          <w:rStyle w:val="VerbatimChar"/>
        </w:rPr>
        <w:t xml:space="preserve">config.quantile_kpi.deadline_min</w:t>
      </w:r>
      <w:r>
        <w:t xml:space="preserve"> </w:t>
      </w:r>
      <w:r>
        <w:t xml:space="preserve">=</w:t>
      </w:r>
      <w:r>
        <w:t xml:space="preserve"> </w:t>
      </w:r>
      <w:r>
        <w:rPr>
          <w:b/>
          <w:bCs/>
        </w:rPr>
        <w:t xml:space="preserve">1{,}500분</w:t>
      </w:r>
      <w:r>
        <w:t xml:space="preserve"> </w:t>
      </w:r>
      <w:r>
        <w:t xml:space="preserve">(</w:t>
      </w:r>
      <m:oMath>
        <m:r>
          <m:rPr>
            <m:sty m:val="p"/>
          </m:rPr>
          <m:t>≈</m:t>
        </m:r>
      </m:oMath>
      <w:r>
        <w:t xml:space="preserve"> </w:t>
      </w:r>
      <w:r>
        <w:t xml:space="preserve">25시간, 동원훈련 1일차 집결 cutoff 부합). [0, 1] 범위의 페널티 스케일 무관 완료율 지표.</w:t>
      </w:r>
    </w:p>
    <w:p>
      <w:pPr>
        <w:pStyle w:val="BodyText"/>
      </w:pPr>
      <w:r>
        <w:rPr>
          <w:b/>
          <w:bCs/>
        </w:rPr>
        <w:t xml:space="preserve">Paired delta 컬럼 (부호 규약 명문화).</w:t>
      </w:r>
      <w:r>
        <w:t xml:space="preserve"> </w:t>
      </w:r>
      <w:r>
        <w:t xml:space="preserve">본 연구의 부호 규약은</w:t>
      </w:r>
      <w:r>
        <w:t xml:space="preserve"> </w:t>
      </w:r>
      <w:r>
        <w:rPr>
          <w:rStyle w:val="VerbatimChar"/>
          <w:b/>
          <w:bCs/>
        </w:rPr>
        <w:t xml:space="preserve">Δ = bus_only − multimodal</w:t>
      </w:r>
      <w:r>
        <w:t xml:space="preserve"> </w:t>
      </w:r>
      <w:r>
        <w:t xml:space="preserve">이며 음수는 직행버스 우위, 양수는 multimodal 우위를 의미한다. 위 KPI는</w:t>
      </w:r>
      <w:r>
        <w:t xml:space="preserve"> </w:t>
      </w:r>
      <w:r>
        <w:rPr>
          <w:rStyle w:val="VerbatimChar"/>
        </w:rPr>
        <w:t xml:space="preserve">src/scenario.py::run_scenario</w:t>
      </w:r>
      <w:r>
        <w:t xml:space="preserve"> </w:t>
      </w:r>
      <w:r>
        <w:t xml:space="preserve">출력에 포함되고,</w:t>
      </w:r>
      <w:r>
        <w:t xml:space="preserve"> </w:t>
      </w:r>
      <w:r>
        <w:rPr>
          <w:rStyle w:val="VerbatimChar"/>
        </w:rPr>
        <w:t xml:space="preserve">src/experiment/runner.py::_paired_result_row(base, bus, multi)</w:t>
      </w:r>
      <w:r>
        <w:t xml:space="preserve">가 모든 단계 결과 행에</w:t>
      </w:r>
      <w:r>
        <w:t xml:space="preserve"> </w:t>
      </w:r>
      <w:r>
        <w:rPr>
          <w:rStyle w:val="VerbatimChar"/>
        </w:rPr>
        <w:t xml:space="preserve">delta_arrival_q{50,90,95}_min</w:t>
      </w:r>
      <w:r>
        <w:t xml:space="preserve">,</w:t>
      </w:r>
      <w:r>
        <w:t xml:space="preserve"> </w:t>
      </w:r>
      <w:r>
        <w:rPr>
          <w:rStyle w:val="VerbatimChar"/>
        </w:rPr>
        <w:t xml:space="preserve">delta_prob_completion_within_window</w:t>
      </w:r>
      <w:r>
        <w:t xml:space="preserve"> </w:t>
      </w:r>
      <w:r>
        <w:t xml:space="preserve">컬럼을 자동 추가한다.</w:t>
      </w:r>
    </w:p>
    <w:p>
      <w:pPr>
        <w:pStyle w:val="BodyText"/>
      </w:pPr>
      <w:r>
        <w:rPr>
          <w:b/>
          <w:bCs/>
        </w:rPr>
        <w:t xml:space="preserve">Paired CRN 신뢰구간.</w:t>
      </w:r>
      <w:r>
        <w:t xml:space="preserve"> </w:t>
      </w:r>
      <w:r>
        <w:t xml:space="preserve">seed</w:t>
      </w:r>
      <w:r>
        <w:t xml:space="preserve"> </w:t>
      </w:r>
      <m:oMath>
        <m:r>
          <m:t>r</m:t>
        </m:r>
        <m:r>
          <m:rPr>
            <m:sty m:val="p"/>
          </m:rPr>
          <m:t>∈</m:t>
        </m:r>
        <m:r>
          <m:rPr>
            <m:sty m:val="p"/>
          </m:rPr>
          <m:t>{</m:t>
        </m:r>
        <m:r>
          <m:t>1</m:t>
        </m:r>
        <m:r>
          <m:rPr>
            <m:sty m:val="p"/>
          </m:rPr>
          <m:t>,</m:t>
        </m:r>
        <m:r>
          <m:rPr>
            <m:sty m:val="p"/>
          </m:rPr>
          <m:t>…</m:t>
        </m:r>
        <m:r>
          <m:rPr>
            <m:sty m:val="p"/>
          </m:rPr>
          <m:t>,</m:t>
        </m:r>
        <m:r>
          <m:t>R</m:t>
        </m:r>
        <m:r>
          <m:rPr>
            <m:sty m:val="p"/>
          </m:rPr>
          <m:t>}</m:t>
        </m:r>
      </m:oMath>
      <w:r>
        <w:t xml:space="preserve">에 대하여</w:t>
      </w:r>
      <w:r>
        <w:t xml:space="preserve"> </w:t>
      </w:r>
      <m:oMath>
        <m:sSub>
          <m:e>
            <m:r>
              <m:t>δ</m:t>
            </m:r>
          </m:e>
          <m:sub>
            <m:r>
              <m:t>r</m:t>
            </m:r>
          </m:sub>
        </m:sSub>
        <m:r>
          <m:rPr>
            <m:sty m:val="p"/>
          </m:rPr>
          <m:t>=</m:t>
        </m:r>
        <m:sSubSup>
          <m:e>
            <m:r>
              <m:rPr>
                <m:sty m:val="p"/>
              </m:rPr>
              <m:t>p</m:t>
            </m:r>
            <m:r>
              <m:rPr>
                <m:sty m:val="p"/>
              </m:rPr>
              <m:t>m</m:t>
            </m:r>
          </m:e>
          <m:sub>
            <m:r>
              <m:t>r</m:t>
            </m:r>
          </m:sub>
          <m:sup>
            <m:r>
              <m:rPr>
                <m:sty m:val="p"/>
              </m:rPr>
              <m:t>b</m:t>
            </m:r>
            <m:r>
              <m:rPr>
                <m:sty m:val="p"/>
              </m:rPr>
              <m:t>u</m:t>
            </m:r>
            <m:r>
              <m:rPr>
                <m:sty m:val="p"/>
              </m:rPr>
              <m:t>s</m:t>
            </m:r>
          </m:sup>
        </m:sSubSup>
        <m:r>
          <m:rPr>
            <m:sty m:val="p"/>
          </m:rPr>
          <m:t>−</m:t>
        </m:r>
        <m:sSubSup>
          <m:e>
            <m:r>
              <m:rPr>
                <m:sty m:val="p"/>
              </m:rPr>
              <m:t>p</m:t>
            </m:r>
            <m:r>
              <m:rPr>
                <m:sty m:val="p"/>
              </m:rPr>
              <m:t>m</m:t>
            </m:r>
          </m:e>
          <m:sub>
            <m:r>
              <m:t>r</m:t>
            </m:r>
          </m:sub>
          <m:sup>
            <m:r>
              <m:rPr>
                <m:sty m:val="p"/>
              </m:rPr>
              <m:t>m</m:t>
            </m:r>
            <m:r>
              <m:rPr>
                <m:sty m:val="p"/>
              </m:rPr>
              <m:t>u</m:t>
            </m:r>
            <m:r>
              <m:rPr>
                <m:sty m:val="p"/>
              </m:rPr>
              <m:t>l</m:t>
            </m:r>
            <m:r>
              <m:rPr>
                <m:sty m:val="p"/>
              </m:rPr>
              <m:t>t</m:t>
            </m:r>
            <m:r>
              <m:rPr>
                <m:sty m:val="p"/>
              </m:rPr>
              <m:t>i</m:t>
            </m:r>
          </m:sup>
        </m:sSubSup>
      </m:oMath>
      <w:r>
        <w:t xml:space="preserve">, 표본평균</w:t>
      </w:r>
      <w:r>
        <w:t xml:space="preserve"> </w:t>
      </w:r>
      <m:oMath>
        <m:acc>
          <m:accPr>
            <m:chr m:val="‾"/>
          </m:accPr>
          <m:e>
            <m:r>
              <m:t>δ</m:t>
            </m:r>
          </m:e>
        </m:acc>
      </m:oMath>
      <w:r>
        <w:t xml:space="preserve">, 표본분산</w:t>
      </w:r>
      <w:r>
        <w:t xml:space="preserve"> </w:t>
      </w:r>
      <m:oMath>
        <m:sSubSup>
          <m:e>
            <m:r>
              <m:t>s</m:t>
            </m:r>
          </m:e>
          <m:sub>
            <m:r>
              <m:t>δ</m:t>
            </m:r>
          </m:sub>
          <m:sup>
            <m:r>
              <m:t>2</m:t>
            </m:r>
          </m:sup>
        </m:sSubSup>
      </m:oMath>
      <w:r>
        <w:t xml:space="preserve">의 paired</w:t>
      </w:r>
      <w:r>
        <w:t xml:space="preserve"> </w:t>
      </w:r>
      <m:oMath>
        <m:r>
          <m:t>t</m:t>
        </m:r>
      </m:oMath>
      <w:r>
        <w:t xml:space="preserve">-기반 95% CI는</w:t>
      </w:r>
      <w:r>
        <w:t xml:space="preserve"> </w:t>
      </w:r>
      <m:oMath>
        <m:acc>
          <m:accPr>
            <m:chr m:val="‾"/>
          </m:accPr>
          <m:e>
            <m:r>
              <m:t>δ</m:t>
            </m:r>
          </m:e>
        </m:acc>
        <m:r>
          <m:rPr>
            <m:sty m:val="p"/>
          </m:rPr>
          <m:t>±</m:t>
        </m:r>
        <m:sSub>
          <m:e>
            <m:r>
              <m:t>t</m:t>
            </m:r>
          </m:e>
          <m:sub>
            <m:r>
              <m:t>0.975</m:t>
            </m:r>
            <m:r>
              <m:rPr>
                <m:sty m:val="p"/>
              </m:rPr>
              <m:t>,</m:t>
            </m:r>
            <m:r>
              <m:t>R</m:t>
            </m:r>
            <m:r>
              <m:rPr>
                <m:sty m:val="p"/>
              </m:rPr>
              <m:t>−</m:t>
            </m:r>
            <m:r>
              <m:t>1</m:t>
            </m:r>
          </m:sub>
        </m:sSub>
        <m:r>
          <m:rPr>
            <m:sty m:val="p"/>
          </m:rPr>
          <m:t>⋅</m:t>
        </m:r>
        <m:sSub>
          <m:e>
            <m:r>
              <m:t>s</m:t>
            </m:r>
          </m:e>
          <m:sub>
            <m:r>
              <m:t>δ</m:t>
            </m:r>
          </m:sub>
        </m:sSub>
        <m:r>
          <m:rPr>
            <m:sty m:val="p"/>
          </m:rPr>
          <m:t>/</m:t>
        </m:r>
        <m:rad>
          <m:radPr>
            <m:degHide m:val="on"/>
          </m:radPr>
          <m:deg/>
          <m:e>
            <m:r>
              <m:t>R</m:t>
            </m:r>
          </m:e>
        </m:rad>
      </m:oMath>
      <w:r>
        <w:t xml:space="preserve">. censoring 페널티</w:t>
      </w:r>
      <w:r>
        <w:t xml:space="preserve"> </w:t>
      </w:r>
      <m:oMath>
        <m:r>
          <m:t>π</m:t>
        </m:r>
        <m:r>
          <m:rPr>
            <m:sty m:val="p"/>
          </m:rPr>
          <m:t>=</m:t>
        </m:r>
        <m:r>
          <m:t>1</m:t>
        </m:r>
        <m:r>
          <m:rPr>
            <m:sty m:val="p"/>
          </m:rPr>
          <m:t>,</m:t>
        </m:r>
        <m:r>
          <m:t>440</m:t>
        </m:r>
      </m:oMath>
      <w:r>
        <w:t xml:space="preserve">분이 모든 seed·모드에 동일 적용되어 페어링을 보존하며, paired CRN은 매 seed가 두 모드에 동일한 도로 장애 추첨·승객 도착시각·BPR 시계열을 부여해 구조적 차이를 외생 노이즈로부터 분리한다 [9].</w:t>
      </w:r>
    </w:p>
    <w:bookmarkEnd w:id="35"/>
    <w:bookmarkStart w:id="36" w:name="morris-elementary-effects-민감도-분석"/>
    <w:p>
      <w:pPr>
        <w:pStyle w:val="Heading3"/>
      </w:pPr>
      <w:r>
        <w:t xml:space="preserve">3.7 Morris elementary-effects 민감도 분석</w:t>
      </w:r>
    </w:p>
    <w:p>
      <w:pPr>
        <w:pStyle w:val="FirstParagraph"/>
      </w:pPr>
      <w:r>
        <w:t xml:space="preserve">매개변수의 1차 효과와 비선형성을 선별하기 위해 Morris elementary-effects 방법[20]을 SALib[22]의</w:t>
      </w:r>
      <w:r>
        <w:t xml:space="preserve"> </w:t>
      </w:r>
      <w:r>
        <w:rPr>
          <w:rStyle w:val="VerbatimChar"/>
        </w:rPr>
        <w:t xml:space="preserve">morris.sample</w:t>
      </w:r>
      <w:r>
        <w:t xml:space="preserve">/</w:t>
      </w:r>
      <w:r>
        <w:rPr>
          <w:rStyle w:val="VerbatimChar"/>
        </w:rPr>
        <w:t xml:space="preserve">morris.analyze</w:t>
      </w:r>
      <w:r>
        <w:t xml:space="preserve">로 적용하였다. 설계 매트릭스</w:t>
      </w:r>
      <w:r>
        <w:t xml:space="preserve"> </w:t>
      </w:r>
      <w:r>
        <w:rPr>
          <w:rStyle w:val="VerbatimChar"/>
        </w:rPr>
        <w:t xml:space="preserve">data/scenarios/sensitivity_design.csv</w:t>
      </w:r>
      <w:r>
        <w:t xml:space="preserve">는</w:t>
      </w:r>
      <w:r>
        <w:t xml:space="preserve"> </w:t>
      </w:r>
      <w:r>
        <w:rPr>
          <w:b/>
          <w:bCs/>
        </w:rPr>
        <w:t xml:space="preserve">14개</w:t>
      </w:r>
      <w:r>
        <w:t xml:space="preserve"> </w:t>
      </w:r>
      <w:r>
        <w:t xml:space="preserve">매개변수(passenger_volume, passenger_arrival_variability, direct_bus_fleet_size, feeder_fleet_size, last_mile_fleet_size, dispatch_interval, road_background_traffic_multiplier, capacity_reduction_factor, rail_headway, rail_capacity, transfer_fixed_delay, transfer_per_passenger_delay, turnaround_time, last_mile_access_disruption_probability)를 보유한다. 14개에는 Phase 3 레버 네 가지(rail_headway, last_mile_fleet_size, rail_capacity, dispatch_interval)가 이미 포함되어 있어 v0.7 reframing이 별도 설계 확장을 요구하지 않았다. 설계 파라미터:</w:t>
      </w:r>
      <w:r>
        <w:t xml:space="preserve"> </w:t>
      </w:r>
      <m:oMath>
        <m:r>
          <m:t>k</m:t>
        </m:r>
        <m:r>
          <m:rPr>
            <m:sty m:val="p"/>
          </m:rPr>
          <m:t>=</m:t>
        </m:r>
        <m:r>
          <m:t>14</m:t>
        </m:r>
      </m:oMath>
      <w:r>
        <w:t xml:space="preserve">,</w:t>
      </w:r>
      <w:r>
        <w:t xml:space="preserve"> </w:t>
      </w:r>
      <m:oMath>
        <m:r>
          <m:t>T</m:t>
        </m:r>
        <m:r>
          <m:rPr>
            <m:sty m:val="p"/>
          </m:rPr>
          <m:t>=</m:t>
        </m:r>
        <m:r>
          <m:t>100</m:t>
        </m:r>
      </m:oMath>
      <w:r>
        <w:t xml:space="preserve"> </w:t>
      </w:r>
      <w:r>
        <w:t xml:space="preserve">trajectories, num_levels</w:t>
      </w:r>
      <w:r>
        <w:t xml:space="preserve"> </w:t>
      </w:r>
      <m:oMath>
        <m:r>
          <m:rPr>
            <m:sty m:val="p"/>
          </m:rPr>
          <m:t>=</m:t>
        </m:r>
        <m:r>
          <m:t>4</m:t>
        </m:r>
      </m:oMath>
      <w:r>
        <w:t xml:space="preserve">, paired CRN seed</w:t>
      </w:r>
      <w:r>
        <w:t xml:space="preserve"> </w:t>
      </w:r>
      <m:oMath>
        <m:r>
          <m:rPr>
            <m:sty m:val="p"/>
          </m:rPr>
          <m:t>=</m:t>
        </m:r>
        <m:r>
          <m:t>1</m:t>
        </m:r>
      </m:oMath>
      <w:r>
        <w:t xml:space="preserve">; 총 모델 평가 수</w:t>
      </w:r>
      <w:r>
        <w:t xml:space="preserve"> </w:t>
      </w:r>
      <m:oMath>
        <m:r>
          <m:rPr>
            <m:sty m:val="p"/>
          </m:rPr>
          <m:t>(</m:t>
        </m:r>
        <m:r>
          <m:t>k</m:t>
        </m:r>
        <m:r>
          <m:rPr>
            <m:sty m:val="p"/>
          </m:rPr>
          <m:t>+</m:t>
        </m:r>
        <m:r>
          <m:t>1</m:t>
        </m:r>
        <m:r>
          <m:rPr>
            <m:sty m:val="p"/>
          </m:rPr>
          <m:t>)</m:t>
        </m:r>
        <m:r>
          <m:t>i</m:t>
        </m:r>
        <m:r>
          <m:t>m</m:t>
        </m:r>
        <m:r>
          <m:t>e</m:t>
        </m:r>
        <m:r>
          <m:t>s</m:t>
        </m:r>
        <m:r>
          <m:t>T</m:t>
        </m:r>
        <m:r>
          <m:rPr>
            <m:sty m:val="p"/>
          </m:rPr>
          <m:t>=</m:t>
        </m:r>
        <m:r>
          <m:t>1</m:t>
        </m:r>
        <m:r>
          <m:rPr>
            <m:sty m:val="p"/>
          </m:rPr>
          <m:t>,</m:t>
        </m:r>
        <m:r>
          <m:t>500</m:t>
        </m:r>
      </m:oMath>
      <w:r>
        <w:t xml:space="preserve"> </w:t>
      </w:r>
      <w:r>
        <w:t xml:space="preserve">회. 지표는</w:t>
      </w:r>
      <w:r>
        <w:t xml:space="preserve"> </w:t>
      </w:r>
      <m:oMath>
        <m:sSubSup>
          <m:e>
            <m:r>
              <m:t>μ</m:t>
            </m:r>
          </m:e>
          <m:sub>
            <m:r>
              <m:t>i</m:t>
            </m:r>
          </m:sub>
          <m:sup>
            <m:r>
              <m:rPr>
                <m:sty m:val="p"/>
              </m:rPr>
              <m:t>*</m:t>
            </m:r>
          </m:sup>
        </m:sSubSup>
        <m:r>
          <m:rPr>
            <m:sty m:val="p"/>
          </m:rPr>
          <m:t>=</m:t>
        </m:r>
        <m:sSup>
          <m:e>
            <m:r>
              <m:t>T</m:t>
            </m:r>
          </m:e>
          <m:sup>
            <m:r>
              <m:rPr>
                <m:sty m:val="p"/>
              </m:rPr>
              <m:t>−</m:t>
            </m:r>
            <m:r>
              <m:t>1</m:t>
            </m:r>
          </m:sup>
        </m:sSup>
        <m:nary>
          <m:naryPr>
            <m:chr m:val="∑"/>
            <m:limLoc m:val="undOvr"/>
            <m:subHide m:val="off"/>
            <m:supHide m:val="on"/>
          </m:naryPr>
          <m:sub>
            <m:r>
              <m:t>t</m:t>
            </m:r>
          </m:sub>
          <m:sup>
            <m:r>
              <m:t>​</m:t>
            </m:r>
          </m:sup>
          <m:e>
            <m:r>
              <m:rPr>
                <m:sty m:val="p"/>
              </m:rPr>
              <m:t>|</m:t>
            </m:r>
          </m:e>
        </m:nary>
        <m:r>
          <m:t>E</m:t>
        </m:r>
        <m:sSub>
          <m:e>
            <m:r>
              <m:t>E</m:t>
            </m:r>
          </m:e>
          <m:sub>
            <m:r>
              <m:t>i</m:t>
            </m:r>
            <m:r>
              <m:rPr>
                <m:sty m:val="p"/>
              </m:rPr>
              <m:t>,</m:t>
            </m:r>
            <m:r>
              <m:t>t</m:t>
            </m:r>
          </m:sub>
        </m:sSub>
        <m:r>
          <m:rPr>
            <m:sty m:val="p"/>
          </m:rPr>
          <m:t>|</m:t>
        </m:r>
      </m:oMath>
      <w:r>
        <w:t xml:space="preserve"> </w:t>
      </w:r>
      <w:r>
        <w:t xml:space="preserve">(절대 평균 효과)와</w:t>
      </w:r>
      <w:r>
        <w:t xml:space="preserve"> </w:t>
      </w:r>
      <m:oMath>
        <m:sSub>
          <m:e>
            <m:r>
              <m:t>σ</m:t>
            </m:r>
          </m:e>
          <m:sub>
            <m:r>
              <m:t>i</m:t>
            </m:r>
          </m:sub>
        </m:sSub>
      </m:oMath>
      <w:r>
        <w:t xml:space="preserve"> </w:t>
      </w:r>
      <w:r>
        <w:t xml:space="preserve">(EE 표준편차).</w:t>
      </w:r>
    </w:p>
    <w:p>
      <w:pPr>
        <w:pStyle w:val="BodyText"/>
      </w:pPr>
      <w:r>
        <w:rPr>
          <w:b/>
          <w:bCs/>
        </w:rPr>
        <w:t xml:space="preserve">표준 집계 규칙(canonical aggregation rule).</w:t>
      </w:r>
      <w:r>
        <w:t xml:space="preserve"> </w:t>
      </w:r>
      <w:r>
        <w:t xml:space="preserve">원시</w:t>
      </w:r>
      <w:r>
        <w:t xml:space="preserve"> </w:t>
      </w:r>
      <w:r>
        <w:rPr>
          <w:rStyle w:val="VerbatimChar"/>
        </w:rPr>
        <w:t xml:space="preserve">results/sensitivity/morris_results.csv</w:t>
      </w:r>
      <w:r>
        <w:t xml:space="preserve">는 (policy × scenario × metric) 다중 블록을 포함하므로 본문이 인용하는</w:t>
      </w:r>
      <w:r>
        <w:t xml:space="preserve"> </w:t>
      </w:r>
      <w:r>
        <w:rPr>
          <w:i/>
          <w:iCs/>
        </w:rPr>
        <w:t xml:space="preserve">μ* 상위 매개변수</w:t>
      </w:r>
      <w:r>
        <w:t xml:space="preserve"> </w:t>
      </w:r>
      <w:r>
        <w:t xml:space="preserve">는 단일 규칙으로 도출된다: 각 매개변수에 대해 μ*는 (policy × scenario × metric) 블록에 걸쳐 산술 평균하며 metric 차원은 〈표 5〉 build pipeline의</w:t>
      </w:r>
      <w:r>
        <w:t xml:space="preserve"> </w:t>
      </w:r>
      <w:r>
        <w:rPr>
          <w:i/>
          <w:iCs/>
        </w:rPr>
        <w:t xml:space="preserve">multi-metric mean</w:t>
      </w:r>
      <w:r>
        <w:t xml:space="preserve"> </w:t>
      </w:r>
      <w:r>
        <w:t xml:space="preserve">으로 통합된다. 본 평균은</w:t>
      </w:r>
      <w:r>
        <w:t xml:space="preserve"> </w:t>
      </w:r>
      <w:r>
        <w:rPr>
          <w:rStyle w:val="VerbatimChar"/>
        </w:rPr>
        <w:t xml:space="preserve">scripts/build_kci_tables.py::build_table5_morris_mu_star</w:t>
      </w:r>
      <w:r>
        <w:t xml:space="preserve">가 단독 산출하며, §4·§5·초록의 Morris 인용에 대해</w:t>
      </w:r>
      <w:r>
        <w:t xml:space="preserve"> </w:t>
      </w:r>
      <w:r>
        <w:rPr>
          <w:i/>
          <w:iCs/>
        </w:rPr>
        <w:t xml:space="preserve">유일한 권한 출처(single source of truth)</w:t>
      </w:r>
      <w:r>
        <w:t xml:space="preserve"> </w:t>
      </w:r>
      <w:r>
        <w:t xml:space="preserve">로 작동한다.</w:t>
      </w:r>
    </w:p>
    <w:bookmarkEnd w:id="36"/>
    <w:bookmarkStart w:id="37" w:name="재현성"/>
    <w:p>
      <w:pPr>
        <w:pStyle w:val="Heading3"/>
      </w:pPr>
      <w:r>
        <w:t xml:space="preserve">3.8 재현성</w:t>
      </w:r>
    </w:p>
    <w:p>
      <w:pPr>
        <w:pStyle w:val="FirstParagraph"/>
      </w:pPr>
      <w:r>
        <w:t xml:space="preserve">모든 실험은 (i)</w:t>
      </w:r>
      <w:r>
        <w:t xml:space="preserve"> </w:t>
      </w:r>
      <w:r>
        <w:rPr>
          <w:rStyle w:val="VerbatimChar"/>
        </w:rPr>
        <w:t xml:space="preserve">main.py</w:t>
      </w:r>
      <w:r>
        <w:t xml:space="preserve">의</w:t>
      </w:r>
      <w:r>
        <w:t xml:space="preserve"> </w:t>
      </w:r>
      <w:r>
        <w:rPr>
          <w:rStyle w:val="VerbatimChar"/>
        </w:rPr>
        <w:t xml:space="preserve">PROJECT_ROOT = Path(__file__).resolve().parent</w:t>
      </w:r>
      <w:r>
        <w:t xml:space="preserve">로 self-contained 실행 루트 고정, (ii)</w:t>
      </w:r>
      <w:r>
        <w:t xml:space="preserve"> </w:t>
      </w:r>
      <w:r>
        <w:rPr>
          <w:rStyle w:val="VerbatimChar"/>
        </w:rPr>
        <w:t xml:space="preserve">kci/requirements.txt</w:t>
      </w:r>
      <w:r>
        <w:t xml:space="preserve">의 정확한 버전 핀, (iii)</w:t>
      </w:r>
      <w:r>
        <w:t xml:space="preserve"> </w:t>
      </w:r>
      <w:r>
        <w:rPr>
          <w:rStyle w:val="VerbatimChar"/>
        </w:rPr>
        <w:t xml:space="preserve">data/cache/songpa_yangju_corridor.graphml</w:t>
      </w:r>
      <w:r>
        <w:t xml:space="preserve"> </w:t>
      </w:r>
      <w:r>
        <w:t xml:space="preserve">단일 GraphML 캐시와 ETag·노드 수·엣지 수·추출일을 기록하는 동반 매니페스트, (iv)</w:t>
      </w:r>
      <w:r>
        <w:t xml:space="preserve"> </w:t>
      </w:r>
      <w:r>
        <w:rPr>
          <w:rStyle w:val="VerbatimChar"/>
        </w:rPr>
        <w:t xml:space="preserve">experiment.seed_base = 1</w:t>
      </w:r>
      <w:r>
        <w:t xml:space="preserve">을 기점으로 한 페어드 seed의 결정론적 단조 증가, (v)</w:t>
      </w:r>
      <w:r>
        <w:t xml:space="preserve"> </w:t>
      </w:r>
      <w:r>
        <w:rPr>
          <w:rStyle w:val="VerbatimChar"/>
        </w:rPr>
        <w:t xml:space="preserve">scripts/run_reproducibility_smoke.py</w:t>
      </w:r>
      <w:r>
        <w:t xml:space="preserve">·</w:t>
      </w:r>
      <w:r>
        <w:rPr>
          <w:rStyle w:val="VerbatimChar"/>
        </w:rPr>
        <w:t xml:space="preserve">scripts/run_clean_checkout_smoke.py</w:t>
      </w:r>
      <w:r>
        <w:t xml:space="preserve">에 의한 두 번 실행 일치 검증을 갖춘다.</w:t>
      </w:r>
    </w:p>
    <w:bookmarkEnd w:id="37"/>
    <w:bookmarkStart w:id="38" w:name="방법론-한계"/>
    <w:p>
      <w:pPr>
        <w:pStyle w:val="Heading3"/>
      </w:pPr>
      <w:r>
        <w:t xml:space="preserve">3.9 방법론 한계</w:t>
      </w:r>
    </w:p>
    <w:p>
      <w:pPr>
        <w:pStyle w:val="FirstParagraph"/>
      </w:pPr>
      <w:r>
        <w:t xml:space="preserve">본 연구는 IE/OR 방법론</w:t>
      </w:r>
      <w:r>
        <w:t xml:space="preserve"> </w:t>
      </w:r>
      <w:r>
        <w:rPr>
          <w:i/>
          <w:iCs/>
        </w:rPr>
        <w:t xml:space="preserve">조건도(condition map)</w:t>
      </w:r>
      <w:r>
        <w:t xml:space="preserve">로 위치되며 운영 가이드가 아니다. 다음 6개 한계가 결과 해석의 경계를 설정한다.</w:t>
      </w:r>
      <w:r>
        <w:t xml:space="preserve"> </w:t>
      </w:r>
      <w:r>
        <w:rPr>
          <w:b/>
          <w:bCs/>
        </w:rPr>
        <w:t xml:space="preserve">(1) 미보정 capacity / p_fail</w:t>
      </w:r>
      <w:r>
        <w:t xml:space="preserve"> </w:t>
      </w:r>
      <w:r>
        <w:t xml:space="preserve">— §3.3의</w:t>
      </w:r>
      <w:r>
        <w:t xml:space="preserve"> </w:t>
      </w:r>
      <w:r>
        <w:rPr>
          <w:rStyle w:val="VerbatimChar"/>
        </w:rPr>
        <w:t xml:space="preserve">HIGHWAY_DEFAULTS</w:t>
      </w:r>
      <w:r>
        <w:t xml:space="preserve">는 한국 도로 데이터 보정값이 아니라 결정론적 계획 프록시이므로 본 연구의 mode 비교는</w:t>
      </w:r>
      <w:r>
        <w:t xml:space="preserve"> </w:t>
      </w:r>
      <w:r>
        <w:rPr>
          <w:i/>
          <w:iCs/>
        </w:rPr>
        <w:t xml:space="preserve">동일 그래프·동일 가정 하에서의 두 모드 차이</w:t>
      </w:r>
      <w:r>
        <w:t xml:space="preserve">에 한정되고 절대 통행시간의 외부 타당성을 주장하지 않는다.</w:t>
      </w:r>
      <w:r>
        <w:t xml:space="preserve"> </w:t>
      </w:r>
      <w:r>
        <w:rPr>
          <w:b/>
          <w:bCs/>
        </w:rPr>
        <w:t xml:space="preserve">(2) Origin D 비검증</w:t>
      </w:r>
      <w:r>
        <w:t xml:space="preserve"> </w:t>
      </w:r>
      <w:r>
        <w:t xml:space="preserve">— 잠실종합운동장이 병력동원 집결지로 사용되었음을 확인할 공개 자료는 없으며 사용자 지시에 따라</w:t>
      </w:r>
      <w:r>
        <w:t xml:space="preserve"> </w:t>
      </w:r>
      <w:r>
        <w:rPr>
          <w:i/>
          <w:iCs/>
        </w:rPr>
        <w:t xml:space="preserve">robustness 가정 변형(unverified)</w:t>
      </w:r>
      <w:r>
        <w:t xml:space="preserve">으로만 다루고 모든 표·그림에서 별도 표기된다.</w:t>
      </w:r>
      <w:r>
        <w:t xml:space="preserve"> </w:t>
      </w:r>
      <w:r>
        <w:rPr>
          <w:b/>
          <w:bCs/>
        </w:rPr>
        <w:t xml:space="preserve">(3) A·B·C 역할 차이</w:t>
      </w:r>
      <w:r>
        <w:t xml:space="preserve"> </w:t>
      </w:r>
      <w:r>
        <w:t xml:space="preserve">— 송파구 조례 2023-09-14 및 한국경제 2024-02-29 보도가 명시하는 세 집결지는</w:t>
      </w:r>
      <w:r>
        <w:t xml:space="preserve"> </w:t>
      </w:r>
      <w:r>
        <w:rPr>
          <w:i/>
          <w:iCs/>
        </w:rPr>
        <w:t xml:space="preserve">예비군훈련</w:t>
      </w:r>
      <w:r>
        <w:t xml:space="preserve"> </w:t>
      </w:r>
      <w:r>
        <w:t xml:space="preserve">(2박 3일 동원훈련이 아님) 수송버스 집결지로, 본 연구는 이를 동원훈련장 수송에 유추 적용한다.</w:t>
      </w:r>
      <w:r>
        <w:t xml:space="preserve"> </w:t>
      </w:r>
      <w:r>
        <w:rPr>
          <w:b/>
          <w:bCs/>
        </w:rPr>
        <w:t xml:space="preserve">(4) 가상 회랑</w:t>
      </w:r>
      <w:r>
        <w:t xml:space="preserve"> </w:t>
      </w:r>
      <w:r>
        <w:t xml:space="preserve">— 본 회랑은 OSM의 주요 간선 부분집합에서 추출된</w:t>
      </w:r>
      <w:r>
        <w:t xml:space="preserve"> </w:t>
      </w:r>
      <w:r>
        <w:rPr>
          <w:i/>
          <w:iCs/>
        </w:rPr>
        <w:t xml:space="preserve">가상 추상 네트워크</w:t>
      </w:r>
      <w:r>
        <w:t xml:space="preserve">이며 한국 교통량·신호·차로 폭·우회로 가용성에 대한 보정을 거치지 않았다. 송파→72사단 동원지정 자원 catchment 또한 공개 자료로 검증할 수 없다 — 병무청은 동원지정을 개별 병력동원소집통지서로 통지하며 행정구역별 배정표를 공개하지 않는다.</w:t>
      </w:r>
      <w:r>
        <w:t xml:space="preserve"> </w:t>
      </w:r>
      <w:r>
        <w:rPr>
          <w:b/>
          <w:bCs/>
        </w:rPr>
        <w:t xml:space="preserve">(5) 추상 철도 leg</w:t>
      </w:r>
      <w:r>
        <w:t xml:space="preserve"> </w:t>
      </w:r>
      <w:r>
        <w:t xml:space="preserve">— 잠실↔의정부 구간에는 직행 고빈도 노선이 없으며 본 연구의 철도 leg(</w:t>
      </w:r>
      <w:r>
        <w:rPr>
          <w:rStyle w:val="VerbatimChar"/>
        </w:rPr>
        <w:t xml:space="preserve">S→R</w:t>
      </w:r>
      <w:r>
        <w:t xml:space="preserve">)는 60분 통행시간·15분 헤드웨이·1열차당 500인 용량의</w:t>
      </w:r>
      <w:r>
        <w:t xml:space="preserve"> </w:t>
      </w:r>
      <w:r>
        <w:rPr>
          <w:i/>
          <w:iCs/>
        </w:rPr>
        <w:t xml:space="preserve">추상 장거리 프록시</w:t>
      </w:r>
      <w:r>
        <w:t xml:space="preserve">이고 실제 1호선·7호선·환승 경로의 동적 운행 데이터를 사용하지 않는다.</w:t>
      </w:r>
      <w:r>
        <w:t xml:space="preserve"> </w:t>
      </w:r>
      <w:r>
        <w:rPr>
          <w:b/>
          <w:bCs/>
        </w:rPr>
        <w:t xml:space="preserve">(6) 외부 검증 부재</w:t>
      </w:r>
      <w:r>
        <w:t xml:space="preserve"> </w:t>
      </w:r>
      <w:r>
        <w:t xml:space="preserve">— OSRM·KTDB·GTFS 등 외부 라우팅 벤치마크와의 통행시간 일치 여부는 후속 보정 연구의 과제이다.</w:t>
      </w:r>
    </w:p>
    <w:p>
      <w:pPr>
        <w:pStyle w:val="BodyText"/>
      </w:pPr>
      <w:r>
        <w:t xml:space="preserve">이상의 한계 선언은 §4(결과) 및 §5(논의)의</w:t>
      </w:r>
      <w:r>
        <w:t xml:space="preserve"> </w:t>
      </w:r>
      <w:r>
        <w:rPr>
          <w:i/>
          <w:iCs/>
        </w:rPr>
        <w:t xml:space="preserve">조건도</w:t>
      </w:r>
      <w:r>
        <w:t xml:space="preserve"> </w:t>
      </w:r>
      <w:r>
        <w:t xml:space="preserve">해석에 일관되게 반영되며, 본 연구의 기여를</w:t>
      </w:r>
      <w:r>
        <w:t xml:space="preserve"> </w:t>
      </w:r>
      <w:r>
        <w:rPr>
          <w:i/>
          <w:iCs/>
        </w:rPr>
        <w:t xml:space="preserve">방법론적 framework + 조건부 비교 지도</w:t>
      </w:r>
      <w:r>
        <w:t xml:space="preserve">로 한정한다.</w:t>
      </w:r>
    </w:p>
    <w:bookmarkEnd w:id="38"/>
    <w:bookmarkEnd w:id="39"/>
    <w:bookmarkStart w:id="69" w:name="결과"/>
    <w:p>
      <w:pPr>
        <w:pStyle w:val="Heading2"/>
      </w:pPr>
      <w:r>
        <w:t xml:space="preserve">4. 결과</w:t>
      </w:r>
    </w:p>
    <w:p>
      <w:pPr>
        <w:pStyle w:val="FirstParagraph"/>
      </w:pPr>
      <w:r>
        <w:t xml:space="preserve">본 장은 §3의 4단계 실험 설계(Phase 1a 기준 강건성, Phase 1b 원점 강건성, Phase 2 단일수단 매개변수 스윕, Phase 3 반사실 레버 스윕)와 Morris 전역 민감도 분석의 결과를 차례로 제시한다. 모든 정량값은 §3.6의 paired-CRN 절차에 따라 cell당 동일 seed로 두 모드를 페어드한 결과의 평균과 paired-t 95% 신뢰구간(이하 CI)을 함께 보고하며, 본 절의 모든 비교는 §3.9에서 선언된</w:t>
      </w:r>
      <w:r>
        <w:t xml:space="preserve"> </w:t>
      </w:r>
      <w:r>
        <w:rPr>
          <w:i/>
          <w:iCs/>
        </w:rPr>
        <w:t xml:space="preserve">조건도(condition map)</w:t>
      </w:r>
      <w:r>
        <w:t xml:space="preserve">의 해석 경계 내에 한정된다. Δ는 일관되게</w:t>
      </w:r>
      <w:r>
        <w:t xml:space="preserve"> </w:t>
      </w:r>
      <w:r>
        <w:rPr>
          <w:rStyle w:val="VerbatimChar"/>
        </w:rPr>
        <w:t xml:space="preserve">Δ = bus_only − multimodal</w:t>
      </w:r>
      <w:r>
        <w:t xml:space="preserve">(§3.6)로 정의되어 음수는 직행버스 우위, 양수는 multimodal 우위를 의미한다(코드</w:t>
      </w:r>
      <w:r>
        <w:t xml:space="preserve"> </w:t>
      </w:r>
      <w:r>
        <w:rPr>
          <w:rStyle w:val="VerbatimChar"/>
        </w:rPr>
        <w:t xml:space="preserve">_safe_delta(left=bus, right=multi)</w:t>
      </w:r>
      <w:r>
        <w:t xml:space="preserve">).</w:t>
      </w:r>
    </w:p>
    <w:bookmarkStart w:id="49" w:name="phase-1a-기준-강건성-origin-a-r-30"/>
    <w:p>
      <w:pPr>
        <w:pStyle w:val="Heading3"/>
      </w:pPr>
      <w:r>
        <w:t xml:space="preserve">4.1 Phase 1a 기준 강건성 (Origin A, R = 30)</w:t>
      </w:r>
    </w:p>
    <w:p>
      <w:pPr>
        <w:pStyle w:val="FirstParagraph"/>
      </w:pPr>
      <w:r>
        <w:t xml:space="preserve">Phase 1a는 송파구청 일자리센터(Origin A)에서 출발하여</w:t>
      </w:r>
      <w:r>
        <w:t xml:space="preserve"> </w:t>
      </w:r>
      <w:r>
        <w:rPr>
          <w:rStyle w:val="VerbatimChar"/>
        </w:rPr>
        <w:t xml:space="preserve">p_fail_scale ∈ {0.0, 0.10, 0.25, 0.50, 0.75, 1.0, 1.5, 2.0}</w:t>
      </w:r>
      <w:r>
        <w:t xml:space="preserve">의 8개 수준에 대해 cell당 R = 30회 페어드 CRN 반복을 수행하였다(〈표 2〉, 〈그림 3〉, 〈그림 4〉).</w:t>
      </w:r>
    </w:p>
    <w:p>
      <w:pPr>
        <w:pStyle w:val="BodyText"/>
      </w:pPr>
      <w:r>
        <w:rPr>
          <w:b/>
          <w:bCs/>
        </w:rPr>
        <w:t xml:space="preserve">무장애 영역에서의 구조적 페널티.</w:t>
      </w:r>
      <w:r>
        <w:t xml:space="preserve"> </w:t>
      </w:r>
      <w:r>
        <w:rPr>
          <w:rStyle w:val="VerbatimChar"/>
        </w:rPr>
        <w:t xml:space="preserve">p_fail_scale = 0.0</w:t>
      </w:r>
      <w:r>
        <w:t xml:space="preserve">에서 Δ penalized_makespan =</w:t>
      </w:r>
      <w:r>
        <w:t xml:space="preserve"> </w:t>
      </w:r>
      <w:r>
        <w:rPr>
          <w:b/>
          <w:bCs/>
        </w:rPr>
        <w:t xml:space="preserve">−58.5분</w:t>
      </w:r>
      <w:r>
        <w:t xml:space="preserve"> </w:t>
      </w:r>
      <w:r>
        <w:t xml:space="preserve">(95% CI [−58.5, −58.5])이며 CRN 하 30회 반복이 결정적 동일 출력으로 수렴하여 CI 폭이 0이다. 즉 어떤 장애도 발생하지 않은 조건에서도 직행버스가 약 58분 빠르게 완수되며, 이는 multimodal 경로의 환승 고정지연과 추가 거리에 기인하는</w:t>
      </w:r>
      <w:r>
        <w:t xml:space="preserve"> </w:t>
      </w:r>
      <w:r>
        <w:rPr>
          <w:i/>
          <w:iCs/>
        </w:rPr>
        <w:t xml:space="preserve">구조적 환승 페널티</w:t>
      </w:r>
      <w:r>
        <w:t xml:space="preserve">로 해석된다.</w:t>
      </w:r>
    </w:p>
    <w:p>
      <w:pPr>
        <w:pStyle w:val="BodyText"/>
      </w:pPr>
      <w:r>
        <w:rPr>
          <w:b/>
          <w:bCs/>
        </w:rPr>
        <w:t xml:space="preserve">Disruption 강도에 따른 단조 악화.</w:t>
      </w:r>
      <w:r>
        <w:t xml:space="preserve"> </w:t>
      </w:r>
      <w:r>
        <w:rPr>
          <w:rStyle w:val="VerbatimChar"/>
        </w:rPr>
        <w:t xml:space="preserve">p_fail_scale</w:t>
      </w:r>
      <w:r>
        <w:t xml:space="preserve">이 증가함에 따라 Δ q90 도착시간은 −58.5분(p=0.0)에서 −124.8분(p=0.5), −263.5분(p=1.5)을 거쳐</w:t>
      </w:r>
      <w:r>
        <w:t xml:space="preserve"> </w:t>
      </w:r>
      <w:r>
        <w:rPr>
          <w:b/>
          <w:bCs/>
        </w:rPr>
        <w:t xml:space="preserve">−358.1분</w:t>
      </w:r>
      <w:r>
        <w:t xml:space="preserve"> </w:t>
      </w:r>
      <w:r>
        <w:t xml:space="preserve">(95% CI [−508.9, −207.3], p=2.0)으로 단조적으로 음의 방향으로 깊어진다. Δ P(완료 ≤ 1500분)는 0.000(p=0.0)에서 +0.133(p=1.0), +0.300(p=1.5)을 거쳐</w:t>
      </w:r>
      <w:r>
        <w:t xml:space="preserve"> </w:t>
      </w:r>
      <w:r>
        <w:rPr>
          <w:b/>
          <w:bCs/>
        </w:rPr>
        <w:t xml:space="preserve">+0.433</w:t>
      </w:r>
      <w:r>
        <w:t xml:space="preserve"> </w:t>
      </w:r>
      <w:r>
        <w:t xml:space="preserve">(95% CI [+0.245, +0.622], p=2.0)으로 증가하여, 고압박 영역에서 직행버스가 마감 내 완료 확률 측면에서 약 43.3 포인트 우위를 확보한다.</w:t>
      </w:r>
    </w:p>
    <w:p>
      <w:pPr>
        <w:pStyle w:val="BodyText"/>
      </w:pPr>
      <w:r>
        <w:rPr>
          <w:b/>
          <w:bCs/>
        </w:rPr>
        <w:t xml:space="preserve">통계적 분리.</w:t>
      </w:r>
      <w:r>
        <w:t xml:space="preserve"> </w:t>
      </w:r>
      <w:r>
        <w:rPr>
          <w:rStyle w:val="VerbatimChar"/>
        </w:rPr>
        <w:t xml:space="preserve">p_fail_scale ≥ 0.75</w:t>
      </w:r>
      <w:r>
        <w:t xml:space="preserve">의 모든 cell에서 Δ penalized_makespan의 95% CI가 0을 제외하여(〈표 2〉) paired-CRN 기준 두 모드가 통계적으로 유의하게 분리된다. 〈그림 3〉의 강건성 곡선은 8개 관측 점 모두에서 Δ &lt; 0의 부호를 유지하며 어떤 disruption 강도에서도 break-even 교차가 관측되지 않는다.</w:t>
      </w:r>
    </w:p>
    <w:p>
      <w:pPr>
        <w:pStyle w:val="BodyText"/>
      </w:pPr>
      <w:r>
        <w:drawing>
          <wp:inline>
            <wp:extent cx="6261100" cy="3787256"/>
            <wp:effectExtent b="0" l="0" r="0" t="0"/>
            <wp:docPr descr="그림 3" title="" id="41" name="Picture"/>
            <a:graphic>
              <a:graphicData uri="http://schemas.openxmlformats.org/drawingml/2006/picture">
                <pic:pic>
                  <pic:nvPicPr>
                    <pic:cNvPr descr="figures/figure3_robustness_curve_en.png" id="42" name="Picture"/>
                    <pic:cNvPicPr>
                      <a:picLocks noChangeArrowheads="1" noChangeAspect="1"/>
                    </pic:cNvPicPr>
                  </pic:nvPicPr>
                  <pic:blipFill>
                    <a:blip r:embed="rId40"/>
                    <a:stretch>
                      <a:fillRect/>
                    </a:stretch>
                  </pic:blipFill>
                  <pic:spPr bwMode="auto">
                    <a:xfrm>
                      <a:off x="0" y="0"/>
                      <a:ext cx="6261100" cy="3787256"/>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Phase 1a robustness curve. At Origin A, the road-link failure-intensity scale</w:t>
      </w:r>
      <w:r>
        <w:t xml:space="preserve"> </w:t>
      </w:r>
      <w:r>
        <w:rPr>
          <w:rStyle w:val="VerbatimChar"/>
        </w:rPr>
        <w:t xml:space="preserve">p_fail_scale</w:t>
      </w:r>
      <w:r>
        <w:t xml:space="preserve"> </w:t>
      </w:r>
      <w:r>
        <w:t xml:space="preserve">is varied across eight levels (0.0, 0.10, 0.25, 0.50, 0.75, 1.0, 1.5, 2.0); at each level, R = 30 paired replications are run and the mean Δ penalized makespan (Δ = bus_only − multimodal) is plotted as a point–line series, with the shaded band showing the paired-t (df = 29) 95% confidence interval. At</w:t>
      </w:r>
      <w:r>
        <w:t xml:space="preserve"> </w:t>
      </w:r>
      <w:r>
        <w:rPr>
          <w:rStyle w:val="VerbatimChar"/>
        </w:rPr>
        <w:t xml:space="preserve">p_fail_scale = 0.0</w:t>
      </w:r>
      <w:r>
        <w:t xml:space="preserve">, Δ = −58.5 min (95% CI [−58.5, −58.5]); at</w:t>
      </w:r>
      <w:r>
        <w:t xml:space="preserve"> </w:t>
      </w:r>
      <w:r>
        <w:rPr>
          <w:rStyle w:val="VerbatimChar"/>
        </w:rPr>
        <w:t xml:space="preserve">p_fail_scale = 2.0</w:t>
      </w:r>
      <w:r>
        <w:t xml:space="preserve">, Δ = −624,351.8 min (95% CI [−895,506.7, −353,196.9]). The multimodal route’s penalized-makespan loss grows nonlinearly with disruption intensity. The black dashed line marks the break-even (Δ = 0); the curve retains the same sign across all observed levels — Δ &lt; 0 across all</w:t>
      </w:r>
      <w:r>
        <w:t xml:space="preserve"> </w:t>
      </w:r>
      <w:r>
        <w:rPr>
          <w:rStyle w:val="VerbatimChar"/>
        </w:rPr>
        <w:t xml:space="preserve">p_fail_scale</w:t>
      </w:r>
      <w:r>
        <w:t xml:space="preserve"> </w:t>
      </w:r>
      <w:r>
        <w:t xml:space="preserve">levels — so direct-bus dominates multimodal on penalized makespan at every observed disruption intensity.</w:t>
      </w:r>
    </w:p>
    <w:p>
      <w:pPr>
        <w:pStyle w:val="BodyText"/>
      </w:pPr>
      <w:r>
        <w:drawing>
          <wp:inline>
            <wp:extent cx="6261100" cy="2540431"/>
            <wp:effectExtent b="0" l="0" r="0" t="0"/>
            <wp:docPr descr="그림 4" title="" id="44" name="Picture"/>
            <a:graphic>
              <a:graphicData uri="http://schemas.openxmlformats.org/drawingml/2006/picture">
                <pic:pic>
                  <pic:nvPicPr>
                    <pic:cNvPr descr="figures/figure4_success_vs_disruption_en.png" id="45" name="Picture"/>
                    <pic:cNvPicPr>
                      <a:picLocks noChangeArrowheads="1" noChangeAspect="1"/>
                    </pic:cNvPicPr>
                  </pic:nvPicPr>
                  <pic:blipFill>
                    <a:blip r:embed="rId43"/>
                    <a:stretch>
                      <a:fillRect/>
                    </a:stretch>
                  </pic:blipFill>
                  <pic:spPr bwMode="auto">
                    <a:xfrm>
                      <a:off x="0" y="0"/>
                      <a:ext cx="6261100" cy="2540431"/>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Phase 1a quantile arrival time and probability of completion within deadline. At Origin A,</w:t>
      </w:r>
      <w:r>
        <w:t xml:space="preserve"> </w:t>
      </w:r>
      <w:r>
        <w:rPr>
          <w:rStyle w:val="VerbatimChar"/>
        </w:rPr>
        <w:t xml:space="preserve">p_fail_scale</w:t>
      </w:r>
      <w:r>
        <w:t xml:space="preserve"> </w:t>
      </w:r>
      <w:r>
        <w:t xml:space="preserve">is varied across eight levels (0.0, 0.10, 0.25, 0.50, 0.75, 1.0, 1.5, 2.0) with R = 30 paired replications. Panel A shows the q90 arrival time (minutes); Panel B shows the probability of completion within the 1,500-minute deadline, P(complete ≤ deadline). Both panels overlay paired-t (df = 29) 95% confidence bands (blue = bus_only, red = multimodal). In Panel A, the bus_only q90 arrival time rises from 623.0 min at</w:t>
      </w:r>
      <w:r>
        <w:t xml:space="preserve"> </w:t>
      </w:r>
      <w:r>
        <w:rPr>
          <w:rStyle w:val="VerbatimChar"/>
        </w:rPr>
        <w:t xml:space="preserve">p_fail_scale = 0.0</w:t>
      </w:r>
      <w:r>
        <w:t xml:space="preserve"> </w:t>
      </w:r>
      <w:r>
        <w:t xml:space="preserve">to 1,006.7 min at</w:t>
      </w:r>
      <w:r>
        <w:t xml:space="preserve"> </w:t>
      </w:r>
      <w:r>
        <w:rPr>
          <w:rStyle w:val="VerbatimChar"/>
        </w:rPr>
        <w:t xml:space="preserve">p_fail_scale = 2.0</w:t>
      </w:r>
      <w:r>
        <w:t xml:space="preserve">, while multimodal rises from 681.5 to 1,364.8 min; the upper-tail arrival time grows nonlinearly with disruption intensity in both modes. In Panel B, the bus_only completion probability falls from 1.000 to 0.533 and the multimodal falls from 1.000 to 0.100; bus_only matches or exceeds the multimodal probability at every observed</w:t>
      </w:r>
      <w:r>
        <w:t xml:space="preserve"> </w:t>
      </w:r>
      <w:r>
        <w:rPr>
          <w:rStyle w:val="VerbatimChar"/>
        </w:rPr>
        <w:t xml:space="preserve">p_fail_scale</w:t>
      </w:r>
      <w:r>
        <w:t xml:space="preserve">. (Black dashed line at y = 1.0 marks complete delivery.)</w:t>
      </w:r>
    </w:p>
    <w:p>
      <w:pPr>
        <w:pStyle w:val="BodyText"/>
      </w:pPr>
      <w:r>
        <w:rPr>
          <w:b/>
          <w:bCs/>
        </w:rPr>
        <w:t xml:space="preserve">Table 2.</w:t>
      </w:r>
      <w:r>
        <w:t xml:space="preserve"> </w:t>
      </w:r>
      <w:r>
        <w:t xml:space="preserve">Phase 1a baseline robustness: means and 95% confidence intervals by</w:t>
      </w:r>
      <w:r>
        <w:t xml:space="preserve"> </w:t>
      </w:r>
      <w:r>
        <w:rPr>
          <w:rStyle w:val="VerbatimChar"/>
        </w:rPr>
        <w:t xml:space="preserve">p_fail_scale</w:t>
      </w:r>
      <w:r>
        <w:t xml:space="preserve"> </w:t>
      </w:r>
      <w:r>
        <w:t xml:space="preserve">(Origin A, R = 30 paired CRN, paired-t df = 29).</w:t>
      </w:r>
    </w:p>
    <w:p>
      <w:pPr>
        <w:pStyle w:val="BodyText"/>
      </w:pPr>
      <w:r>
        <w:drawing>
          <wp:inline>
            <wp:extent cx="6261100" cy="1512685"/>
            <wp:effectExtent b="0" l="0" r="0" t="0"/>
            <wp:docPr descr="Table 2" title="" id="47" name="Picture"/>
            <a:graphic>
              <a:graphicData uri="http://schemas.openxmlformats.org/drawingml/2006/picture">
                <pic:pic>
                  <pic:nvPicPr>
                    <pic:cNvPr descr="table_images/table2.png" id="48" name="Picture"/>
                    <pic:cNvPicPr>
                      <a:picLocks noChangeArrowheads="1" noChangeAspect="1"/>
                    </pic:cNvPicPr>
                  </pic:nvPicPr>
                  <pic:blipFill>
                    <a:blip r:embed="rId46"/>
                    <a:stretch>
                      <a:fillRect/>
                    </a:stretch>
                  </pic:blipFill>
                  <pic:spPr bwMode="auto">
                    <a:xfrm>
                      <a:off x="0" y="0"/>
                      <a:ext cx="6261100" cy="1512685"/>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Δ = bus_only − multimodal (per</w:t>
      </w:r>
      <w:r>
        <w:t xml:space="preserve"> </w:t>
      </w:r>
      <w:r>
        <w:rPr>
          <w:rStyle w:val="VerbatimChar"/>
        </w:rPr>
        <w:t xml:space="preserve">_safe_delta(left=bus, right=multi)</w:t>
      </w:r>
      <w:r>
        <w:t xml:space="preserve">; negative ⇒ bus_only has smaller penalized makespan, indicating direct-bus advantage / multimodal disadvantage). Paired common-random-numbers (CRN) sample R = 30; 95% confidence intervals are paired-t (df = 29).</w:t>
      </w:r>
      <w:r>
        <w:t xml:space="preserve"> </w:t>
      </w:r>
      <w:r>
        <w:rPr>
          <w:rStyle w:val="VerbatimChar"/>
        </w:rPr>
        <w:t xml:space="preserve">delta_penalized_makespan</w:t>
      </w:r>
      <w:r>
        <w:t xml:space="preserve"> </w:t>
      </w:r>
      <w:r>
        <w:t xml:space="preserve">is the micro-passenger-weighted makespan difference (minutes) inclusive of the censoring penalty; for</w:t>
      </w:r>
      <w:r>
        <w:t xml:space="preserve"> </w:t>
      </w:r>
      <w:r>
        <w:rPr>
          <w:rStyle w:val="VerbatimChar"/>
        </w:rPr>
        <w:t xml:space="preserve">p_fail_scale ≥ 0.5</w:t>
      </w:r>
      <w:r>
        <w:t xml:space="preserve"> </w:t>
      </w:r>
      <w:r>
        <w:t xml:space="preserve">the penalty term (</w:t>
      </w:r>
      <w:r>
        <w:rPr>
          <w:rStyle w:val="VerbatimChar"/>
        </w:rPr>
        <w:t xml:space="preserve">deadline_min = 1500</w:t>
      </w:r>
      <w:r>
        <w:t xml:space="preserve">, penalty multiplier ×1500) on multimodal-route censored passengers dominates, which inflates the absolute magnitude sharply.</w:t>
      </w:r>
      <w:r>
        <w:t xml:space="preserve"> </w:t>
      </w:r>
      <w:r>
        <w:rPr>
          <w:rStyle w:val="VerbatimChar"/>
        </w:rPr>
        <w:t xml:space="preserve">delta_arrival_q90_min</w:t>
      </w:r>
      <w:r>
        <w:t xml:space="preserve"> </w:t>
      </w:r>
      <w:r>
        <w:t xml:space="preserve">is the 90th-percentile arrival-time difference.</w:t>
      </w:r>
      <w:r>
        <w:t xml:space="preserve"> </w:t>
      </w:r>
      <w:r>
        <w:rPr>
          <w:rStyle w:val="VerbatimChar"/>
        </w:rPr>
        <w:t xml:space="preserve">delta_prob_completion_within_window</w:t>
      </w:r>
      <w:r>
        <w:t xml:space="preserve"> </w:t>
      </w:r>
      <w:r>
        <w:t xml:space="preserve">is the difference in the probability of completion within 1,500 minutes. At</w:t>
      </w:r>
      <w:r>
        <w:t xml:space="preserve"> </w:t>
      </w:r>
      <w:r>
        <w:rPr>
          <w:rStyle w:val="VerbatimChar"/>
        </w:rPr>
        <w:t xml:space="preserve">p_fail_scale = 0.0</w:t>
      </w:r>
      <w:r>
        <w:t xml:space="preserve">, all 30 paired replications converge to identical deterministic output under CRN, so the CI width is zero. Values are rounded to one decimal (makespan, q90) or three decimals (probability).</w:t>
      </w:r>
    </w:p>
    <w:bookmarkEnd w:id="49"/>
    <w:bookmarkStart w:id="53" w:name="phase-1b-원점-강건성"/>
    <w:p>
      <w:pPr>
        <w:pStyle w:val="Heading3"/>
      </w:pPr>
      <w:r>
        <w:t xml:space="preserve">4.2 Phase 1b 원점 강건성</w:t>
      </w:r>
    </w:p>
    <w:p>
      <w:pPr>
        <w:pStyle w:val="FirstParagraph"/>
      </w:pPr>
      <w:r>
        <w:t xml:space="preserve">Origin A의 결론이 집결지 선택에 강건한지 확인하기 위해 검증된 후보 B(삼전동), C(장지역), 그리고 비검증 후보 D†(비검증, 부록 보충자료)를</w:t>
      </w:r>
      <w:r>
        <w:t xml:space="preserve"> </w:t>
      </w:r>
      <w:r>
        <w:rPr>
          <w:rStyle w:val="VerbatimChar"/>
        </w:rPr>
        <w:t xml:space="preserve">p_fail_scale ∈ {0.0, 0.5, 1.0, 1.5}</w:t>
      </w:r>
      <w:r>
        <w:t xml:space="preserve">의 4개 수준 × cell당 R = 20 (Origin A는 R = 30의 부분집합)으로 비교하였다(〈표 4〉; 시각화는 보충자료 〈그림 S1〉).</w:t>
      </w:r>
    </w:p>
    <w:p>
      <w:pPr>
        <w:pStyle w:val="BodyText"/>
      </w:pPr>
      <w:r>
        <w:rPr>
          <w:b/>
          <w:bCs/>
        </w:rPr>
        <w:t xml:space="preserve">부호 강건성.</w:t>
      </w:r>
      <w:r>
        <w:t xml:space="preserve"> </w:t>
      </w:r>
      <w:r>
        <w:t xml:space="preserve">4개 원점 × 4개</w:t>
      </w:r>
      <w:r>
        <w:t xml:space="preserve"> </w:t>
      </w:r>
      <w:r>
        <w:rPr>
          <w:rStyle w:val="VerbatimChar"/>
        </w:rPr>
        <w:t xml:space="preserve">p_fail_scale</w:t>
      </w:r>
      <w:r>
        <w:t xml:space="preserve"> </w:t>
      </w:r>
      <w:r>
        <w:t xml:space="preserve">수준 = 16 cell 모두에서 Δ penalized_makespan의 평균이 음의 부호를 유지한다. 무장애 영역에서 A는 −58.5분, B는 −57.2분, C는 −60.9분, D†는 −66.7분으로 4개 원점 간 격차는 약 10분 이내이다. 고압박 영역(</w:t>
      </w:r>
      <w:r>
        <w:rPr>
          <w:rStyle w:val="VerbatimChar"/>
        </w:rPr>
        <w:t xml:space="preserve">p_fail_scale = 1.5</w:t>
      </w:r>
      <w:r>
        <w:t xml:space="preserve">)에서는 B = −720,413분, D† = −720,410분, A = −432,259분, C = −504,291분으로 절대 크기는 원점 위치에 따라 변동하나 모든 셀의 95% CI가 0 미만에 머문다.</w:t>
      </w:r>
    </w:p>
    <w:p>
      <w:pPr>
        <w:pStyle w:val="BodyText"/>
      </w:pPr>
      <w:r>
        <w:rPr>
          <w:b/>
          <w:bCs/>
        </w:rPr>
        <w:t xml:space="preserve">원점 간 격차 폭.</w:t>
      </w:r>
      <w:r>
        <w:t xml:space="preserve"> </w:t>
      </w:r>
      <w:r>
        <w:rPr>
          <w:rStyle w:val="VerbatimChar"/>
        </w:rPr>
        <w:t xml:space="preserve">p_fail_scale = 1.5</w:t>
      </w:r>
      <w:r>
        <w:t xml:space="preserve">에서 4개 원점의 평균 Δ 분포 폭은 약</w:t>
      </w:r>
      <w:r>
        <w:t xml:space="preserve"> </w:t>
      </w:r>
      <w:r>
        <w:rPr>
          <w:b/>
          <w:bCs/>
        </w:rPr>
        <w:t xml:space="preserve">288,154분</w:t>
      </w:r>
      <w:r>
        <w:t xml:space="preserve">으로(보충자료 〈그림 S1〉)</w:t>
      </w:r>
      <w:r>
        <w:t xml:space="preserve"> </w:t>
      </w:r>
      <w:r>
        <w:rPr>
          <w:rStyle w:val="VerbatimChar"/>
        </w:rPr>
        <w:t xml:space="preserve">p_fail_scale ≤ 1.0</w:t>
      </w:r>
      <w:r>
        <w:t xml:space="preserve"> </w:t>
      </w:r>
      <w:r>
        <w:t xml:space="preserve">구간에서는 95% CI가 서로 크게 겹쳐 본문 결론이 출발지 선택에 robust함을 시사한다.</w:t>
      </w:r>
    </w:p>
    <w:p>
      <w:pPr>
        <w:pStyle w:val="BlockText"/>
      </w:pPr>
      <w:r>
        <w:rPr>
          <w:b/>
          <w:bCs/>
        </w:rPr>
        <w:t xml:space="preserve">Origin D 비검증 caveat 박스 (§4.2 anchor).</w:t>
      </w:r>
      <w:r>
        <w:t xml:space="preserve"> </w:t>
      </w:r>
      <w:r>
        <w:t xml:space="preserve">Origin D(잠실종합운동장,</w:t>
      </w:r>
      <w:r>
        <w:t xml:space="preserve"> </w:t>
      </w:r>
      <w:r>
        <w:rPr>
          <w:b/>
          <w:bCs/>
        </w:rPr>
        <w:t xml:space="preserve">비검증 / unverified</w:t>
      </w:r>
      <w:r>
        <w:t xml:space="preserve">)는 공개 자료에서 출처 검증을 통과하지 못한 후보이므로(〈표 4〉 D† 각주, 보충자료 〈그림 S1〉 빗금/링 표시) 본 절의 결론 문장은 검증된 Origin A·B·C에 한정하며 D는 robustness 점검용 참고 자료로만 보고한다. 본 caveat 박스는 §1.1, §3.5.2, §3.9 항목 2, §5.3에서 일관되게 명시되며, §4·§5 본문이 Origin D를 인용할 때마다 참조되는 단일 caveat 출처(single caveat source)로 기능한다.</w:t>
      </w:r>
    </w:p>
    <w:p>
      <w:pPr>
        <w:pStyle w:val="FirstParagraph"/>
      </w:pPr>
      <w:r>
        <w:rPr>
          <w:b/>
          <w:bCs/>
        </w:rPr>
        <w:t xml:space="preserve">Table 4.</w:t>
      </w:r>
      <w:r>
        <w:t xml:space="preserve"> </w:t>
      </w:r>
      <w:r>
        <w:t xml:space="preserve">Origin robustness: mean Δ penalized_makespan and 95% paired-t confidence intervals by origin ×</w:t>
      </w:r>
      <w:r>
        <w:t xml:space="preserve"> </w:t>
      </w:r>
      <w:r>
        <w:rPr>
          <w:rStyle w:val="VerbatimChar"/>
        </w:rPr>
        <w:t xml:space="preserve">p_fail_scale</w:t>
      </w:r>
      <w:r>
        <w:t xml:space="preserve">.</w:t>
      </w:r>
    </w:p>
    <w:p>
      <w:pPr>
        <w:pStyle w:val="BodyText"/>
      </w:pPr>
      <w:r>
        <w:drawing>
          <wp:inline>
            <wp:extent cx="6261100" cy="4365215"/>
            <wp:effectExtent b="0" l="0" r="0" t="0"/>
            <wp:docPr descr="Table 4" title="" id="51" name="Picture"/>
            <a:graphic>
              <a:graphicData uri="http://schemas.openxmlformats.org/drawingml/2006/picture">
                <pic:pic>
                  <pic:nvPicPr>
                    <pic:cNvPr descr="table_images/table4.png" id="52" name="Picture"/>
                    <pic:cNvPicPr>
                      <a:picLocks noChangeArrowheads="1" noChangeAspect="1"/>
                    </pic:cNvPicPr>
                  </pic:nvPicPr>
                  <pic:blipFill>
                    <a:blip r:embed="rId50"/>
                    <a:stretch>
                      <a:fillRect/>
                    </a:stretch>
                  </pic:blipFill>
                  <pic:spPr bwMode="auto">
                    <a:xfrm>
                      <a:off x="0" y="0"/>
                      <a:ext cx="6261100" cy="4365215"/>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Δ = bus_only − multimodal (per</w:t>
      </w:r>
      <w:r>
        <w:t xml:space="preserve"> </w:t>
      </w:r>
      <w:r>
        <w:rPr>
          <w:rStyle w:val="VerbatimChar"/>
        </w:rPr>
        <w:t xml:space="preserve">_safe_delta(left=bus, right=multi)</w:t>
      </w:r>
      <w:r>
        <w:t xml:space="preserve">; negative ⇒ bus_only has smaller penalized makespan, indicating direct-bus advantage / multimodal disadvantage). Origin A is drawn from Phase 1a (R = 30, 8</w:t>
      </w:r>
      <w:r>
        <w:t xml:space="preserve"> </w:t>
      </w:r>
      <w:r>
        <w:rPr>
          <w:rStyle w:val="VerbatimChar"/>
        </w:rPr>
        <w:t xml:space="preserve">p_fail_scale</w:t>
      </w:r>
      <w:r>
        <w:t xml:space="preserve"> </w:t>
      </w:r>
      <w:r>
        <w:t xml:space="preserve">levels) and subsetted to the four focal levels shown; Origins B and C are verified origin variants from Phase 1b (R = 20). Confidence intervals are paired-t (df = R − 1) at 95%. At</w:t>
      </w:r>
      <w:r>
        <w:t xml:space="preserve"> </w:t>
      </w:r>
      <w:r>
        <w:rPr>
          <w:rStyle w:val="VerbatimChar"/>
        </w:rPr>
        <w:t xml:space="preserve">p_fail_scale = 0.0</w:t>
      </w:r>
      <w:r>
        <w:t xml:space="preserve"> </w:t>
      </w:r>
      <w:r>
        <w:t xml:space="preserve">all replications converge to identical deterministic output under CRN, so the CI width is zero.</w:t>
      </w:r>
      <w:r>
        <w:t xml:space="preserve"> </w:t>
      </w:r>
      <w:r>
        <w:rPr>
          <w:b/>
          <w:bCs/>
        </w:rPr>
        <w:t xml:space="preserve">† Origin D is an unverified variant; per the constraint in</w:t>
      </w:r>
      <w:r>
        <w:rPr>
          <w:b/>
          <w:bCs/>
        </w:rPr>
        <w:t xml:space="preserve"> </w:t>
      </w:r>
      <w:r>
        <w:rPr>
          <w:rStyle w:val="VerbatimChar"/>
          <w:b/>
          <w:bCs/>
        </w:rPr>
        <w:t xml:space="preserve">plan.md</w:t>
      </w:r>
      <w:r>
        <w:rPr>
          <w:b/>
          <w:bCs/>
        </w:rPr>
        <w:t xml:space="preserve"> </w:t>
      </w:r>
      <w:r>
        <w:rPr>
          <w:b/>
          <w:bCs/>
        </w:rPr>
        <w:t xml:space="preserve">§4.2, Origin D results are cited for comparison only and are not foregrounded in robustness conclusions.</w:t>
      </w:r>
      <w:r>
        <w:t xml:space="preserve"> </w:t>
      </w:r>
      <w:r>
        <w:t xml:space="preserve">Values are rounded to one decimal place.</w:t>
      </w:r>
    </w:p>
    <w:bookmarkEnd w:id="53"/>
    <w:bookmarkStart w:id="57" w:name="phase-2-단일수단-매개변수-스윕-r-20"/>
    <w:p>
      <w:pPr>
        <w:pStyle w:val="Heading3"/>
      </w:pPr>
      <w:r>
        <w:t xml:space="preserve">4.3 Phase 2 단일수단 매개변수 스윕 (R = 20)</w:t>
      </w:r>
    </w:p>
    <w:p>
      <w:pPr>
        <w:pStyle w:val="FirstParagraph"/>
      </w:pPr>
      <w:r>
        <w:t xml:space="preserve">단일수단 튜닝만으로 §4.1의 격차를 해소할 수 있는지 검정하기 위해</w:t>
      </w:r>
      <w:r>
        <w:t xml:space="preserve"> </w:t>
      </w:r>
      <w:r>
        <w:rPr>
          <w:rStyle w:val="VerbatimChar"/>
        </w:rPr>
        <w:t xml:space="preserve">bus_fleet_size ∈ {15, 23, 35, 50, 80}</w:t>
      </w:r>
      <w:r>
        <w:t xml:space="preserve"> </w:t>
      </w:r>
      <w:r>
        <w:t xml:space="preserve">×</w:t>
      </w:r>
      <w:r>
        <w:t xml:space="preserve"> </w:t>
      </w:r>
      <w:r>
        <w:rPr>
          <w:rStyle w:val="VerbatimChar"/>
        </w:rPr>
        <w:t xml:space="preserve">dispatch_min ∈ {3, 5, 10}</w:t>
      </w:r>
      <w:r>
        <w:t xml:space="preserve"> </w:t>
      </w:r>
      <w:r>
        <w:t xml:space="preserve">×</w:t>
      </w:r>
      <w:r>
        <w:t xml:space="preserve"> </w:t>
      </w:r>
      <w:r>
        <w:rPr>
          <w:rStyle w:val="VerbatimChar"/>
        </w:rPr>
        <w:t xml:space="preserve">p_fail_scale ∈ {0.5, 1.0, 2.0}</w:t>
      </w:r>
      <w:r>
        <w:t xml:space="preserve">의 5 × 3 × 3 = 45 cell, cell당 R = 20 페어드 CRN 반복을 수행하였다(〈표 3〉).</w:t>
      </w:r>
    </w:p>
    <w:p>
      <w:pPr>
        <w:pStyle w:val="BodyText"/>
      </w:pPr>
      <w:r>
        <w:rPr>
          <w:b/>
          <w:bCs/>
        </w:rPr>
        <w:t xml:space="preserve">격차 해소 부재 (헤드라인).</w:t>
      </w:r>
      <w:r>
        <w:t xml:space="preserve"> </w:t>
      </w:r>
      <w:r>
        <w:t xml:space="preserve">가장 공격적인 단일수단 튜닝(</w:t>
      </w:r>
      <w:r>
        <w:rPr>
          <w:rStyle w:val="VerbatimChar"/>
        </w:rPr>
        <w:t xml:space="preserve">bus_fleet_size = 80</w:t>
      </w:r>
      <w:r>
        <w:t xml:space="preserve">,</w:t>
      </w:r>
      <w:r>
        <w:t xml:space="preserve"> </w:t>
      </w:r>
      <w:r>
        <w:rPr>
          <w:rStyle w:val="VerbatimChar"/>
        </w:rPr>
        <w:t xml:space="preserve">dispatch_min = 3</w:t>
      </w:r>
      <w:r>
        <w:t xml:space="preserve">)에서도</w:t>
      </w:r>
      <w:r>
        <w:t xml:space="preserve"> </w:t>
      </w:r>
      <w:r>
        <w:rPr>
          <w:rStyle w:val="VerbatimChar"/>
        </w:rPr>
        <w:t xml:space="preserve">p_fail_scale = 2.0</w:t>
      </w:r>
      <w:r>
        <w:t xml:space="preserve">의 Δ penalized_makespan =</w:t>
      </w:r>
      <w:r>
        <w:t xml:space="preserve"> </w:t>
      </w:r>
      <w:r>
        <w:rPr>
          <w:b/>
          <w:bCs/>
        </w:rPr>
        <w:t xml:space="preserve">−576,347.8분</w:t>
      </w:r>
      <w:r>
        <w:t xml:space="preserve"> </w:t>
      </w:r>
      <w:r>
        <w:t xml:space="preserve">(95% CI [−915,281.0, −237,414.5])으로 95% CI가 0을 제외한 채 강한 음의 부호를 유지한다. 즉 본 회랑에서 단일수단 fleet 증설·배차 단축의 한계 효과는 §4.1·§4.2의 multimodal 대비 격차를 부호 단위에서 변동시키지 못한다.</w:t>
      </w:r>
    </w:p>
    <w:p>
      <w:pPr>
        <w:pStyle w:val="BodyText"/>
      </w:pPr>
      <w:r>
        <w:rPr>
          <w:b/>
          <w:bCs/>
        </w:rPr>
        <w:t xml:space="preserve">중간 신뢰성 영역의 불확정성.</w:t>
      </w:r>
      <w:r>
        <w:t xml:space="preserve"> </w:t>
      </w:r>
      <w:r>
        <w:rPr>
          <w:rStyle w:val="VerbatimChar"/>
        </w:rPr>
        <w:t xml:space="preserve">p_fail_scale = 0.5</w:t>
      </w:r>
      <w:r>
        <w:t xml:space="preserve"> </w:t>
      </w:r>
      <w:r>
        <w:t xml:space="preserve">및</w:t>
      </w:r>
      <w:r>
        <w:t xml:space="preserve"> </w:t>
      </w:r>
      <w:r>
        <w:rPr>
          <w:rStyle w:val="VerbatimChar"/>
        </w:rPr>
        <w:t xml:space="preserve">1.0</w:t>
      </w:r>
      <w:r>
        <w:t xml:space="preserve">의 모든 튜닝셀에서 Δ의 95% CI가 0을 포함한다(예:</w:t>
      </w:r>
      <w:r>
        <w:t xml:space="preserve"> </w:t>
      </w:r>
      <w:r>
        <w:rPr>
          <w:rStyle w:val="VerbatimChar"/>
        </w:rPr>
        <w:t xml:space="preserve">p_fail = 0.5</w:t>
      </w:r>
      <w:r>
        <w:t xml:space="preserve">, fleet=80, dispatch=3에서 Δ = −72,118.8분 [−222,896.6, +78,659.0]). 이는 R = 20의 검정력 한계 하에서 단일수단과 multimodal이 중간 신뢰성 영역에서는 통계적으로 구별되지 않음을 의미하며, 부호 점추정은 여전히 일관되게 음이다.</w:t>
      </w:r>
    </w:p>
    <w:p>
      <w:pPr>
        <w:pStyle w:val="BodyText"/>
      </w:pPr>
      <w:r>
        <w:rPr>
          <w:b/>
          <w:bCs/>
        </w:rPr>
        <w:t xml:space="preserve">실용적 함의.</w:t>
      </w:r>
      <w:r>
        <w:t xml:space="preserve"> </w:t>
      </w:r>
      <w:r>
        <w:t xml:space="preserve">단일수단 fleet/dispatch 튜닝은 §4.4의 multimodal 인프라 보강이 본 회랑에서 가용한 대안일 경우에만 비교 의의를 가진다. 그러나 §4.4가 보이듯 검토된 multimodal 인프라 공간 내에서도 부호 반전 cell은 발견되지 않아, 본 회랑의 결정 변수는</w:t>
      </w:r>
      <w:r>
        <w:t xml:space="preserve"> </w:t>
      </w:r>
      <w:r>
        <w:rPr>
          <w:i/>
          <w:iCs/>
        </w:rPr>
        <w:t xml:space="preserve">모드 선택</w:t>
      </w:r>
      <w:r>
        <w:t xml:space="preserve">이 아닌</w:t>
      </w:r>
      <w:r>
        <w:t xml:space="preserve"> </w:t>
      </w:r>
      <w:r>
        <w:rPr>
          <w:i/>
          <w:iCs/>
        </w:rPr>
        <w:t xml:space="preserve">공급측 자원 모수</w:t>
      </w:r>
      <w:r>
        <w:t xml:space="preserve">(passenger_volume, direct_bus_fleet_size, dispatch_interval; §4.5 참조)임이 시사된다.</w:t>
      </w:r>
    </w:p>
    <w:p>
      <w:pPr>
        <w:pStyle w:val="BodyText"/>
      </w:pPr>
      <w:r>
        <w:rPr>
          <w:b/>
          <w:bCs/>
        </w:rPr>
        <w:t xml:space="preserve">Table 3.</w:t>
      </w:r>
      <w:r>
        <w:t xml:space="preserve"> </w:t>
      </w:r>
      <w:r>
        <w:t xml:space="preserve">Phase 2 single-mode parametric sweep: bus fleet size × dispatch interval ×</w:t>
      </w:r>
      <w:r>
        <w:t xml:space="preserve"> </w:t>
      </w:r>
      <w:r>
        <w:rPr>
          <w:rStyle w:val="VerbatimChar"/>
        </w:rPr>
        <w:t xml:space="preserve">p_fail_scale</w:t>
      </w:r>
      <w:r>
        <w:t xml:space="preserve"> </w:t>
      </w:r>
      <w:r>
        <w:t xml:space="preserve">(R = 20 paired CRN, paired-t df = 19).</w:t>
      </w:r>
    </w:p>
    <w:p>
      <w:pPr>
        <w:pStyle w:val="BodyText"/>
      </w:pPr>
      <w:r>
        <w:drawing>
          <wp:inline>
            <wp:extent cx="6261100" cy="6418188"/>
            <wp:effectExtent b="0" l="0" r="0" t="0"/>
            <wp:docPr descr="Table 3" title="" id="55" name="Picture"/>
            <a:graphic>
              <a:graphicData uri="http://schemas.openxmlformats.org/drawingml/2006/picture">
                <pic:pic>
                  <pic:nvPicPr>
                    <pic:cNvPr descr="table_images/table3.png" id="56" name="Picture"/>
                    <pic:cNvPicPr>
                      <a:picLocks noChangeArrowheads="1" noChangeAspect="1"/>
                    </pic:cNvPicPr>
                  </pic:nvPicPr>
                  <pic:blipFill>
                    <a:blip r:embed="rId54"/>
                    <a:stretch>
                      <a:fillRect/>
                    </a:stretch>
                  </pic:blipFill>
                  <pic:spPr bwMode="auto">
                    <a:xfrm>
                      <a:off x="0" y="0"/>
                      <a:ext cx="6261100" cy="6418188"/>
                    </a:xfrm>
                    <a:prstGeom prst="rect">
                      <a:avLst/>
                    </a:prstGeom>
                    <a:noFill/>
                    <a:ln w="9525">
                      <a:noFill/>
                      <a:headEnd/>
                      <a:tailEnd/>
                    </a:ln>
                  </pic:spPr>
                </pic:pic>
              </a:graphicData>
            </a:graphic>
          </wp:inline>
        </w:drawing>
      </w:r>
    </w:p>
    <w:p>
      <w:pPr>
        <w:pStyle w:val="BodyText"/>
      </w:pPr>
      <w:r>
        <w:rPr>
          <w:b/>
          <w:bCs/>
        </w:rPr>
        <w:t xml:space="preserve">Notes.</w:t>
      </w:r>
      <w:r>
        <w:t xml:space="preserve"> </w:t>
      </w:r>
      <w:r>
        <w:t xml:space="preserve">- Δ = bus_only − multimodal (per</w:t>
      </w:r>
      <w:r>
        <w:t xml:space="preserve"> </w:t>
      </w:r>
      <w:r>
        <w:rPr>
          <w:rStyle w:val="VerbatimChar"/>
        </w:rPr>
        <w:t xml:space="preserve">_safe_delta</w:t>
      </w:r>
      <w:r>
        <w:t xml:space="preserve">; negative ⇒ direct-bus advantage, positive ⇒ multimodal advantage).</w:t>
      </w:r>
      <w:r>
        <w:t xml:space="preserve"> </w:t>
      </w:r>
      <w:r>
        <w:t xml:space="preserve">- Source:</w:t>
      </w:r>
      <w:r>
        <w:t xml:space="preserve"> </w:t>
      </w:r>
      <w:r>
        <w:rPr>
          <w:rStyle w:val="VerbatimChar"/>
        </w:rPr>
        <w:t xml:space="preserve">results/phase2_singlemode.csv</w:t>
      </w:r>
      <w:r>
        <w:t xml:space="preserve">, R = 20 paired CRN, paired-t df = 19, 95% CI = mean ± t_{0.975,19} · SE.</w:t>
      </w:r>
      <w:r>
        <w:t xml:space="preserve"> </w:t>
      </w:r>
      <w:r>
        <w:t xml:space="preserve">- Units: penalized_makespan and q90 arrival-time are minutes; P(complete) is a [0, 1] proportion.</w:t>
      </w:r>
      <w:r>
        <w:t xml:space="preserve"> </w:t>
      </w:r>
      <w:r>
        <w:t xml:space="preserve">-</w:t>
      </w:r>
      <w:r>
        <w:t xml:space="preserve"> </w:t>
      </w:r>
      <w:r>
        <w:rPr>
          <w:i/>
          <w:iCs/>
        </w:rPr>
        <w:t xml:space="preserve">Key observation — single-mode fleet/dispatch tuning robustness gain</w:t>
      </w:r>
      <w:r>
        <w:t xml:space="preserve">: relative to baseline (fleet = 23, dispatch = 5), bus_penalized_makespan at fleet = 80 + dispatch = 3 decreases by 0.0% at p_fail = 0.5 (288,798.3 → 288,763.9 min), 0.0% at p_fail = 1.0 (432,878.8 → 432,848.7 min), and 0.0% at p_fail = 2.0 (721,040.1 → 721,018.6 min).</w:t>
      </w:r>
      <w:r>
        <w:t xml:space="preserve"> </w:t>
      </w:r>
      <w:r>
        <w:t xml:space="preserve">-</w:t>
      </w:r>
      <w:r>
        <w:t xml:space="preserve"> </w:t>
      </w:r>
      <w:r>
        <w:rPr>
          <w:i/>
          <w:iCs/>
        </w:rPr>
        <w:t xml:space="preserve">Gap-closing test (confirm / refute)</w:t>
      </w:r>
      <w:r>
        <w:t xml:space="preserve">: the most aggressive tuning cell (fleet = 80, dispatch = 3) yields Δ = −72,118.8 min [−222,896.6, 78,659.0] at p_fail = 0.5 (direct-bus advantage, 95% CI includes 0); Δ = −216,182.8 min [−463,212.9, 30,847.3] at p_fail = 1.0 (direct-bus advantage, 95% CI includes 0); and Δ = −576,347.8 min [−915,281.0, −237,414.5] at p_fail = 2.0 (direct-bus advantage, 95% CI excludes 0). Conclusion: gap-closure is observed only at some</w:t>
      </w:r>
      <w:r>
        <w:t xml:space="preserve"> </w:t>
      </w:r>
      <w:r>
        <w:rPr>
          <w:rStyle w:val="VerbatimChar"/>
        </w:rPr>
        <w:t xml:space="preserve">p_fail</w:t>
      </w:r>
      <w:r>
        <w:t xml:space="preserve"> </w:t>
      </w:r>
      <w:r>
        <w:t xml:space="preserve">levels — single-mode tuning effects are reliability-dependent (partial confirm).</w:t>
      </w:r>
    </w:p>
    <w:bookmarkEnd w:id="57"/>
    <w:bookmarkStart w:id="64" w:name="phase-3-반사실-레버-스윕-헤드라인"/>
    <w:p>
      <w:pPr>
        <w:pStyle w:val="Heading3"/>
      </w:pPr>
      <w:r>
        <w:t xml:space="preserve">4.4 Phase 3 반사실 레버 스윕 (헤드라인)</w:t>
      </w:r>
    </w:p>
    <w:p>
      <w:pPr>
        <w:pStyle w:val="FirstParagraph"/>
      </w:pPr>
      <w:r>
        <w:t xml:space="preserve">multimodal 인프라 보강 공간 내에서 mode-switch가 가능한 cell이 존재하는지 확인하기 위해</w:t>
      </w:r>
      <w:r>
        <w:t xml:space="preserve"> </w:t>
      </w:r>
      <w:r>
        <w:rPr>
          <w:rStyle w:val="VerbatimChar"/>
        </w:rPr>
        <w:t xml:space="preserve">rail_headway_min ∈ {3, 7.5, 15}</w:t>
      </w:r>
      <w:r>
        <w:t xml:space="preserve"> </w:t>
      </w:r>
      <w:r>
        <w:t xml:space="preserve">×</w:t>
      </w:r>
      <w:r>
        <w:t xml:space="preserve"> </w:t>
      </w:r>
      <w:r>
        <w:rPr>
          <w:rStyle w:val="VerbatimChar"/>
        </w:rPr>
        <w:t xml:space="preserve">lastmile_fleet_size ∈ {23, 50, 100}</w:t>
      </w:r>
      <w:r>
        <w:t xml:space="preserve"> </w:t>
      </w:r>
      <w:r>
        <w:t xml:space="preserve">×</w:t>
      </w:r>
      <w:r>
        <w:t xml:space="preserve"> </w:t>
      </w:r>
      <w:r>
        <w:rPr>
          <w:rStyle w:val="VerbatimChar"/>
        </w:rPr>
        <w:t xml:space="preserve">rail_capacity_pax_per_train ∈ {500, 1000, 2000}</w:t>
      </w:r>
      <w:r>
        <w:t xml:space="preserve"> </w:t>
      </w:r>
      <w:r>
        <w:t xml:space="preserve">×</w:t>
      </w:r>
      <w:r>
        <w:t xml:space="preserve"> </w:t>
      </w:r>
      <w:r>
        <w:rPr>
          <w:rStyle w:val="VerbatimChar"/>
        </w:rPr>
        <w:t xml:space="preserve">p_fail_scale ∈ {0.5, 1.0, 1.5}</w:t>
      </w:r>
      <w:r>
        <w:t xml:space="preserve">의 3⁴ =</w:t>
      </w:r>
      <w:r>
        <w:t xml:space="preserve"> </w:t>
      </w:r>
      <w:r>
        <w:rPr>
          <w:b/>
          <w:bCs/>
        </w:rPr>
        <w:t xml:space="preserve">81 cell</w:t>
      </w:r>
      <w:r>
        <w:t xml:space="preserve">, cell당 R = 15 페어드 CRN 반복으로 반사실 레버 스윕을 실행하였다(〈그림 6〉, 〈표 6〉,</w:t>
      </w:r>
      <w:r>
        <w:t xml:space="preserve"> </w:t>
      </w:r>
      <w:r>
        <w:rPr>
          <w:rStyle w:val="VerbatimChar"/>
        </w:rPr>
        <w:t xml:space="preserve">table6_lever_conditions_summary.json</w:t>
      </w:r>
      <w:r>
        <w:t xml:space="preserve">).</w:t>
      </w:r>
    </w:p>
    <w:p>
      <w:pPr>
        <w:pStyle w:val="BodyText"/>
      </w:pPr>
      <w:r>
        <w:rPr>
          <w:b/>
          <w:bCs/>
        </w:rPr>
        <w:t xml:space="preserve">헤드라인 — multi_dominant cell의 부재.</w:t>
      </w:r>
      <w:r>
        <w:t xml:space="preserve"> </w:t>
      </w:r>
      <w:r>
        <w:t xml:space="preserve">81 cell 중</w:t>
      </w:r>
      <w:r>
        <w:t xml:space="preserve"> </w:t>
      </w:r>
      <w:r>
        <w:rPr>
          <w:b/>
          <w:bCs/>
        </w:rPr>
        <w:t xml:space="preserve">0 cell</w:t>
      </w:r>
      <w:r>
        <w:t xml:space="preserve">이</w:t>
      </w:r>
      <w:r>
        <w:t xml:space="preserve"> </w:t>
      </w:r>
      <w:r>
        <w:rPr>
          <w:rStyle w:val="VerbatimChar"/>
        </w:rPr>
        <w:t xml:space="preserve">multi_dominant</w:t>
      </w:r>
      <w:r>
        <w:t xml:space="preserve"> </w:t>
      </w:r>
      <w:r>
        <w:t xml:space="preserve">(Δ의 95% CI 하한 &gt; 0)로 분류된다. 분류 분포는</w:t>
      </w:r>
      <w:r>
        <w:t xml:space="preserve"> </w:t>
      </w:r>
      <w:r>
        <w:rPr>
          <w:rStyle w:val="VerbatimChar"/>
        </w:rPr>
        <w:t xml:space="preserve">bus_dominant</w:t>
      </w:r>
      <w:r>
        <w:t xml:space="preserve"> </w:t>
      </w:r>
      <w:r>
        <w:t xml:space="preserve">54 cell,</w:t>
      </w:r>
      <w:r>
        <w:t xml:space="preserve"> </w:t>
      </w:r>
      <w:r>
        <w:rPr>
          <w:rStyle w:val="VerbatimChar"/>
        </w:rPr>
        <w:t xml:space="preserve">inconclusive</w:t>
      </w:r>
      <w:r>
        <w:t xml:space="preserve"> </w:t>
      </w:r>
      <w:r>
        <w:t xml:space="preserve">27 cell,</w:t>
      </w:r>
      <w:r>
        <w:t xml:space="preserve"> </w:t>
      </w:r>
      <w:r>
        <w:rPr>
          <w:rStyle w:val="VerbatimChar"/>
        </w:rPr>
        <w:t xml:space="preserve">multi_dominant</w:t>
      </w:r>
      <w:r>
        <w:t xml:space="preserve"> </w:t>
      </w:r>
      <w:r>
        <w:t xml:space="preserve">0 cell이다. 즉 본 연구가 검토한 인프라 레버 공간 내에서 multimodal을 직행버스보다 통계적으로 유의하게 우월하게 만드는 조건은 발견되지 않는다.</w:t>
      </w:r>
    </w:p>
    <w:p>
      <w:pPr>
        <w:pStyle w:val="BodyText"/>
      </w:pPr>
      <w:r>
        <w:rPr>
          <w:b/>
          <w:bCs/>
        </w:rPr>
        <w:t xml:space="preserve">부호 반전에 가장 근접한 cell.</w:t>
      </w:r>
      <w:r>
        <w:t xml:space="preserve"> </w:t>
      </w:r>
      <w:r>
        <w:t xml:space="preserve">평균 Δ의 절대값이 가장 작은 cell은</w:t>
      </w:r>
      <w:r>
        <w:t xml:space="preserve"> </w:t>
      </w:r>
      <w:r>
        <w:rPr>
          <w:rStyle w:val="VerbatimChar"/>
        </w:rPr>
        <w:t xml:space="preserve">rail_headway = 3분, lastmile_fleet = 23, rail_capacity = 500, p_fail_scale = 0.5</w:t>
      </w:r>
      <w:r>
        <w:t xml:space="preserve">로 Δ penalized_makespan =</w:t>
      </w:r>
      <w:r>
        <w:t xml:space="preserve"> </w:t>
      </w:r>
      <w:r>
        <w:rPr>
          <w:b/>
          <w:bCs/>
        </w:rPr>
        <w:t xml:space="preserve">−39.3분</w:t>
      </w:r>
      <w:r>
        <w:t xml:space="preserve"> </w:t>
      </w:r>
      <w:r>
        <w:t xml:space="preserve">(95% CI [−50.7, −28.0])이며, 분류는 여전히</w:t>
      </w:r>
      <w:r>
        <w:t xml:space="preserve"> </w:t>
      </w:r>
      <w:r>
        <w:rPr>
          <w:rStyle w:val="VerbatimChar"/>
        </w:rPr>
        <w:t xml:space="preserve">bus_dominant</w:t>
      </w:r>
      <w:r>
        <w:t xml:space="preserve">이다(</w:t>
      </w:r>
      <w:r>
        <w:rPr>
          <w:rStyle w:val="VerbatimChar"/>
        </w:rPr>
        <w:t xml:space="preserve">narrowest_gap_cell</w:t>
      </w:r>
      <w:r>
        <w:t xml:space="preserve">, R = 15). 본 cell은 검토된 가장 공격적인 철도 배차(3분 headway)와 함께 가장 낮은 disruption 수준(p_fail = 0.5)을 결합하였음에도 직행버스 우위가 유지됨을 보인다.</w:t>
      </w:r>
    </w:p>
    <w:p>
      <w:pPr>
        <w:pStyle w:val="BodyText"/>
      </w:pPr>
      <w:r>
        <w:rPr>
          <w:rStyle w:val="VerbatimChar"/>
          <w:b/>
          <w:bCs/>
        </w:rPr>
        <w:t xml:space="preserve">p_fail = 1.5</w:t>
      </w:r>
      <w:r>
        <w:rPr>
          <w:b/>
          <w:bCs/>
        </w:rPr>
        <w:t xml:space="preserve">에서의 inconclusive 영역.</w:t>
      </w:r>
      <w:r>
        <w:t xml:space="preserve"> </w:t>
      </w:r>
      <w:r>
        <w:t xml:space="preserve">〈표 6〉이 보고하는 5개 inconclusive cell은 모두</w:t>
      </w:r>
      <w:r>
        <w:t xml:space="preserve"> </w:t>
      </w:r>
      <w:r>
        <w:rPr>
          <w:rStyle w:val="VerbatimChar"/>
        </w:rPr>
        <w:t xml:space="preserve">rail_headway = 3분, p_fail_scale = 1.5</w:t>
      </w:r>
      <w:r>
        <w:t xml:space="preserve">에 위치하며 평균 Δ = −192,127.9분 (95% CI [−472,873.2, +88,617.4])로 95% CI가 0을 포함한다. 점추정 부호는 여전히 음이며, R = 15의 검정력 한계가 통계적 비유의의 직접 원인으로 추정된다.</w:t>
      </w:r>
    </w:p>
    <w:p>
      <w:pPr>
        <w:pStyle w:val="BodyText"/>
      </w:pPr>
      <w:r>
        <w:rPr>
          <w:b/>
          <w:bCs/>
        </w:rPr>
        <w:t xml:space="preserve">v0.7의 핵심 기여.</w:t>
      </w:r>
      <w:r>
        <w:t xml:space="preserve"> </w:t>
      </w:r>
      <w:r>
        <w:t xml:space="preserve">〈그림 6〉의 3 패널 발산형 히트맵은 (rail_headway × lastmile_fleet) 단면을 rail_capacity 수준별로 보임으로써, 검토된 가장 공격적인 인프라 개입(3분 headway × 4배 last-mile fleet × 4배 철도 용량)에서도 multimodal 우위 cell이 발견되지 않는다는</w:t>
      </w:r>
      <w:r>
        <w:t xml:space="preserve"> </w:t>
      </w:r>
      <w:r>
        <w:rPr>
          <w:i/>
          <w:iCs/>
        </w:rPr>
        <w:t xml:space="preserve">조건부 부재(conditional null)</w:t>
      </w:r>
      <w:r>
        <w:t xml:space="preserve"> </w:t>
      </w:r>
      <w:r>
        <w:t xml:space="preserve">를 명시한다.</w:t>
      </w:r>
    </w:p>
    <w:p>
      <w:pPr>
        <w:pStyle w:val="BodyText"/>
      </w:pPr>
      <w:r>
        <w:drawing>
          <wp:inline>
            <wp:extent cx="6261100" cy="2454042"/>
            <wp:effectExtent b="0" l="0" r="0" t="0"/>
            <wp:docPr descr="그림 6" title="" id="59" name="Picture"/>
            <a:graphic>
              <a:graphicData uri="http://schemas.openxmlformats.org/drawingml/2006/picture">
                <pic:pic>
                  <pic:nvPicPr>
                    <pic:cNvPr descr="figures/figure6_phase3_lever_en.png" id="60" name="Picture"/>
                    <pic:cNvPicPr>
                      <a:picLocks noChangeArrowheads="1" noChangeAspect="1"/>
                    </pic:cNvPicPr>
                  </pic:nvPicPr>
                  <pic:blipFill>
                    <a:blip r:embed="rId58"/>
                    <a:stretch>
                      <a:fillRect/>
                    </a:stretch>
                  </pic:blipFill>
                  <pic:spPr bwMode="auto">
                    <a:xfrm>
                      <a:off x="0" y="0"/>
                      <a:ext cx="6261100" cy="2454042"/>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Phase 3 counterfactual lever sweep — Δ penalized_makespan at</w:t>
      </w:r>
      <w:r>
        <w:t xml:space="preserve"> </w:t>
      </w:r>
      <w:r>
        <w:rPr>
          <w:rStyle w:val="VerbatimChar"/>
        </w:rPr>
        <w:t xml:space="preserve">p_fail_scale = 1.5</w:t>
      </w:r>
      <w:r>
        <w:t xml:space="preserve"> </w:t>
      </w:r>
      <w:r>
        <w:t xml:space="preserve">(headline figure).</w:t>
      </w:r>
    </w:p>
    <w:p>
      <w:pPr>
        <w:pStyle w:val="BodyText"/>
      </w:pPr>
      <w:r>
        <w:rPr>
          <w:b/>
          <w:bCs/>
        </w:rPr>
        <w:t xml:space="preserve">Panel structure.</w:t>
      </w:r>
      <w:r>
        <w:t xml:space="preserve"> </w:t>
      </w:r>
      <w:r>
        <w:t xml:space="preserve">The Phase 3 counterfactual grid (3 × 3 × 3 × 3 = 81 cells, R = 15 paired CRN replications per cell) is rendered as a three-panel diverging heatmap at the disruption-stress level</w:t>
      </w:r>
      <w:r>
        <w:t xml:space="preserve"> </w:t>
      </w:r>
      <w:r>
        <w:rPr>
          <w:rStyle w:val="VerbatimChar"/>
        </w:rPr>
        <w:t xml:space="preserve">p_fail_scale = 1.5</w:t>
      </w:r>
      <w:r>
        <w:t xml:space="preserve">. The three panels correspond, left to right, to</w:t>
      </w:r>
      <w:r>
        <w:t xml:space="preserve"> </w:t>
      </w:r>
      <w:r>
        <w:rPr>
          <w:rStyle w:val="VerbatimChar"/>
        </w:rPr>
        <w:t xml:space="preserve">rail_capacity_pax_per_train ∈ {500, 1000, 2000}</w:t>
      </w:r>
      <w:r>
        <w:t xml:space="preserve">. Within each panel, the Y-axis is</w:t>
      </w:r>
      <w:r>
        <w:t xml:space="preserve"> </w:t>
      </w:r>
      <w:r>
        <w:rPr>
          <w:rStyle w:val="VerbatimChar"/>
        </w:rPr>
        <w:t xml:space="preserve">rail_headway_min (min) ∈ {15, 7.5, 3}</w:t>
      </w:r>
      <w:r>
        <w:t xml:space="preserve"> </w:t>
      </w:r>
      <w:r>
        <w:t xml:space="preserve">(top → bottom) and the X-axis is</w:t>
      </w:r>
      <w:r>
        <w:t xml:space="preserve"> </w:t>
      </w:r>
      <w:r>
        <w:rPr>
          <w:rStyle w:val="VerbatimChar"/>
        </w:rPr>
        <w:t xml:space="preserve">lastmile_fleet_size ∈ {23, 50, 100}</w:t>
      </w:r>
      <w:r>
        <w:t xml:space="preserve"> </w:t>
      </w:r>
      <w:r>
        <w:t xml:space="preserve">(left → right). Cell color uses the</w:t>
      </w:r>
      <w:r>
        <w:t xml:space="preserve"> </w:t>
      </w:r>
      <w:r>
        <w:rPr>
          <w:rStyle w:val="VerbatimChar"/>
        </w:rPr>
        <w:t xml:space="preserve">RdBu_r</w:t>
      </w:r>
      <w:r>
        <w:t xml:space="preserve"> </w:t>
      </w:r>
      <w:r>
        <w:t xml:space="preserve">colormap diverging from zero: blue (Δ &lt; 0) indicates direct-bus advantage, red (Δ &gt; 0) indicates multimodal advantage.</w:t>
      </w:r>
    </w:p>
    <w:p>
      <w:pPr>
        <w:pStyle w:val="BodyText"/>
      </w:pPr>
      <w:r>
        <w:rPr>
          <w:b/>
          <w:bCs/>
        </w:rPr>
        <w:t xml:space="preserve">Headline reading.</w:t>
      </w:r>
      <w:r>
        <w:t xml:space="preserve"> </w:t>
      </w:r>
      <w:r>
        <w:t xml:space="preserve">At the base setting (rail_headway = 15 min, lastmile = 23, rail_capacity = 500), Δ &lt; 0 (bus dominance). The headline question is whether any cell shows Δ ≥ 0 (sign reversal to multimodal dominance). The</w:t>
      </w:r>
      <w:r>
        <w:t xml:space="preserve"> </w:t>
      </w:r>
      <w:r>
        <w:rPr>
          <w:rStyle w:val="VerbatimChar"/>
        </w:rPr>
        <w:t xml:space="preserve">✕</w:t>
      </w:r>
      <w:r>
        <w:t xml:space="preserve"> </w:t>
      </w:r>
      <w:r>
        <w:t xml:space="preserve">marker tags cells whose 95% paired-t CI crosses zero (sign-reversal candidates).</w:t>
      </w:r>
    </w:p>
    <w:p>
      <w:pPr>
        <w:pStyle w:val="BodyText"/>
      </w:pPr>
      <w:r>
        <w:rPr>
          <w:b/>
          <w:bCs/>
        </w:rPr>
        <w:t xml:space="preserve">Key figures.</w:t>
      </w:r>
      <w:r>
        <w:t xml:space="preserve"> </w:t>
      </w:r>
      <w:r>
        <w:t xml:space="preserve">Across the full 81 cells, classification yields 54 bus_dominant, 27 inconclusive, and</w:t>
      </w:r>
      <w:r>
        <w:t xml:space="preserve"> </w:t>
      </w:r>
      <w:r>
        <w:rPr>
          <w:b/>
          <w:bCs/>
        </w:rPr>
        <w:t xml:space="preserve">0 multi_dominant</w:t>
      </w:r>
      <w:r>
        <w:t xml:space="preserve">: no multimodal-dominant cell is found within the surveyed infrastructure-lever space. The cell closest to sign reversal is</w:t>
      </w:r>
      <w:r>
        <w:t xml:space="preserve"> </w:t>
      </w:r>
      <w:r>
        <w:rPr>
          <w:rStyle w:val="VerbatimChar"/>
        </w:rPr>
        <w:t xml:space="preserve">rail_headway = 3 min, lastmile_fleet = 23, rail_capacity = 500, p_fail_scale = 0.5</w:t>
      </w:r>
      <w:r>
        <w:t xml:space="preserve"> </w:t>
      </w:r>
      <w:r>
        <w:t xml:space="preserve">with mean Δ penalized_makespan =</w:t>
      </w:r>
      <w:r>
        <w:t xml:space="preserve"> </w:t>
      </w:r>
      <w:r>
        <w:rPr>
          <w:b/>
          <w:bCs/>
        </w:rPr>
        <w:t xml:space="preserve">−39.3 min</w:t>
      </w:r>
      <w:r>
        <w:t xml:space="preserve"> </w:t>
      </w:r>
      <w:r>
        <w:t xml:space="preserve">(95% CI [−50.7, −28.0]); it remains bus_dominant.</w:t>
      </w:r>
    </w:p>
    <w:p>
      <w:pPr>
        <w:pStyle w:val="BodyText"/>
      </w:pPr>
      <w:r>
        <w:rPr>
          <w:b/>
          <w:bCs/>
        </w:rPr>
        <w:t xml:space="preserve">Notes.</w:t>
      </w:r>
      <w:r>
        <w:t xml:space="preserve"> </w:t>
      </w:r>
      <w:r>
        <w:t xml:space="preserve">Sidecar statistics (per-cell mean, 95% CI, classification labels) are in</w:t>
      </w:r>
      <w:r>
        <w:t xml:space="preserve"> </w:t>
      </w:r>
      <w:r>
        <w:rPr>
          <w:rStyle w:val="VerbatimChar"/>
        </w:rPr>
        <w:t xml:space="preserve">manuscript/tables/table6_lever_conditions.md</w:t>
      </w:r>
      <w:r>
        <w:t xml:space="preserve"> </w:t>
      </w:r>
      <w:r>
        <w:t xml:space="preserve">and</w:t>
      </w:r>
      <w:r>
        <w:t xml:space="preserve"> </w:t>
      </w:r>
      <w:r>
        <w:rPr>
          <w:rStyle w:val="VerbatimChar"/>
        </w:rPr>
        <w:t xml:space="preserve">manuscript/tables/table6_lever_conditions_summary.json</w:t>
      </w:r>
      <w:r>
        <w:t xml:space="preserve">. Confidence intervals are paired-t (df = R − 1 = 14); non-finite values (±inf) are removed prior to mean and CI computation.</w:t>
      </w:r>
    </w:p>
    <w:p>
      <w:pPr>
        <w:pStyle w:val="BodyText"/>
      </w:pPr>
      <w:r>
        <w:rPr>
          <w:b/>
          <w:bCs/>
        </w:rPr>
        <w:t xml:space="preserve">Table 6.</w:t>
      </w:r>
      <w:r>
        <w:t xml:space="preserve"> </w:t>
      </w:r>
      <w:r>
        <w:t xml:space="preserve">Counterfactual lever cells where multimodal is favored — or, where none exist, cells nearest sign reversal.</w:t>
      </w:r>
    </w:p>
    <w:p>
      <w:pPr>
        <w:pStyle w:val="BodyText"/>
      </w:pPr>
      <w:r>
        <w:rPr>
          <w:i/>
          <w:iCs/>
        </w:rPr>
        <w:t xml:space="preserve">Note.</w:t>
      </w:r>
      <w:r>
        <w:t xml:space="preserve"> </w:t>
      </w:r>
      <w:r>
        <w:t xml:space="preserve">This table lists the counterfactual lever conditions under which multimodal becomes statistically superior to single-mode (or, failing that, the cells nearest to sign reversal). An empty subset means no cell decisively favors multimodal.</w:t>
      </w:r>
    </w:p>
    <w:p>
      <w:pPr>
        <w:pStyle w:val="BodyText"/>
      </w:pPr>
      <w:r>
        <w:t xml:space="preserve">Total cells:</w:t>
      </w:r>
      <w:r>
        <w:t xml:space="preserve"> </w:t>
      </w:r>
      <w:r>
        <w:rPr>
          <w:b/>
          <w:bCs/>
        </w:rPr>
        <w:t xml:space="preserve">81</w:t>
      </w:r>
      <w:r>
        <w:t xml:space="preserve"> </w:t>
      </w:r>
      <w:r>
        <w:t xml:space="preserve">| bus_dominant:</w:t>
      </w:r>
      <w:r>
        <w:t xml:space="preserve"> </w:t>
      </w:r>
      <w:r>
        <w:rPr>
          <w:b/>
          <w:bCs/>
        </w:rPr>
        <w:t xml:space="preserve">54</w:t>
      </w:r>
      <w:r>
        <w:t xml:space="preserve"> </w:t>
      </w:r>
      <w:r>
        <w:t xml:space="preserve">| inconclusive:</w:t>
      </w:r>
      <w:r>
        <w:t xml:space="preserve"> </w:t>
      </w:r>
      <w:r>
        <w:rPr>
          <w:b/>
          <w:bCs/>
        </w:rPr>
        <w:t xml:space="preserve">27</w:t>
      </w:r>
      <w:r>
        <w:t xml:space="preserve"> </w:t>
      </w:r>
      <w:r>
        <w:t xml:space="preserve">| multi_dominant:</w:t>
      </w:r>
      <w:r>
        <w:t xml:space="preserve"> </w:t>
      </w:r>
      <w:r>
        <w:rPr>
          <w:b/>
          <w:bCs/>
        </w:rPr>
        <w:t xml:space="preserve">0</w:t>
      </w:r>
    </w:p>
    <w:p>
      <w:pPr>
        <w:pStyle w:val="BodyText"/>
      </w:pPr>
      <w:r>
        <w:rPr>
          <w:i/>
          <w:iCs/>
        </w:rPr>
        <w:t xml:space="preserve">Remark.</w:t>
      </w:r>
      <w:r>
        <w:t xml:space="preserve"> </w:t>
      </w:r>
      <w:r>
        <w:t xml:space="preserve">Because no multi_dominant cells were observed, the five cells closest to sign reversal (minimum |mean Δ| / CI half-width) are listed instead.</w:t>
      </w:r>
    </w:p>
    <w:p>
      <w:pPr>
        <w:pStyle w:val="BodyText"/>
      </w:pPr>
      <w:r>
        <w:drawing>
          <wp:inline>
            <wp:extent cx="6261100" cy="1032296"/>
            <wp:effectExtent b="0" l="0" r="0" t="0"/>
            <wp:docPr descr="Table 6" title="" id="62" name="Picture"/>
            <a:graphic>
              <a:graphicData uri="http://schemas.openxmlformats.org/drawingml/2006/picture">
                <pic:pic>
                  <pic:nvPicPr>
                    <pic:cNvPr descr="table_images/table6.png" id="63" name="Picture"/>
                    <pic:cNvPicPr>
                      <a:picLocks noChangeArrowheads="1" noChangeAspect="1"/>
                    </pic:cNvPicPr>
                  </pic:nvPicPr>
                  <pic:blipFill>
                    <a:blip r:embed="rId61"/>
                    <a:stretch>
                      <a:fillRect/>
                    </a:stretch>
                  </pic:blipFill>
                  <pic:spPr bwMode="auto">
                    <a:xfrm>
                      <a:off x="0" y="0"/>
                      <a:ext cx="6261100" cy="1032296"/>
                    </a:xfrm>
                    <a:prstGeom prst="rect">
                      <a:avLst/>
                    </a:prstGeom>
                    <a:noFill/>
                    <a:ln w="9525">
                      <a:noFill/>
                      <a:headEnd/>
                      <a:tailEnd/>
                    </a:ln>
                  </pic:spPr>
                </pic:pic>
              </a:graphicData>
            </a:graphic>
          </wp:inline>
        </w:drawing>
      </w:r>
    </w:p>
    <w:p>
      <w:pPr>
        <w:pStyle w:val="BodyText"/>
      </w:pPr>
      <w:r>
        <w:rPr>
          <w:i/>
          <w:iCs/>
        </w:rPr>
        <w:t xml:space="preserve">Interpretation.</w:t>
      </w:r>
      <w:r>
        <w:t xml:space="preserve"> </w:t>
      </w:r>
      <w:r>
        <w:t xml:space="preserve">Δ = bus_only − multimodal (negative ⇒ direct-bus advantage / multimodal disadvantage; positive ⇒ multimodal advantage). Classification is by 95% paired-t CI on penalized_makespan (df = R − 1 = 14):</w:t>
      </w:r>
      <w:r>
        <w:t xml:space="preserve"> </w:t>
      </w:r>
      <w:r>
        <w:rPr>
          <w:rStyle w:val="VerbatimChar"/>
        </w:rPr>
        <w:t xml:space="preserve">bus_dominant</w:t>
      </w:r>
      <w:r>
        <w:t xml:space="preserve"> </w:t>
      </w:r>
      <w:r>
        <w:t xml:space="preserve">(CI upper &lt; 0),</w:t>
      </w:r>
      <w:r>
        <w:t xml:space="preserve"> </w:t>
      </w:r>
      <w:r>
        <w:rPr>
          <w:rStyle w:val="VerbatimChar"/>
        </w:rPr>
        <w:t xml:space="preserve">multi_dominant</w:t>
      </w:r>
      <w:r>
        <w:t xml:space="preserve"> </w:t>
      </w:r>
      <w:r>
        <w:t xml:space="preserve">(CI lower &gt; 0),</w:t>
      </w:r>
      <w:r>
        <w:t xml:space="preserve"> </w:t>
      </w:r>
      <w:r>
        <w:rPr>
          <w:rStyle w:val="VerbatimChar"/>
        </w:rPr>
        <w:t xml:space="preserve">inconclusive</w:t>
      </w:r>
      <w:r>
        <w:t xml:space="preserve"> </w:t>
      </w:r>
      <w:r>
        <w:t xml:space="preserve">(CI contains 0).</w:t>
      </w:r>
    </w:p>
    <w:bookmarkEnd w:id="64"/>
    <w:bookmarkStart w:id="68" w:name="morris-전역-민감도-분석"/>
    <w:p>
      <w:pPr>
        <w:pStyle w:val="Heading3"/>
      </w:pPr>
      <w:r>
        <w:t xml:space="preserve">4.5 Morris 전역 민감도 분석</w:t>
      </w:r>
    </w:p>
    <w:p>
      <w:pPr>
        <w:pStyle w:val="FirstParagraph"/>
      </w:pPr>
      <w:r>
        <w:t xml:space="preserve">Morris elementary-effects 분석은 §3.7의 14개 매개변수에 대해 T = 100 궤적, L = 4 수준 설계로 (k + 1) × T =</w:t>
      </w:r>
      <w:r>
        <w:t xml:space="preserve"> </w:t>
      </w:r>
      <w:r>
        <w:rPr>
          <w:b/>
          <w:bCs/>
        </w:rPr>
        <w:t xml:space="preserve">1,500 모델 평가</w:t>
      </w:r>
      <w:r>
        <w:t xml:space="preserve">를 수행하였다. 본 절의 인용 수치는</w:t>
      </w:r>
      <w:r>
        <w:t xml:space="preserve"> </w:t>
      </w:r>
      <w:r>
        <w:rPr>
          <w:rStyle w:val="VerbatimChar"/>
        </w:rPr>
        <w:t xml:space="preserve">manuscript/sections/canonical_morris_top3.md</w:t>
      </w:r>
      <w:r>
        <w:t xml:space="preserve"> </w:t>
      </w:r>
      <w:r>
        <w:t xml:space="preserve">(단일 출처)와 〈표 5〉에서 그대로 가져왔으며,</w:t>
      </w:r>
      <w:r>
        <w:t xml:space="preserve"> </w:t>
      </w:r>
      <w:r>
        <w:rPr>
          <w:rStyle w:val="VerbatimChar"/>
        </w:rPr>
        <w:t xml:space="preserve">morris_summary.csv</w:t>
      </w:r>
      <w:r>
        <w:t xml:space="preserve">의 독립 재집계를 수행하지 않는다.</w:t>
      </w:r>
    </w:p>
    <w:p>
      <w:pPr>
        <w:pStyle w:val="BodyText"/>
      </w:pPr>
      <w:r>
        <w:rPr>
          <w:b/>
          <w:bCs/>
        </w:rPr>
        <w:t xml:space="preserve">정전 평균 μ* 상위 3개.</w:t>
      </w:r>
      <w:r>
        <w:t xml:space="preserve"> </w:t>
      </w:r>
      <w:r>
        <w:t xml:space="preserve">7개 metric × 2 policy × 2 scenario = 28 블록을 평균한 정전(canonical) μ* 순위는 다음과 같다.</w:t>
      </w:r>
    </w:p>
    <w:p>
      <w:pPr>
        <w:pStyle w:val="Compact"/>
        <w:numPr>
          <w:ilvl w:val="0"/>
          <w:numId w:val="1003"/>
        </w:numPr>
      </w:pPr>
      <w:r>
        <w:rPr>
          <w:rStyle w:val="VerbatimChar"/>
        </w:rPr>
        <w:t xml:space="preserve">passenger_volume</w:t>
      </w:r>
      <w:r>
        <w:t xml:space="preserve"> </w:t>
      </w:r>
      <w:r>
        <w:t xml:space="preserve">— μ* =</w:t>
      </w:r>
      <w:r>
        <w:t xml:space="preserve"> </w:t>
      </w:r>
      <w:r>
        <w:rPr>
          <w:b/>
          <w:bCs/>
        </w:rPr>
        <w:t xml:space="preserve">44.5</w:t>
      </w:r>
    </w:p>
    <w:p>
      <w:pPr>
        <w:pStyle w:val="Compact"/>
        <w:numPr>
          <w:ilvl w:val="0"/>
          <w:numId w:val="1003"/>
        </w:numPr>
      </w:pPr>
      <w:r>
        <w:rPr>
          <w:rStyle w:val="VerbatimChar"/>
        </w:rPr>
        <w:t xml:space="preserve">direct_bus_fleet_size</w:t>
      </w:r>
      <w:r>
        <w:t xml:space="preserve"> </w:t>
      </w:r>
      <w:r>
        <w:t xml:space="preserve">— μ* =</w:t>
      </w:r>
      <w:r>
        <w:t xml:space="preserve"> </w:t>
      </w:r>
      <w:r>
        <w:rPr>
          <w:b/>
          <w:bCs/>
        </w:rPr>
        <w:t xml:space="preserve">27.4</w:t>
      </w:r>
    </w:p>
    <w:p>
      <w:pPr>
        <w:pStyle w:val="Compact"/>
        <w:numPr>
          <w:ilvl w:val="0"/>
          <w:numId w:val="1003"/>
        </w:numPr>
      </w:pPr>
      <w:r>
        <w:rPr>
          <w:rStyle w:val="VerbatimChar"/>
        </w:rPr>
        <w:t xml:space="preserve">dispatch_interval</w:t>
      </w:r>
      <w:r>
        <w:t xml:space="preserve"> </w:t>
      </w:r>
      <w:r>
        <w:t xml:space="preserve">— μ* =</w:t>
      </w:r>
      <w:r>
        <w:t xml:space="preserve"> </w:t>
      </w:r>
      <w:r>
        <w:rPr>
          <w:b/>
          <w:bCs/>
        </w:rPr>
        <w:t xml:space="preserve">20.8</w:t>
      </w:r>
    </w:p>
    <w:p>
      <w:pPr>
        <w:pStyle w:val="FirstParagraph"/>
      </w:pPr>
      <w:r>
        <w:t xml:space="preserve">(전 14개 파라미터 순위는 〈표 5〉 참조.)</w:t>
      </w:r>
    </w:p>
    <w:p>
      <w:pPr>
        <w:pStyle w:val="BodyText"/>
      </w:pPr>
      <w:r>
        <w:rPr>
          <w:b/>
          <w:bCs/>
        </w:rPr>
        <w:t xml:space="preserve">해석.</w:t>
      </w:r>
      <w:r>
        <w:t xml:space="preserve"> </w:t>
      </w:r>
      <w:r>
        <w:t xml:space="preserve">상위 3개 매개변수는 모두</w:t>
      </w:r>
      <w:r>
        <w:t xml:space="preserve"> </w:t>
      </w:r>
      <w:r>
        <w:rPr>
          <w:i/>
          <w:iCs/>
        </w:rPr>
        <w:t xml:space="preserve">공급측 자원 모수</w:t>
      </w:r>
      <w:r>
        <w:t xml:space="preserve">(승객 인원·직행버스 차량 수·배차 간격)이며, 도로 신뢰성 매개변수(capacity_reduction_factor μ* = 1.73, road_background_traffic_multiplier μ* = 1.65)와 환승 매개변수(transfer_fixed_delay μ* = 3.10, transfer_per_passenger_delay μ* = 0.475)는 1–2 자릿수 작다. 이는 §4.3의 단일수단 fleet/dispatch 튜닝이 본 회랑에서 1차적 결정 변수임을 정량적으로 뒷받침한다. 다만 본 Morris 결과는 파일럿 스케일 fixture demand 위에서 산출되었으므로 μ* 절대값보다는</w:t>
      </w:r>
      <w:r>
        <w:t xml:space="preserve"> </w:t>
      </w:r>
      <w:r>
        <w:rPr>
          <w:i/>
          <w:iCs/>
        </w:rPr>
        <w:t xml:space="preserve">상대 순위</w:t>
      </w:r>
      <w:r>
        <w:t xml:space="preserve">만 일관되게 해석한다(</w:t>
      </w:r>
      <w:r>
        <w:rPr>
          <w:rStyle w:val="VerbatimChar"/>
        </w:rPr>
        <w:t xml:space="preserve">morris_summary.csv::claim_scope</w:t>
      </w:r>
      <w:r>
        <w:t xml:space="preserve">).</w:t>
      </w:r>
    </w:p>
    <w:p>
      <w:pPr>
        <w:pStyle w:val="BodyText"/>
      </w:pPr>
      <w:r>
        <w:rPr>
          <w:b/>
          <w:bCs/>
        </w:rPr>
        <w:t xml:space="preserve">&lt;표 5&gt; Morris 전역 민감도: 정전 집계 규칙(canonical aggregation)에 따른 파라미터별 평균 μ* 순위 (전 14개 파라미터)</w:t>
      </w:r>
    </w:p>
    <w:p>
      <w:pPr>
        <w:pStyle w:val="BodyText"/>
      </w:pPr>
      <w:r>
        <w:rPr>
          <w:b/>
          <w:bCs/>
        </w:rPr>
        <w:t xml:space="preserve">Table 5.</w:t>
      </w:r>
      <w:r>
        <w:t xml:space="preserve"> </w:t>
      </w:r>
      <w:r>
        <w:t xml:space="preserve">Morris global sensitivity: canonical-aggregation mean μ* ranking across all 14 parameters.</w:t>
      </w:r>
    </w:p>
    <w:p>
      <w:pPr>
        <w:pStyle w:val="BodyText"/>
      </w:pPr>
      <w:r>
        <w:drawing>
          <wp:inline>
            <wp:extent cx="6261100" cy="3946270"/>
            <wp:effectExtent b="0" l="0" r="0" t="0"/>
            <wp:docPr descr="Table 5" title="" id="66" name="Picture"/>
            <a:graphic>
              <a:graphicData uri="http://schemas.openxmlformats.org/drawingml/2006/picture">
                <pic:pic>
                  <pic:nvPicPr>
                    <pic:cNvPr descr="table_images/table5.png" id="67" name="Picture"/>
                    <pic:cNvPicPr>
                      <a:picLocks noChangeArrowheads="1" noChangeAspect="1"/>
                    </pic:cNvPicPr>
                  </pic:nvPicPr>
                  <pic:blipFill>
                    <a:blip r:embed="rId65"/>
                    <a:stretch>
                      <a:fillRect/>
                    </a:stretch>
                  </pic:blipFill>
                  <pic:spPr bwMode="auto">
                    <a:xfrm>
                      <a:off x="0" y="0"/>
                      <a:ext cx="6261100" cy="3946270"/>
                    </a:xfrm>
                    <a:prstGeom prst="rect">
                      <a:avLst/>
                    </a:prstGeom>
                    <a:noFill/>
                    <a:ln w="9525">
                      <a:noFill/>
                      <a:headEnd/>
                      <a:tailEnd/>
                    </a:ln>
                  </pic:spPr>
                </pic:pic>
              </a:graphicData>
            </a:graphic>
          </wp:inline>
        </w:drawing>
      </w:r>
    </w:p>
    <w:p>
      <w:pPr>
        <w:pStyle w:val="BodyText"/>
      </w:pPr>
      <w:r>
        <w:rPr>
          <w:i/>
          <w:iCs/>
        </w:rPr>
        <w:t xml:space="preserve">Note.</w:t>
      </w:r>
      <w:r>
        <w:t xml:space="preserve"> </w:t>
      </w:r>
      <w:r>
        <w:rPr>
          <w:b/>
          <w:bCs/>
        </w:rPr>
        <w:t xml:space="preserve">Canonical aggregation rule</w:t>
      </w:r>
      <w:r>
        <w:t xml:space="preserve"> </w:t>
      </w:r>
      <w:r>
        <w:t xml:space="preserve">(</w:t>
      </w:r>
      <w:r>
        <w:rPr>
          <w:rStyle w:val="VerbatimChar"/>
        </w:rPr>
        <w:t xml:space="preserve">plan.md</w:t>
      </w:r>
      <w:r>
        <w:t xml:space="preserve"> </w:t>
      </w:r>
      <w:r>
        <w:t xml:space="preserve">§3.7 / §10). For each parameter, (1) compute mean μ* over</w:t>
      </w:r>
      <w:r>
        <w:t xml:space="preserve"> </w:t>
      </w:r>
      <w:r>
        <w:rPr>
          <w:rStyle w:val="VerbatimChar"/>
        </w:rPr>
        <w:t xml:space="preserve">(policy_id × scenario_id)</w:t>
      </w:r>
      <w:r>
        <w:t xml:space="preserve"> </w:t>
      </w:r>
      <w:r>
        <w:t xml:space="preserve">blocks (2 × 2 = 4 blocks) for each</w:t>
      </w:r>
      <w:r>
        <w:t xml:space="preserve"> </w:t>
      </w:r>
      <w:r>
        <w:rPr>
          <w:rStyle w:val="VerbatimChar"/>
        </w:rPr>
        <w:t xml:space="preserve">(parameter_id, metric)</w:t>
      </w:r>
      <w:r>
        <w:t xml:space="preserve"> </w:t>
      </w:r>
      <w:r>
        <w:t xml:space="preserve">pair, then (2) average over the seven metrics (</w:t>
      </w:r>
      <w:r>
        <w:rPr>
          <w:rStyle w:val="VerbatimChar"/>
        </w:rPr>
        <w:t xml:space="preserve">completion_rate</w:t>
      </w:r>
      <w:r>
        <w:t xml:space="preserve">,</w:t>
      </w:r>
      <w:r>
        <w:t xml:space="preserve"> </w:t>
      </w:r>
      <w:r>
        <w:rPr>
          <w:rStyle w:val="VerbatimChar"/>
        </w:rPr>
        <w:t xml:space="preserve">censored_count</w:t>
      </w:r>
      <w:r>
        <w:t xml:space="preserve">,</w:t>
      </w:r>
      <w:r>
        <w:t xml:space="preserve"> </w:t>
      </w:r>
      <w:r>
        <w:rPr>
          <w:rStyle w:val="VerbatimChar"/>
        </w:rPr>
        <w:t xml:space="preserve">penalized_makespan</w:t>
      </w:r>
      <w:r>
        <w:t xml:space="preserve">,</w:t>
      </w:r>
      <w:r>
        <w:t xml:space="preserve"> </w:t>
      </w:r>
      <w:r>
        <w:rPr>
          <w:rStyle w:val="VerbatimChar"/>
        </w:rPr>
        <w:t xml:space="preserve">p80_arrival_time</w:t>
      </w:r>
      <w:r>
        <w:t xml:space="preserve">,</w:t>
      </w:r>
      <w:r>
        <w:t xml:space="preserve"> </w:t>
      </w:r>
      <w:r>
        <w:rPr>
          <w:rStyle w:val="VerbatimChar"/>
        </w:rPr>
        <w:t xml:space="preserve">p95_arrival_time</w:t>
      </w:r>
      <w:r>
        <w:t xml:space="preserve">,</w:t>
      </w:r>
      <w:r>
        <w:t xml:space="preserve"> </w:t>
      </w:r>
      <w:r>
        <w:rPr>
          <w:rStyle w:val="VerbatimChar"/>
        </w:rPr>
        <w:t xml:space="preserve">total_service_minutes</w:t>
      </w:r>
      <w:r>
        <w:t xml:space="preserve">,</w:t>
      </w:r>
      <w:r>
        <w:t xml:space="preserve"> </w:t>
      </w:r>
      <w:r>
        <w:rPr>
          <w:rStyle w:val="VerbatimChar"/>
        </w:rPr>
        <w:t xml:space="preserve">passengers_per_total_service_minute</w:t>
      </w:r>
      <w:r>
        <w:t xml:space="preserve">) to obtain the canonical mean μ</w:t>
      </w:r>
      <w:r>
        <w:rPr>
          <w:i/>
          <w:iCs/>
        </w:rPr>
        <w:t xml:space="preserve">. Hence the aggregation block count = 7 metrics × 2 policies × 2 scenarios = 28 blocks per parameter. Source:</w:t>
      </w:r>
      <w:r>
        <w:rPr>
          <w:i/>
          <w:iCs/>
        </w:rPr>
        <w:t xml:space="preserve"> </w:t>
      </w:r>
      <w:r>
        <w:rPr>
          <w:rStyle w:val="VerbatimChar"/>
          <w:i/>
          <w:iCs/>
        </w:rPr>
        <w:t xml:space="preserve">results/sensitivity/morris_summary.csv</w:t>
      </w:r>
      <w:r>
        <w:rPr>
          <w:i/>
          <w:iCs/>
        </w:rPr>
        <w:t xml:space="preserve"> </w:t>
      </w:r>
      <w:r>
        <w:rPr>
          <w:i/>
          <w:iCs/>
        </w:rPr>
        <w:t xml:space="preserve">(392 rows, 14 parameters × 28 blocks). Method: SALib Morris elementary effects with T = 100 trajectories, L = 4 levels, k = 14 parameters, and (k + 1) × T = 1,500 model evaluations. μ</w:t>
      </w:r>
      <w:r>
        <w:t xml:space="preserve"> </w:t>
      </w:r>
      <w:r>
        <w:t xml:space="preserve">is the mean absolute elementary effect (magnitude of influence). Values are rounded to three significant digits. This table is the single source of truth for the Morris top-3 citations in §4.5, §5.1, and the abstract; the canonical top-3 is also recorded separately in</w:t>
      </w:r>
      <w:r>
        <w:t xml:space="preserve"> </w:t>
      </w:r>
      <w:r>
        <w:rPr>
          <w:rStyle w:val="VerbatimChar"/>
        </w:rPr>
        <w:t xml:space="preserve">manuscript/sections/canonical_morris_top3.md</w:t>
      </w:r>
      <w:r>
        <w:t xml:space="preserve">.</w:t>
      </w:r>
      <w:r>
        <w:t xml:space="preserve"> </w:t>
      </w:r>
      <w:r>
        <w:rPr>
          <w:i/>
          <w:iCs/>
        </w:rPr>
        <w:t xml:space="preserve">claim_scope.</w:t>
      </w:r>
      <w:r>
        <w:t xml:space="preserve"> </w:t>
      </w:r>
      <w:r>
        <w:t xml:space="preserve">These results are pilot-scaffold estimates (see the</w:t>
      </w:r>
      <w:r>
        <w:t xml:space="preserve"> </w:t>
      </w:r>
      <w:r>
        <w:rPr>
          <w:rStyle w:val="VerbatimChar"/>
        </w:rPr>
        <w:t xml:space="preserve">claim_scope</w:t>
      </w:r>
      <w:r>
        <w:t xml:space="preserve"> </w:t>
      </w:r>
      <w:r>
        <w:t xml:space="preserve">field in</w:t>
      </w:r>
      <w:r>
        <w:t xml:space="preserve"> </w:t>
      </w:r>
      <w:r>
        <w:rPr>
          <w:rStyle w:val="VerbatimChar"/>
        </w:rPr>
        <w:t xml:space="preserve">morris_summary.csv</w:t>
      </w:r>
      <w:r>
        <w:t xml:space="preserve">) and not calibrated operational-environment sensitivity estimates.</w:t>
      </w:r>
    </w:p>
    <w:bookmarkEnd w:id="68"/>
    <w:bookmarkEnd w:id="69"/>
    <w:bookmarkStart w:id="74" w:name="결론-및-향후-연구"/>
    <w:p>
      <w:pPr>
        <w:pStyle w:val="Heading2"/>
      </w:pPr>
      <w:r>
        <w:t xml:space="preserve">5. 결론 및 향후 연구</w:t>
      </w:r>
    </w:p>
    <w:p>
      <w:pPr>
        <w:pStyle w:val="FirstParagraph"/>
      </w:pPr>
      <w:r>
        <w:t xml:space="preserve">본 장은 §4의 4단계 실험(Phase 1a 기준 강건성, Phase 1b 원점 강건성, Phase 2 단일수단 튜닝, Phase 3 반사실 레버 스윕)과 Morris 전역 민감도 결과를 §1.3의 연구질문 및 §3.9의 조건도(condition map) 경계 안에서 종합한다. 본 결론의 모든 정량 진술은 §3.6의 paired-CRN 절차로 산출된 차이 Δ에 한하며, 부호 규약은</w:t>
      </w:r>
      <w:r>
        <w:t xml:space="preserve"> </w:t>
      </w:r>
      <w:r>
        <w:rPr>
          <w:rStyle w:val="VerbatimChar"/>
        </w:rPr>
        <w:t xml:space="preserve">Δ = bus_only − multimodal</w:t>
      </w:r>
      <w:r>
        <w:t xml:space="preserve">(§3.6) (음수 = 직행버스 우위)로 일관 적용된다.</w:t>
      </w:r>
    </w:p>
    <w:bookmarkStart w:id="70" w:name="주요-발견-main-finding"/>
    <w:p>
      <w:pPr>
        <w:pStyle w:val="Heading3"/>
      </w:pPr>
      <w:r>
        <w:t xml:space="preserve">5.1 주요 발견 (Main finding)</w:t>
      </w:r>
    </w:p>
    <w:p>
      <w:pPr>
        <w:pStyle w:val="BlockText"/>
      </w:pPr>
      <w:r>
        <w:rPr>
          <w:b/>
          <w:bCs/>
        </w:rPr>
        <w:t xml:space="preserve">송파 → 72사단(부곡리) 회랑에서 검토된 인프라/매개변수 공간 내에서 multimodal 적용 조건(applicability condition)은 발견되지 않는다. 직행버스는 모든 관측 disruption 강도(</w:t>
      </w:r>
      <w:r>
        <w:rPr>
          <w:rStyle w:val="VerbatimChar"/>
          <w:b/>
          <w:bCs/>
        </w:rPr>
        <w:t xml:space="preserve">p_fail_scale ∈ [0, 2]</w:t>
      </w:r>
      <w:r>
        <w:rPr>
          <w:b/>
          <w:bCs/>
        </w:rPr>
        <w:t xml:space="preserve">), 4개 후보 원점, 단일수단 fleet/dispatch 튜닝 5×3 격자, 그리고 9개 반사실 인프라 레버 조합(</w:t>
      </w:r>
      <w:r>
        <w:rPr>
          <w:rStyle w:val="VerbatimChar"/>
          <w:b/>
          <w:bCs/>
        </w:rPr>
        <w:t xml:space="preserve">rail_headway × lastmile_fleet × rail_capacity</w:t>
      </w:r>
      <w:r>
        <w:rPr>
          <w:b/>
          <w:bCs/>
        </w:rPr>
        <w:t xml:space="preserve">) 81셀에서 페어드 CRN 기준 통계적으로 더 우수하거나 동등하다.</w:t>
      </w:r>
    </w:p>
    <w:p>
      <w:pPr>
        <w:pStyle w:val="FirstParagraph"/>
      </w:pPr>
      <w:r>
        <w:t xml:space="preserve">이 진술은 다음 네 가지 정량 근거로 뒷받침된다(상세 수치는 §4 및 〈표 2〉·〈표 3〉·〈표 4〉·〈표 6〉 참조).</w:t>
      </w:r>
    </w:p>
    <w:p>
      <w:pPr>
        <w:pStyle w:val="Compact"/>
        <w:numPr>
          <w:ilvl w:val="0"/>
          <w:numId w:val="1004"/>
        </w:numPr>
      </w:pPr>
      <w:r>
        <w:t xml:space="preserve">Phase 1a (Origin A, R = 30):</w:t>
      </w:r>
      <w:r>
        <w:t xml:space="preserve"> </w:t>
      </w:r>
      <w:r>
        <w:rPr>
          <w:rStyle w:val="VerbatimChar"/>
        </w:rPr>
        <w:t xml:space="preserve">p_fail_scale = 0.0</w:t>
      </w:r>
      <w:r>
        <w:t xml:space="preserve">에서 Δ penalized_makespan =</w:t>
      </w:r>
      <w:r>
        <w:t xml:space="preserve"> </w:t>
      </w:r>
      <w:r>
        <w:rPr>
          <w:b/>
          <w:bCs/>
        </w:rPr>
        <w:t xml:space="preserve">−58.5분</w:t>
      </w:r>
      <w:r>
        <w:t xml:space="preserve"> </w:t>
      </w:r>
      <w:r>
        <w:t xml:space="preserve">(95% CI [−58.5, −58.5])로 무장애 영역에서도 구조적 환승 페널티가 직행버스 우위로 작용한다.</w:t>
      </w:r>
      <w:r>
        <w:t xml:space="preserve"> </w:t>
      </w:r>
      <w:r>
        <w:rPr>
          <w:rStyle w:val="VerbatimChar"/>
        </w:rPr>
        <w:t xml:space="preserve">p_fail_scale = 2.0</w:t>
      </w:r>
      <w:r>
        <w:t xml:space="preserve">에서 Δ P(완료 ≤ 1500분) =</w:t>
      </w:r>
      <w:r>
        <w:t xml:space="preserve"> </w:t>
      </w:r>
      <w:r>
        <w:rPr>
          <w:b/>
          <w:bCs/>
        </w:rPr>
        <w:t xml:space="preserve">+0.433</w:t>
      </w:r>
      <w:r>
        <w:t xml:space="preserve"> </w:t>
      </w:r>
      <w:r>
        <w:t xml:space="preserve">(95% CI [+0.245, +0.622])로 고압박 영역에서 직행버스가 마감 내 완료 확률 측면에서 43.3 포인트 우위를 확보한다.</w:t>
      </w:r>
    </w:p>
    <w:p>
      <w:pPr>
        <w:pStyle w:val="Compact"/>
        <w:numPr>
          <w:ilvl w:val="0"/>
          <w:numId w:val="1004"/>
        </w:numPr>
      </w:pPr>
      <w:r>
        <w:t xml:space="preserve">Phase 2 (R = 20): 가장 공격적인 단일수단 튜닝(</w:t>
      </w:r>
      <w:r>
        <w:rPr>
          <w:rStyle w:val="VerbatimChar"/>
        </w:rPr>
        <w:t xml:space="preserve">bus_fleet_size = 80</w:t>
      </w:r>
      <w:r>
        <w:t xml:space="preserve">,</w:t>
      </w:r>
      <w:r>
        <w:t xml:space="preserve"> </w:t>
      </w:r>
      <w:r>
        <w:rPr>
          <w:rStyle w:val="VerbatimChar"/>
        </w:rPr>
        <w:t xml:space="preserve">dispatch_min = 3</w:t>
      </w:r>
      <w:r>
        <w:t xml:space="preserve">,</w:t>
      </w:r>
      <w:r>
        <w:t xml:space="preserve"> </w:t>
      </w:r>
      <w:r>
        <w:rPr>
          <w:rStyle w:val="VerbatimChar"/>
        </w:rPr>
        <w:t xml:space="preserve">p_fail_scale = 2.0</w:t>
      </w:r>
      <w:r>
        <w:t xml:space="preserve">)에서 Δ =</w:t>
      </w:r>
      <w:r>
        <w:t xml:space="preserve"> </w:t>
      </w:r>
      <w:r>
        <w:rPr>
          <w:b/>
          <w:bCs/>
        </w:rPr>
        <w:t xml:space="preserve">−576,348분</w:t>
      </w:r>
      <w:r>
        <w:t xml:space="preserve"> </w:t>
      </w:r>
      <w:r>
        <w:t xml:space="preserve">(95% CI excludes 0)로 단일수단 fleet/dispatch 한계 튜닝이 부호 반전을 일으키지 못한다.</w:t>
      </w:r>
    </w:p>
    <w:p>
      <w:pPr>
        <w:pStyle w:val="Compact"/>
        <w:numPr>
          <w:ilvl w:val="0"/>
          <w:numId w:val="1004"/>
        </w:numPr>
      </w:pPr>
      <w:r>
        <w:t xml:space="preserve">Phase 3 (R = 15, 81 cell):</w:t>
      </w:r>
      <w:r>
        <w:t xml:space="preserve"> </w:t>
      </w:r>
      <w:r>
        <w:rPr>
          <w:rStyle w:val="VerbatimChar"/>
        </w:rPr>
        <w:t xml:space="preserve">multi_dominant</w:t>
      </w:r>
      <w:r>
        <w:t xml:space="preserve"> </w:t>
      </w:r>
      <w:r>
        <w:t xml:space="preserve">분류 셀은</w:t>
      </w:r>
      <w:r>
        <w:t xml:space="preserve"> </w:t>
      </w:r>
      <w:r>
        <w:rPr>
          <w:b/>
          <w:bCs/>
        </w:rPr>
        <w:t xml:space="preserve">0 / 81</w:t>
      </w:r>
      <w:r>
        <w:t xml:space="preserve">이며</w:t>
      </w:r>
      <w:r>
        <w:t xml:space="preserve"> </w:t>
      </w:r>
      <w:r>
        <w:rPr>
          <w:rStyle w:val="VerbatimChar"/>
        </w:rPr>
        <w:t xml:space="preserve">bus_dominant</w:t>
      </w:r>
      <w:r>
        <w:t xml:space="preserve"> </w:t>
      </w:r>
      <w:r>
        <w:t xml:space="preserve">54 cell,</w:t>
      </w:r>
      <w:r>
        <w:t xml:space="preserve"> </w:t>
      </w:r>
      <w:r>
        <w:rPr>
          <w:rStyle w:val="VerbatimChar"/>
        </w:rPr>
        <w:t xml:space="preserve">inconclusive</w:t>
      </w:r>
      <w:r>
        <w:t xml:space="preserve"> </w:t>
      </w:r>
      <w:r>
        <w:t xml:space="preserve">27 cell이다. 부호 반전에 가장 근접한 cell(narrowest gap)은</w:t>
      </w:r>
      <w:r>
        <w:t xml:space="preserve"> </w:t>
      </w:r>
      <w:r>
        <w:rPr>
          <w:rStyle w:val="VerbatimChar"/>
        </w:rPr>
        <w:t xml:space="preserve">rail_headway = 3분, lastmile_fleet = 23, rail_capacity = 500, p_fail_scale = 0.5</w:t>
      </w:r>
      <w:r>
        <w:t xml:space="preserve">에서 Δ =</w:t>
      </w:r>
      <w:r>
        <w:t xml:space="preserve"> </w:t>
      </w:r>
      <w:r>
        <w:rPr>
          <w:b/>
          <w:bCs/>
        </w:rPr>
        <w:t xml:space="preserve">−39.3분</w:t>
      </w:r>
      <w:r>
        <w:t xml:space="preserve"> </w:t>
      </w:r>
      <w:r>
        <w:t xml:space="preserve">[−50.7, −28.0]로 여전히</w:t>
      </w:r>
      <w:r>
        <w:t xml:space="preserve"> </w:t>
      </w:r>
      <w:r>
        <w:rPr>
          <w:rStyle w:val="VerbatimChar"/>
        </w:rPr>
        <w:t xml:space="preserve">bus_dominant</w:t>
      </w:r>
      <w:r>
        <w:t xml:space="preserve">로 분류된다(〈표 6〉).</w:t>
      </w:r>
    </w:p>
    <w:p>
      <w:pPr>
        <w:pStyle w:val="Compact"/>
        <w:numPr>
          <w:ilvl w:val="0"/>
          <w:numId w:val="1004"/>
        </w:numPr>
      </w:pPr>
      <w:r>
        <w:t xml:space="preserve">Morris 전역 민감도 (k = 14, T = 100): 정전 평균 μ* 상위 3개는</w:t>
      </w:r>
      <w:r>
        <w:t xml:space="preserve"> </w:t>
      </w:r>
      <w:r>
        <w:rPr>
          <w:rStyle w:val="VerbatimChar"/>
        </w:rPr>
        <w:t xml:space="preserve">passenger_volume</w:t>
      </w:r>
      <w:r>
        <w:t xml:space="preserve"> </w:t>
      </w:r>
      <w:r>
        <w:t xml:space="preserve">(</w:t>
      </w:r>
      <w:r>
        <w:rPr>
          <w:b/>
          <w:bCs/>
        </w:rPr>
        <w:t xml:space="preserve">44.5</w:t>
      </w:r>
      <w:r>
        <w:t xml:space="preserve">),</w:t>
      </w:r>
      <w:r>
        <w:t xml:space="preserve"> </w:t>
      </w:r>
      <w:r>
        <w:rPr>
          <w:rStyle w:val="VerbatimChar"/>
        </w:rPr>
        <w:t xml:space="preserve">direct_bus_fleet_size</w:t>
      </w:r>
      <w:r>
        <w:t xml:space="preserve"> </w:t>
      </w:r>
      <w:r>
        <w:t xml:space="preserve">(</w:t>
      </w:r>
      <w:r>
        <w:rPr>
          <w:b/>
          <w:bCs/>
        </w:rPr>
        <w:t xml:space="preserve">27.4</w:t>
      </w:r>
      <w:r>
        <w:t xml:space="preserve">),</w:t>
      </w:r>
      <w:r>
        <w:t xml:space="preserve"> </w:t>
      </w:r>
      <w:r>
        <w:rPr>
          <w:rStyle w:val="VerbatimChar"/>
        </w:rPr>
        <w:t xml:space="preserve">dispatch_interval</w:t>
      </w:r>
      <w:r>
        <w:t xml:space="preserve"> </w:t>
      </w:r>
      <w:r>
        <w:t xml:space="preserve">(</w:t>
      </w:r>
      <w:r>
        <w:rPr>
          <w:b/>
          <w:bCs/>
        </w:rPr>
        <w:t xml:space="preserve">20.8</w:t>
      </w:r>
      <w:r>
        <w:t xml:space="preserve">)로 모두 공급측 자원 모수이며 모드 선택 매개변수는 상위에 없다(canonical_morris_top3.md, 〈표 5〉).</w:t>
      </w:r>
    </w:p>
    <w:p>
      <w:pPr>
        <w:pStyle w:val="FirstParagraph"/>
      </w:pPr>
      <w:r>
        <w:rPr>
          <w:b/>
          <w:bCs/>
        </w:rPr>
        <w:t xml:space="preserve">v0.6 → v0.7 재포지셔닝의 의미.</w:t>
      </w:r>
      <w:r>
        <w:t xml:space="preserve"> </w:t>
      </w:r>
      <w:r>
        <w:t xml:space="preserve">위 결과의 v0.6 → v0.7 재포지셔닝 의미는</w:t>
      </w:r>
      <w:r>
        <w:t xml:space="preserve"> </w:t>
      </w:r>
      <w:r>
        <w:t xml:space="preserve">“break-even 탐색”</w:t>
      </w:r>
      <w:r>
        <w:t xml:space="preserve">이 아닌</w:t>
      </w:r>
      <w:r>
        <w:t xml:space="preserve"> </w:t>
      </w:r>
      <w:r>
        <w:t xml:space="preserve">“</w:t>
      </w:r>
      <w:r>
        <w:rPr>
          <w:b/>
          <w:bCs/>
        </w:rPr>
        <w:t xml:space="preserve">적용 조건 식별(applicability-condition identification)</w:t>
      </w:r>
      <w:r>
        <w:t xml:space="preserve">”</w:t>
      </w:r>
      <w:r>
        <w:t xml:space="preserve">이다. 검토된 격자 안에서 multimodal이 직행버스를 앞서는 조건은 존재하지 않으며, 이는 본 회랑이 multimodal 도입에 (현재 가용 인프라 레버 범위 내에서) 부적합함을 의미하는 정의된 negative result이다. 본 연구의 산출물은 단일 권고가 아니라</w:t>
      </w:r>
      <w:r>
        <w:t xml:space="preserve"> </w:t>
      </w:r>
      <w:r>
        <w:rPr>
          <w:i/>
          <w:iCs/>
        </w:rPr>
        <w:t xml:space="preserve">조건 지도(condition map)</w:t>
      </w:r>
      <w:r>
        <w:t xml:space="preserve">이며, multimodal 우위의 부재는 가설이 아닌 통계적으로 검정된 결론이다.</w:t>
      </w:r>
    </w:p>
    <w:bookmarkEnd w:id="70"/>
    <w:bookmarkStart w:id="71" w:name="학술적실무적-함의-implications"/>
    <w:p>
      <w:pPr>
        <w:pStyle w:val="Heading3"/>
      </w:pPr>
      <w:r>
        <w:t xml:space="preserve">5.2 학술적·실무적 함의 (Implications)</w:t>
      </w:r>
    </w:p>
    <w:p>
      <w:pPr>
        <w:pStyle w:val="FirstParagraph"/>
      </w:pPr>
      <w:r>
        <w:rPr>
          <w:b/>
          <w:bCs/>
        </w:rPr>
        <w:t xml:space="preserve">학술적 함의.</w:t>
      </w:r>
    </w:p>
    <w:p>
      <w:pPr>
        <w:pStyle w:val="Compact"/>
        <w:numPr>
          <w:ilvl w:val="0"/>
          <w:numId w:val="1005"/>
        </w:numPr>
      </w:pPr>
      <w:r>
        <w:rPr>
          <w:b/>
          <w:bCs/>
        </w:rPr>
        <w:t xml:space="preserve">부정적 결과의 정량적 정의.</w:t>
      </w:r>
      <w:r>
        <w:t xml:space="preserve"> </w:t>
      </w:r>
      <w:r>
        <w:t xml:space="preserve">본 연구는 multimodal 우위가 부재하다는 단순 진술을 넘어, R = 30 paired-CRN, censoring-aware penalized makespan, 분위 도착 KPI, 그리고 Morris 전역 민감도를 결합하여</w:t>
      </w:r>
      <w:r>
        <w:t xml:space="preserve"> </w:t>
      </w:r>
      <w:r>
        <w:rPr>
          <w:b/>
          <w:bCs/>
        </w:rPr>
        <w:t xml:space="preserve">검토 공간 내 비-적용성</w:t>
      </w:r>
      <w:r>
        <w:t xml:space="preserve">을 통계적으로 정량화한다. 산업공학·운영연구 출판 관행에서</w:t>
      </w:r>
      <w:r>
        <w:t xml:space="preserve"> </w:t>
      </w:r>
      <w:r>
        <w:t xml:space="preserve">“uplift 없음”</w:t>
      </w:r>
      <w:r>
        <w:t xml:space="preserve">은 흔히 보고에서 누락되지만, 본 연구는 페어드 CRN과 분류 규칙(</w:t>
      </w:r>
      <w:r>
        <w:rPr>
          <w:rStyle w:val="VerbatimChar"/>
        </w:rPr>
        <w:t xml:space="preserve">bus_dominant</w:t>
      </w:r>
      <w:r>
        <w:t xml:space="preserve"> </w:t>
      </w:r>
      <w:r>
        <w:t xml:space="preserve">/</w:t>
      </w:r>
      <w:r>
        <w:t xml:space="preserve"> </w:t>
      </w:r>
      <w:r>
        <w:rPr>
          <w:rStyle w:val="VerbatimChar"/>
        </w:rPr>
        <w:t xml:space="preserve">inconclusive</w:t>
      </w:r>
      <w:r>
        <w:t xml:space="preserve"> </w:t>
      </w:r>
      <w:r>
        <w:t xml:space="preserve">/</w:t>
      </w:r>
      <w:r>
        <w:t xml:space="preserve"> </w:t>
      </w:r>
      <w:r>
        <w:rPr>
          <w:rStyle w:val="VerbatimChar"/>
        </w:rPr>
        <w:t xml:space="preserve">multi_dominant</w:t>
      </w:r>
      <w:r>
        <w:t xml:space="preserve">)을 결합하여 비-적용성을 검증 가능한 진술로 격상시킨다.</w:t>
      </w:r>
    </w:p>
    <w:p>
      <w:pPr>
        <w:pStyle w:val="Compact"/>
        <w:numPr>
          <w:ilvl w:val="0"/>
          <w:numId w:val="1005"/>
        </w:numPr>
      </w:pPr>
      <w:r>
        <w:rPr>
          <w:b/>
          <w:bCs/>
        </w:rPr>
        <w:t xml:space="preserve">회랑 기하학(geometry)의 결정성.</w:t>
      </w:r>
      <w:r>
        <w:t xml:space="preserve"> </w:t>
      </w:r>
      <w:r>
        <w:t xml:space="preserve">송파 ↔ 부곡리 회랑은 multimodal 경로가 두 도로 구간(A → S 약 12 km, R → D 약 30 km)을 노출하는 반면 직행버스는 한 구간만 노출하므로, 철도는</w:t>
      </w:r>
      <w:r>
        <w:t xml:space="preserve"> </w:t>
      </w:r>
      <w:r>
        <w:rPr>
          <w:b/>
          <w:bCs/>
        </w:rPr>
        <w:t xml:space="preserve">중복(redundancy)이 아닌 추가 위험(added risk)</w:t>
      </w:r>
      <w:r>
        <w:t xml:space="preserve">으로 작용한다. 이 기하학적 비대칭이 검토된 인프라 레버 모두(rail_headway 3분, lastmile_fleet 100대, rail_capacity 2000 pax/train)를 무효화한다.</w:t>
      </w:r>
    </w:p>
    <w:p>
      <w:pPr>
        <w:pStyle w:val="FirstParagraph"/>
      </w:pPr>
      <w:r>
        <w:rPr>
          <w:b/>
          <w:bCs/>
        </w:rPr>
        <w:t xml:space="preserve">실무적 함의.</w:t>
      </w:r>
    </w:p>
    <w:p>
      <w:pPr>
        <w:pStyle w:val="Compact"/>
        <w:numPr>
          <w:ilvl w:val="0"/>
          <w:numId w:val="1006"/>
        </w:numPr>
      </w:pPr>
      <w:r>
        <w:rPr>
          <w:b/>
          <w:bCs/>
        </w:rPr>
        <w:t xml:space="preserve">정책 권고.</w:t>
      </w:r>
      <w:r>
        <w:t xml:space="preserve"> </w:t>
      </w:r>
      <w:r>
        <w:t xml:space="preserve">본 회랑에 대한 예비군 동원수송 계획은 단일수단(직행버스) 운용에 집중하는 것이 censoring-aware 보정 makespan 기준 통계적으로 우월하다. Phase 2의 결과는 본 회랑에서 운영 가용한 자원 모수의 한계 효과가 multimodal 도입보다 크다는 점을 보인다.</w:t>
      </w:r>
    </w:p>
    <w:p>
      <w:pPr>
        <w:pStyle w:val="Compact"/>
        <w:numPr>
          <w:ilvl w:val="0"/>
          <w:numId w:val="1006"/>
        </w:numPr>
      </w:pPr>
      <w:r>
        <w:rPr>
          <w:b/>
          <w:bCs/>
        </w:rPr>
        <w:t xml:space="preserve">Morris 결과의 운영적 함의.</w:t>
      </w:r>
      <w:r>
        <w:t xml:space="preserve"> </w:t>
      </w:r>
      <w:r>
        <w:t xml:space="preserve">가장 큰 민감도는</w:t>
      </w:r>
      <w:r>
        <w:t xml:space="preserve"> </w:t>
      </w:r>
      <w:r>
        <w:rPr>
          <w:rStyle w:val="VerbatimChar"/>
        </w:rPr>
        <w:t xml:space="preserve">passenger_volume</w:t>
      </w:r>
      <w:r>
        <w:t xml:space="preserve">과</w:t>
      </w:r>
      <w:r>
        <w:t xml:space="preserve"> </w:t>
      </w:r>
      <w:r>
        <w:rPr>
          <w:rStyle w:val="VerbatimChar"/>
        </w:rPr>
        <w:t xml:space="preserve">direct_bus_fleet_size</w:t>
      </w:r>
      <w:r>
        <w:t xml:space="preserve">에 있다 — 즉 수요 규모 추정과 직행버스 가용 차량 수가 가장 중요한 운영 변수이며, 모드 선택(multimodal vs single)은 본 회랑에서 부차적이다. 후속 보정 단계의 자원 배분은 이 두 매개변수의 실측·시나리오 검증에 집중하는 것이 한계비용 대비 효과가 가장 크다.</w:t>
      </w:r>
    </w:p>
    <w:p>
      <w:pPr>
        <w:pStyle w:val="Compact"/>
        <w:numPr>
          <w:ilvl w:val="0"/>
          <w:numId w:val="1006"/>
        </w:numPr>
      </w:pPr>
      <w:r>
        <w:rPr>
          <w:b/>
          <w:bCs/>
        </w:rPr>
        <w:t xml:space="preserve">일반화 가능성.</w:t>
      </w:r>
      <w:r>
        <w:t xml:space="preserve"> </w:t>
      </w:r>
      <w:r>
        <w:t xml:space="preserve">본 결과는 회랑별 기하학(특히 multimodal 경로가 노출하는 도로 구간 수)에 강하게 의존한다. 다른 회랑 — 특히 multimodal 경로가 직행 경로보다</w:t>
      </w:r>
      <w:r>
        <w:t xml:space="preserve"> </w:t>
      </w:r>
      <w:r>
        <w:rPr>
          <w:i/>
          <w:iCs/>
        </w:rPr>
        <w:t xml:space="preserve">적은</w:t>
      </w:r>
      <w:r>
        <w:t xml:space="preserve"> </w:t>
      </w:r>
      <w:r>
        <w:t xml:space="preserve">도로 구간을 노출하는 경우, 또는 직행 도로 경로가 극도로 장거리·혼잡 노출이 큰 경우 — 에서는 결과가 반전될 수 있다. 본 연구의 비-적용성 결론은 회랑 특이적이며, 다른 회랑으로의 외삽은 동일 분석 골격의 재실행을 전제로 한다.</w:t>
      </w:r>
    </w:p>
    <w:bookmarkEnd w:id="71"/>
    <w:bookmarkStart w:id="72" w:name="한계-limitations"/>
    <w:p>
      <w:pPr>
        <w:pStyle w:val="Heading3"/>
      </w:pPr>
      <w:r>
        <w:t xml:space="preserve">5.3 한계 (Limitations)</w:t>
      </w:r>
    </w:p>
    <w:p>
      <w:pPr>
        <w:pStyle w:val="FirstParagraph"/>
      </w:pPr>
      <w:r>
        <w:t xml:space="preserve">본 연구의 한계는 §3.9에서 일차로 선언하였으며, 결론 해석에 직접 영향을 미치는 다섯 가지 항목을 본 절에서 다시 정리한다.</w:t>
      </w:r>
    </w:p>
    <w:p>
      <w:pPr>
        <w:pStyle w:val="Compact"/>
        <w:numPr>
          <w:ilvl w:val="0"/>
          <w:numId w:val="1007"/>
        </w:numPr>
      </w:pPr>
      <w:r>
        <w:rPr>
          <w:b/>
          <w:bCs/>
        </w:rPr>
        <w:t xml:space="preserve">반복 회수.</w:t>
      </w:r>
      <w:r>
        <w:t xml:space="preserve"> </w:t>
      </w:r>
      <w:r>
        <w:t xml:space="preserve">R = 30 (Phase 1a) / R = 20 (Phase 1b, Phase 2) / R = 15 (Phase 3)의 페어드 표본을 사용하였다. Phase 3의 R = 15는 81셀 × 15rep = 1,215 paired runs로 wall-clock 제약 하의 정직한 trade-off이며, 27개</w:t>
      </w:r>
      <w:r>
        <w:t xml:space="preserve"> </w:t>
      </w:r>
      <w:r>
        <w:rPr>
          <w:rStyle w:val="VerbatimChar"/>
        </w:rPr>
        <w:t xml:space="preserve">inconclusive</w:t>
      </w:r>
      <w:r>
        <w:t xml:space="preserve"> </w:t>
      </w:r>
      <w:r>
        <w:t xml:space="preserve">셀의 일부는 R 확대로 분류 안정화될 가능성이 있다(점추정 부호는 모두 음).</w:t>
      </w:r>
    </w:p>
    <w:p>
      <w:pPr>
        <w:pStyle w:val="Compact"/>
        <w:numPr>
          <w:ilvl w:val="0"/>
          <w:numId w:val="1007"/>
        </w:numPr>
      </w:pPr>
      <w:r>
        <w:rPr>
          <w:b/>
          <w:bCs/>
        </w:rPr>
        <w:t xml:space="preserve">단일 회랑 보정.</w:t>
      </w:r>
      <w:r>
        <w:t xml:space="preserve"> </w:t>
      </w:r>
      <w:r>
        <w:t xml:space="preserve">본 연구는 송파 → 양주 부곡리 단일 회랑에 한정되며, 모드 선택에 대한 결론은 회랑 특이적이다. §5.2의 함의 5에서 명시한 바와 같이 다른 회랑으로의 일반화는 보장되지 않는다.</w:t>
      </w:r>
    </w:p>
    <w:p>
      <w:pPr>
        <w:pStyle w:val="Compact"/>
        <w:numPr>
          <w:ilvl w:val="0"/>
          <w:numId w:val="1007"/>
        </w:numPr>
      </w:pPr>
      <w:r>
        <w:rPr>
          <w:b/>
          <w:bCs/>
        </w:rPr>
        <w:t xml:space="preserve">Origin D의 비검증 (unverified).</w:t>
      </w:r>
      <w:r>
        <w:t xml:space="preserve"> </w:t>
      </w:r>
      <w:r>
        <w:t xml:space="preserve">Origin D(잠실종합운동장)는 공개 자료로 출처 검증이 통과되지 않은 후보로 분류되며(〈표 4〉 D† 각주; 보충자료 〈그림 S1〉 빗금/링; §4.2 caveat 박스), 본문 결론에서 비교 참고용으로만 인용된다. 본 §5.1의 주요 발견은 검증된 Origin A·B·C 기준으로도 단독 성립한다.</w:t>
      </w:r>
    </w:p>
    <w:p>
      <w:pPr>
        <w:pStyle w:val="Compact"/>
        <w:numPr>
          <w:ilvl w:val="0"/>
          <w:numId w:val="1007"/>
        </w:numPr>
      </w:pPr>
      <w:r>
        <w:rPr>
          <w:b/>
          <w:bCs/>
        </w:rPr>
        <w:t xml:space="preserve">Morris의 claim_scope.</w:t>
      </w:r>
      <w:r>
        <w:t xml:space="preserve"> </w:t>
      </w:r>
      <w:r>
        <w:t xml:space="preserve">Morris 결과는 파일럿 스케일 fixture demand 위의 screening이며 calibrated 운영-환경 민감도 추정치 아니다(</w:t>
      </w:r>
      <w:r>
        <w:rPr>
          <w:rStyle w:val="VerbatimChar"/>
        </w:rPr>
        <w:t xml:space="preserve">morris_summary.csv::claim_scope</w:t>
      </w:r>
      <w:r>
        <w:t xml:space="preserve">). 본 §5.1·§5.2의 인용은 μ* 절대값보다는</w:t>
      </w:r>
      <w:r>
        <w:t xml:space="preserve"> </w:t>
      </w:r>
      <w:r>
        <w:rPr>
          <w:i/>
          <w:iCs/>
        </w:rPr>
        <w:t xml:space="preserve">상대 순위</w:t>
      </w:r>
      <w:r>
        <w:t xml:space="preserve">에 한정한다.</w:t>
      </w:r>
    </w:p>
    <w:p>
      <w:pPr>
        <w:pStyle w:val="Compact"/>
        <w:numPr>
          <w:ilvl w:val="0"/>
          <w:numId w:val="1007"/>
        </w:numPr>
      </w:pPr>
      <w:r>
        <w:rPr>
          <w:b/>
          <w:bCs/>
        </w:rPr>
        <w:t xml:space="preserve">Phase 3 레버 범위.</w:t>
      </w:r>
      <w:r>
        <w:t xml:space="preserve"> </w:t>
      </w:r>
      <w:r>
        <w:t xml:space="preserve">본 연구의 반사실 레버 범위는</w:t>
      </w:r>
      <w:r>
        <w:t xml:space="preserve"> </w:t>
      </w:r>
      <w:r>
        <w:rPr>
          <w:rStyle w:val="VerbatimChar"/>
        </w:rPr>
        <w:t xml:space="preserve">rail_headway ∈ [3, 15]분</w:t>
      </w:r>
      <w:r>
        <w:t xml:space="preserve">,</w:t>
      </w:r>
      <w:r>
        <w:t xml:space="preserve"> </w:t>
      </w:r>
      <w:r>
        <w:rPr>
          <w:rStyle w:val="VerbatimChar"/>
        </w:rPr>
        <w:t xml:space="preserve">lastmile_fleet ∈ [23, 100]대</w:t>
      </w:r>
      <w:r>
        <w:t xml:space="preserve">,</w:t>
      </w:r>
      <w:r>
        <w:t xml:space="preserve"> </w:t>
      </w:r>
      <w:r>
        <w:rPr>
          <w:rStyle w:val="VerbatimChar"/>
        </w:rPr>
        <w:t xml:space="preserve">rail_capacity ∈ [500, 2000] pax/train</w:t>
      </w:r>
      <w:r>
        <w:t xml:space="preserve">이다. 이 범위 외부(예: 1분 headway, 200대 fleet, 5,000 pax/train)는 검토되지 않았으며, 본 §5.1의 비-적용성 진술은 검토 범위 내에 한정된다.</w:t>
      </w:r>
    </w:p>
    <w:bookmarkEnd w:id="72"/>
    <w:bookmarkStart w:id="73" w:name="향후-연구-future-work"/>
    <w:p>
      <w:pPr>
        <w:pStyle w:val="Heading3"/>
      </w:pPr>
      <w:r>
        <w:t xml:space="preserve">5.4 향후 연구 (Future work)</w:t>
      </w:r>
    </w:p>
    <w:p>
      <w:pPr>
        <w:pStyle w:val="FirstParagraph"/>
      </w:pPr>
      <w:r>
        <w:t xml:space="preserve">본 연구의 결론을 보정 단계로 확장하기 위한 후속 연구 방향은 다음 네 가지로 정리된다.</w:t>
      </w:r>
    </w:p>
    <w:p>
      <w:pPr>
        <w:pStyle w:val="Compact"/>
        <w:numPr>
          <w:ilvl w:val="0"/>
          <w:numId w:val="1008"/>
        </w:numPr>
      </w:pPr>
      <w:r>
        <w:rPr>
          <w:b/>
          <w:bCs/>
        </w:rPr>
        <w:t xml:space="preserve">다른 동원훈련장 회랑 비교 연구.</w:t>
      </w:r>
      <w:r>
        <w:t xml:space="preserve"> </w:t>
      </w:r>
      <w:r>
        <w:t xml:space="preserve">산악·도서·다른 지방 부대를 포함하는 회랑 후보군을 대상으로 동일 분석 골격을 이식하여 회랑별 기하학에 따른 modal preference 반전 조건을 일반화한다. 본 연구의 비-적용성 결론은 회랑 특이적이며, 회랑 기하학(노출 도로 구간 수, 직행 거리, 환승 위치)을 covariate로 한 cross-corridor 메타 분석이 modal selection rule의 일반 형태를 식별할 수 있다.</w:t>
      </w:r>
    </w:p>
    <w:p>
      <w:pPr>
        <w:pStyle w:val="Compact"/>
        <w:numPr>
          <w:ilvl w:val="0"/>
          <w:numId w:val="1008"/>
        </w:numPr>
      </w:pPr>
      <w:r>
        <w:rPr>
          <w:b/>
          <w:bCs/>
        </w:rPr>
        <w:t xml:space="preserve">장애 모델의 확장.</w:t>
      </w:r>
      <w:r>
        <w:t xml:space="preserve"> </w:t>
      </w:r>
      <w:r>
        <w:t xml:space="preserve">본 연구는 도로 고장 모델(BPR + capacity reduction)을 단일 disruption 채널로 사용하였다. 후속 연구는 traffic incident(point-event 모델), 기상 시나리오(권역별 capacity 감소), 철도 신호 장애 등을 추가하여 disruption portfolio를 다양화할 수 있다. 본 연구의 paired-CRN 골격은 이러한 다채널 disruption을 그대로 흡수한다.</w:t>
      </w:r>
    </w:p>
    <w:p>
      <w:pPr>
        <w:pStyle w:val="Compact"/>
        <w:numPr>
          <w:ilvl w:val="0"/>
          <w:numId w:val="1008"/>
        </w:numPr>
      </w:pPr>
      <w:r>
        <w:rPr>
          <w:b/>
          <w:bCs/>
        </w:rPr>
        <w:t xml:space="preserve">회랑별 비용-편익 분석.</w:t>
      </w:r>
      <w:r>
        <w:t xml:space="preserve"> </w:t>
      </w:r>
      <w:r>
        <w:t xml:space="preserve">본 §5.1의 Δ penalized_makespan 절대값(예:</w:t>
      </w:r>
      <w:r>
        <w:t xml:space="preserve"> </w:t>
      </w:r>
      <w:r>
        <w:rPr>
          <w:rStyle w:val="VerbatimChar"/>
        </w:rPr>
        <w:t xml:space="preserve">p_fail_scale = 2.0</w:t>
      </w:r>
      <w:r>
        <w:t xml:space="preserve">에서 −576,348분)을 화폐 단위로 환산하기 위한 inventory-cost·delay-cost 모델 결합이 필요하다. 본 연구는 운영 KPI 차이를 정량화하였으나, 정책 결정자의 효용함수에 대응하는 화폐 가치는 추가 보정 입력을 요구한다.</w:t>
      </w:r>
    </w:p>
    <w:p>
      <w:pPr>
        <w:pStyle w:val="Compact"/>
        <w:numPr>
          <w:ilvl w:val="0"/>
          <w:numId w:val="1008"/>
        </w:numPr>
      </w:pPr>
      <w:r>
        <w:rPr>
          <w:b/>
          <w:bCs/>
        </w:rPr>
        <w:t xml:space="preserve">R 한도 확장 재현.</w:t>
      </w:r>
      <w:r>
        <w:t xml:space="preserve"> </w:t>
      </w:r>
      <w:r>
        <w:t xml:space="preserve">본 연구의 Phase 3 R = 15는 wall-clock 제약 하의 trade-off이다. R = 50 이상으로 재현하면 27개 inconclusive 셀의 분산이 감소하여 분류 안정화가 가능하며, 이는 본 §5.1의 비-적용성 진술의 power를 강화한다. 본 연구의 재현성 패키지(deterministic seed, 매니페스트, 청정 체크아웃 스모크)는 이러한 R 확장을 직접 지원하도록 설계되었다.</w:t>
      </w:r>
    </w:p>
    <w:p>
      <w:pPr>
        <w:pStyle w:val="FirstParagraph"/>
      </w:pPr>
      <w:r>
        <w:t xml:space="preserve">본 연구의 결론을 한 문장으로 요약하면 다음과 같다.</w:t>
      </w:r>
      <w:r>
        <w:t xml:space="preserve"> </w:t>
      </w:r>
      <w:r>
        <w:rPr>
          <w:b/>
          <w:bCs/>
        </w:rPr>
        <w:t xml:space="preserve">검토된 인프라·매개변수 공간 내에서 송파 → 72사단(부곡리) 회랑은 multimodal 적용 조건이 부재하며, 이 비-적용성은 R = 30 paired-CRN과 81셀 반사실 레버 스윕으로 통계적으로 검정된 정의된 negative result이다.</w:t>
      </w:r>
      <w:r>
        <w:t xml:space="preserve"> </w:t>
      </w:r>
      <w:r>
        <w:t xml:space="preserve">이 진술은 §3.9의 조건도 경계 안에서만 유효하며, 운용 의사결정 적용은 §5.3의 다섯 가지 한계를 동시에 해소하는 보정 후속 연구를 전제로 한다.</w:t>
      </w:r>
    </w:p>
    <w:p>
      <w:r>
        <w:pict>
          <v:rect style="width:0;height:1.5pt" o:hralign="center" o:hrstd="t" o:hr="t"/>
        </w:pict>
      </w:r>
    </w:p>
    <w:bookmarkEnd w:id="73"/>
    <w:bookmarkEnd w:id="74"/>
    <w:bookmarkStart w:id="75" w:name="참고문헌"/>
    <w:p>
      <w:pPr>
        <w:pStyle w:val="Heading2"/>
      </w:pPr>
      <w:r>
        <w:t xml:space="preserve">참고문헌</w:t>
      </w:r>
    </w:p>
    <w:p>
      <w:pPr>
        <w:numPr>
          <w:ilvl w:val="0"/>
          <w:numId w:val="1009"/>
        </w:numPr>
      </w:pPr>
      <w:r>
        <w:t xml:space="preserve">병무청. (2024).</w:t>
      </w:r>
      <w:r>
        <w:t xml:space="preserve"> </w:t>
      </w:r>
      <w:r>
        <w:rPr>
          <w:i/>
          <w:iCs/>
        </w:rPr>
        <w:t xml:space="preserve">동원훈련 안내: 입영시간 및 지연입소 규정</w:t>
      </w:r>
      <w:r>
        <w:t xml:space="preserve"> </w:t>
      </w:r>
      <w:r>
        <w:t xml:space="preserve">[Mobilization training guide: Entry time and grace-period rules]. Military Manpower Administration. https://www.mma.go.kr</w:t>
      </w:r>
    </w:p>
    <w:p>
      <w:pPr>
        <w:numPr>
          <w:ilvl w:val="0"/>
          <w:numId w:val="1009"/>
        </w:numPr>
      </w:pPr>
      <w:r>
        <w:t xml:space="preserve">송파구청. (2023).</w:t>
      </w:r>
      <w:r>
        <w:t xml:space="preserve"> </w:t>
      </w:r>
      <w:r>
        <w:rPr>
          <w:i/>
          <w:iCs/>
        </w:rPr>
        <w:t xml:space="preserve">송파구 예비군 수송버스 운행 조례</w:t>
      </w:r>
      <w:r>
        <w:t xml:space="preserve"> </w:t>
      </w:r>
      <w:r>
        <w:t xml:space="preserve">(조례 제1486호, 2023-09-14) [Songpa-gu reserve-force transport-bus operation ordinance (No. 1486, 2023-09-14)]. Songpa-gu Office.</w:t>
      </w:r>
    </w:p>
    <w:p>
      <w:pPr>
        <w:numPr>
          <w:ilvl w:val="0"/>
          <w:numId w:val="1009"/>
        </w:numPr>
      </w:pPr>
      <w:r>
        <w:t xml:space="preserve">Murray-Tuite, P., &amp; Wolshon, B. (2013). Evacuation transportation modeling: An overview of research, development, and practice.</w:t>
      </w:r>
      <w:r>
        <w:t xml:space="preserve"> </w:t>
      </w:r>
      <w:r>
        <w:rPr>
          <w:i/>
          <w:iCs/>
        </w:rPr>
        <w:t xml:space="preserve">Transportation Research Part C: Emerging Technologies, 27</w:t>
      </w:r>
      <w:r>
        <w:t xml:space="preserve">, 25–45. https://doi.org/10.1016/j.trc.2012.11.005</w:t>
      </w:r>
    </w:p>
    <w:p>
      <w:pPr>
        <w:numPr>
          <w:ilvl w:val="0"/>
          <w:numId w:val="1009"/>
        </w:numPr>
      </w:pPr>
      <w:r>
        <w:t xml:space="preserve">Liu, Y., Lai, X., &amp; Chang, G.-L. (2006). Two-level integrated optimization system for planning of emergency evacuation.</w:t>
      </w:r>
      <w:r>
        <w:t xml:space="preserve"> </w:t>
      </w:r>
      <w:r>
        <w:rPr>
          <w:i/>
          <w:iCs/>
        </w:rPr>
        <w:t xml:space="preserve">Journal of Transportation Engineering, 132</w:t>
      </w:r>
      <w:r>
        <w:t xml:space="preserve">(10), 800–807. https://doi.org/10.1061/(ASCE)0733-947X(2006)132:10(800)</w:t>
      </w:r>
    </w:p>
    <w:p>
      <w:pPr>
        <w:numPr>
          <w:ilvl w:val="0"/>
          <w:numId w:val="1009"/>
        </w:numPr>
      </w:pPr>
      <w:r>
        <w:t xml:space="preserve">Berdica, K. (2002). An introduction to road vulnerability: What has been done, is done and should be done.</w:t>
      </w:r>
      <w:r>
        <w:t xml:space="preserve"> </w:t>
      </w:r>
      <w:r>
        <w:rPr>
          <w:i/>
          <w:iCs/>
        </w:rPr>
        <w:t xml:space="preserve">Transport Policy, 9</w:t>
      </w:r>
      <w:r>
        <w:t xml:space="preserve">(2), 117–127. https://doi.org/10.1016/S0967-070X(02)00011-2</w:t>
      </w:r>
    </w:p>
    <w:p>
      <w:pPr>
        <w:numPr>
          <w:ilvl w:val="0"/>
          <w:numId w:val="1009"/>
        </w:numPr>
      </w:pPr>
      <w:r>
        <w:t xml:space="preserve">Jenelius, E., Petersen, T., &amp; Mattsson, L.-G. (2006). Importance and exposure in road network vulnerability analysis.</w:t>
      </w:r>
      <w:r>
        <w:t xml:space="preserve"> </w:t>
      </w:r>
      <w:r>
        <w:rPr>
          <w:i/>
          <w:iCs/>
        </w:rPr>
        <w:t xml:space="preserve">Transportation Research Part A: Policy and Practice, 40</w:t>
      </w:r>
      <w:r>
        <w:t xml:space="preserve">(7), 537–560. https://doi.org/10.1016/j.tra.2005.11.003</w:t>
      </w:r>
    </w:p>
    <w:p>
      <w:pPr>
        <w:numPr>
          <w:ilvl w:val="0"/>
          <w:numId w:val="1009"/>
        </w:numPr>
      </w:pPr>
      <w:r>
        <w:t xml:space="preserve">Taylor, M. A. P. (2008). Critical transport infrastructure in urban areas: Impacts of traffic incidents assessed using accessibility-based network vulnerability analysis.</w:t>
      </w:r>
      <w:r>
        <w:t xml:space="preserve"> </w:t>
      </w:r>
      <w:r>
        <w:rPr>
          <w:i/>
          <w:iCs/>
        </w:rPr>
        <w:t xml:space="preserve">Growth and Change, 39</w:t>
      </w:r>
      <w:r>
        <w:t xml:space="preserve">(4), 593–616. https://doi.org/10.1111/j.1468-2257.2008.00448.x</w:t>
      </w:r>
    </w:p>
    <w:p>
      <w:pPr>
        <w:numPr>
          <w:ilvl w:val="0"/>
          <w:numId w:val="1009"/>
        </w:numPr>
      </w:pPr>
      <w:r>
        <w:t xml:space="preserve">Mattsson, L.-G., &amp; Jenelius, E. (2015). Vulnerability and resilience of transport systems: A discussion of recent research.</w:t>
      </w:r>
      <w:r>
        <w:t xml:space="preserve"> </w:t>
      </w:r>
      <w:r>
        <w:rPr>
          <w:i/>
          <w:iCs/>
        </w:rPr>
        <w:t xml:space="preserve">Transportation Research Part A: Policy and Practice, 81</w:t>
      </w:r>
      <w:r>
        <w:t xml:space="preserve">, 16–34. https://doi.org/10.1016/j.tra.2015.06.002</w:t>
      </w:r>
    </w:p>
    <w:p>
      <w:pPr>
        <w:numPr>
          <w:ilvl w:val="0"/>
          <w:numId w:val="1009"/>
        </w:numPr>
      </w:pPr>
      <w:r>
        <w:t xml:space="preserve">Law, A. M. (2015).</w:t>
      </w:r>
      <w:r>
        <w:t xml:space="preserve"> </w:t>
      </w:r>
      <w:r>
        <w:rPr>
          <w:i/>
          <w:iCs/>
        </w:rPr>
        <w:t xml:space="preserve">Simulation modeling and analysis</w:t>
      </w:r>
      <w:r>
        <w:t xml:space="preserve"> </w:t>
      </w:r>
      <w:r>
        <w:t xml:space="preserve">(5th ed.). McGraw-Hill.</w:t>
      </w:r>
    </w:p>
    <w:p>
      <w:pPr>
        <w:numPr>
          <w:ilvl w:val="0"/>
          <w:numId w:val="1009"/>
        </w:numPr>
      </w:pPr>
      <w:r>
        <w:t xml:space="preserve">Banks, J., Carson, J. S., Nelson, B. L., &amp; Nicol, D. M. (2014).</w:t>
      </w:r>
      <w:r>
        <w:t xml:space="preserve"> </w:t>
      </w:r>
      <w:r>
        <w:rPr>
          <w:i/>
          <w:iCs/>
        </w:rPr>
        <w:t xml:space="preserve">Discrete-event system simulation</w:t>
      </w:r>
      <w:r>
        <w:t xml:space="preserve"> </w:t>
      </w:r>
      <w:r>
        <w:t xml:space="preserve">(5th ed.). Pearson.</w:t>
      </w:r>
    </w:p>
    <w:p>
      <w:pPr>
        <w:numPr>
          <w:ilvl w:val="0"/>
          <w:numId w:val="1009"/>
        </w:numPr>
      </w:pPr>
      <w:r>
        <w:t xml:space="preserve">Matloff, N. (2008).</w:t>
      </w:r>
      <w:r>
        <w:t xml:space="preserve"> </w:t>
      </w:r>
      <w:r>
        <w:rPr>
          <w:i/>
          <w:iCs/>
        </w:rPr>
        <w:t xml:space="preserve">Introduction to discrete-event simulation and the SimPy language</w:t>
      </w:r>
      <w:r>
        <w:t xml:space="preserve">. University of California, Davis. https://simpy.readthedocs.io</w:t>
      </w:r>
    </w:p>
    <w:p>
      <w:pPr>
        <w:numPr>
          <w:ilvl w:val="0"/>
          <w:numId w:val="1009"/>
        </w:numPr>
      </w:pPr>
      <w:r>
        <w:t xml:space="preserve">Boeing, G., &amp; Wang, S. (2024). Urban street network analysis with computational notebooks: An OSMnx-based reproducible workflow.</w:t>
      </w:r>
      <w:r>
        <w:t xml:space="preserve"> </w:t>
      </w:r>
      <w:r>
        <w:rPr>
          <w:i/>
          <w:iCs/>
        </w:rPr>
        <w:t xml:space="preserve">Computers, Environment and Urban Systems, 107</w:t>
      </w:r>
      <w:r>
        <w:t xml:space="preserve">, 102045. https://doi.org/10.1016/j.compenvurbsys.2023.102045</w:t>
      </w:r>
    </w:p>
    <w:p>
      <w:pPr>
        <w:numPr>
          <w:ilvl w:val="0"/>
          <w:numId w:val="1009"/>
        </w:numPr>
      </w:pPr>
      <w:r>
        <w:t xml:space="preserve">Glasserman, P., &amp; Yao, D. D. (1992). Some guidelines and guarantees for common random numbers.</w:t>
      </w:r>
      <w:r>
        <w:t xml:space="preserve"> </w:t>
      </w:r>
      <w:r>
        <w:rPr>
          <w:i/>
          <w:iCs/>
        </w:rPr>
        <w:t xml:space="preserve">Management Science, 38</w:t>
      </w:r>
      <w:r>
        <w:t xml:space="preserve">(6), 884–908. https://doi.org/10.1287/mnsc.38.6.884</w:t>
      </w:r>
    </w:p>
    <w:p>
      <w:pPr>
        <w:numPr>
          <w:ilvl w:val="0"/>
          <w:numId w:val="1009"/>
        </w:numPr>
      </w:pPr>
      <w:r>
        <w:t xml:space="preserve">Nakayama, M. K. (2008). Statistical analysis of simulation output. In S. G. Henderson &amp; B. L. Nelson (Eds.),</w:t>
      </w:r>
      <w:r>
        <w:t xml:space="preserve"> </w:t>
      </w:r>
      <w:r>
        <w:rPr>
          <w:i/>
          <w:iCs/>
        </w:rPr>
        <w:t xml:space="preserve">Handbooks in operations research and management science: Simulation</w:t>
      </w:r>
      <w:r>
        <w:t xml:space="preserve"> </w:t>
      </w:r>
      <w:r>
        <w:t xml:space="preserve">(Vol. 13, pp. 207–249). Elsevier. https://doi.org/10.1016/S0927-0507(06)13007-7</w:t>
      </w:r>
    </w:p>
    <w:p>
      <w:pPr>
        <w:numPr>
          <w:ilvl w:val="0"/>
          <w:numId w:val="1009"/>
        </w:numPr>
      </w:pPr>
      <w:r>
        <w:t xml:space="preserve">Kaplan, E. L., &amp; Meier, P. (1958). Nonparametric estimation from incomplete observations.</w:t>
      </w:r>
      <w:r>
        <w:t xml:space="preserve"> </w:t>
      </w:r>
      <w:r>
        <w:rPr>
          <w:i/>
          <w:iCs/>
        </w:rPr>
        <w:t xml:space="preserve">Journal of the American Statistical Association, 53</w:t>
      </w:r>
      <w:r>
        <w:t xml:space="preserve">(282), 457–481. https://doi.org/10.1080/01621459.1958.10501452</w:t>
      </w:r>
    </w:p>
    <w:p>
      <w:pPr>
        <w:numPr>
          <w:ilvl w:val="0"/>
          <w:numId w:val="1009"/>
        </w:numPr>
      </w:pPr>
      <w:r>
        <w:t xml:space="preserve">Klein, J. P., &amp; Moeschberger, M. L. (2003).</w:t>
      </w:r>
      <w:r>
        <w:t xml:space="preserve"> </w:t>
      </w:r>
      <w:r>
        <w:rPr>
          <w:i/>
          <w:iCs/>
        </w:rPr>
        <w:t xml:space="preserve">Survival analysis: Techniques for censored and truncated data</w:t>
      </w:r>
      <w:r>
        <w:t xml:space="preserve"> </w:t>
      </w:r>
      <w:r>
        <w:t xml:space="preserve">(2nd ed.). Springer. https://doi.org/10.1007/b97377</w:t>
      </w:r>
    </w:p>
    <w:p>
      <w:pPr>
        <w:numPr>
          <w:ilvl w:val="0"/>
          <w:numId w:val="1009"/>
        </w:numPr>
      </w:pPr>
      <w:r>
        <w:t xml:space="preserve">Pinedo, M. L. (2016).</w:t>
      </w:r>
      <w:r>
        <w:t xml:space="preserve"> </w:t>
      </w:r>
      <w:r>
        <w:rPr>
          <w:i/>
          <w:iCs/>
        </w:rPr>
        <w:t xml:space="preserve">Scheduling: Theory, algorithms, and systems</w:t>
      </w:r>
      <w:r>
        <w:t xml:space="preserve"> </w:t>
      </w:r>
      <w:r>
        <w:t xml:space="preserve">(5th ed.). Springer. https://doi.org/10.1007/978-3-319-26580-3</w:t>
      </w:r>
    </w:p>
    <w:p>
      <w:pPr>
        <w:numPr>
          <w:ilvl w:val="0"/>
          <w:numId w:val="1009"/>
        </w:numPr>
      </w:pPr>
      <w:r>
        <w:t xml:space="preserve">Hall, N. G., &amp; Posner, M. E. (1991). Earliness–tardiness scheduling problems, I: Weighted deviation of completion times about a common due date.</w:t>
      </w:r>
      <w:r>
        <w:t xml:space="preserve"> </w:t>
      </w:r>
      <w:r>
        <w:rPr>
          <w:i/>
          <w:iCs/>
        </w:rPr>
        <w:t xml:space="preserve">Operations Research, 39</w:t>
      </w:r>
      <w:r>
        <w:t xml:space="preserve">(5), 836–846. https://doi.org/10.1287/opre.39.5.836</w:t>
      </w:r>
    </w:p>
    <w:p>
      <w:pPr>
        <w:numPr>
          <w:ilvl w:val="0"/>
          <w:numId w:val="1009"/>
        </w:numPr>
      </w:pPr>
      <w:r>
        <w:t xml:space="preserve">Sobol’, I. M. (2001). Global sensitivity indices for nonlinear mathematical models and their Monte Carlo estimates.</w:t>
      </w:r>
      <w:r>
        <w:t xml:space="preserve"> </w:t>
      </w:r>
      <w:r>
        <w:rPr>
          <w:i/>
          <w:iCs/>
        </w:rPr>
        <w:t xml:space="preserve">Mathematics and Computers in Simulation, 55</w:t>
      </w:r>
      <w:r>
        <w:t xml:space="preserve">(1–3), 271–280. https://doi.org/10.1016/S0378-4754(00)00270-6</w:t>
      </w:r>
    </w:p>
    <w:p>
      <w:pPr>
        <w:numPr>
          <w:ilvl w:val="0"/>
          <w:numId w:val="1009"/>
        </w:numPr>
      </w:pPr>
      <w:r>
        <w:t xml:space="preserve">Morris, M. D. (1991). Factorial sampling plans for preliminary computational experiments.</w:t>
      </w:r>
      <w:r>
        <w:t xml:space="preserve"> </w:t>
      </w:r>
      <w:r>
        <w:rPr>
          <w:i/>
          <w:iCs/>
        </w:rPr>
        <w:t xml:space="preserve">Technometrics, 33</w:t>
      </w:r>
      <w:r>
        <w:t xml:space="preserve">(2), 161–174. https://doi.org/10.1080/00401706.1991.10484804</w:t>
      </w:r>
    </w:p>
    <w:p>
      <w:pPr>
        <w:numPr>
          <w:ilvl w:val="0"/>
          <w:numId w:val="1009"/>
        </w:numPr>
      </w:pPr>
      <w:r>
        <w:t xml:space="preserve">Campolongo, F., Cariboni, J., &amp; Saltelli, A. (2007). An effective screening design for sensitivity analysis of large models.</w:t>
      </w:r>
      <w:r>
        <w:t xml:space="preserve"> </w:t>
      </w:r>
      <w:r>
        <w:rPr>
          <w:i/>
          <w:iCs/>
        </w:rPr>
        <w:t xml:space="preserve">Environmental Modelling &amp; Software, 22</w:t>
      </w:r>
      <w:r>
        <w:t xml:space="preserve">(10), 1509–1518. https://doi.org/10.1016/j.envsoft.2006.10.004</w:t>
      </w:r>
    </w:p>
    <w:p>
      <w:pPr>
        <w:numPr>
          <w:ilvl w:val="0"/>
          <w:numId w:val="1009"/>
        </w:numPr>
      </w:pPr>
      <w:r>
        <w:t xml:space="preserve">Herman, J., &amp; Usher, W. (2017). SALib: An open-source Python library for sensitivity analysis.</w:t>
      </w:r>
      <w:r>
        <w:t xml:space="preserve"> </w:t>
      </w:r>
      <w:r>
        <w:rPr>
          <w:i/>
          <w:iCs/>
        </w:rPr>
        <w:t xml:space="preserve">Journal of Open Source Software, 2</w:t>
      </w:r>
      <w:r>
        <w:t xml:space="preserve">(9), 97. https://doi.org/10.21105/joss.00097</w:t>
      </w:r>
    </w:p>
    <w:p>
      <w:pPr>
        <w:numPr>
          <w:ilvl w:val="0"/>
          <w:numId w:val="1009"/>
        </w:numPr>
      </w:pPr>
      <w:r>
        <w:t xml:space="preserve">Boeing, G. (2017). OSMnx: New methods for acquiring, constructing, analyzing, and visualizing complex street networks.</w:t>
      </w:r>
      <w:r>
        <w:t xml:space="preserve"> </w:t>
      </w:r>
      <w:r>
        <w:rPr>
          <w:i/>
          <w:iCs/>
        </w:rPr>
        <w:t xml:space="preserve">Computers, Environment and Urban Systems, 65</w:t>
      </w:r>
      <w:r>
        <w:t xml:space="preserve">, 126–139. https://doi.org/10.1016/j.compenvurbsys.2017.05.004</w:t>
      </w:r>
    </w:p>
    <w:p>
      <w:pPr>
        <w:numPr>
          <w:ilvl w:val="0"/>
          <w:numId w:val="1009"/>
        </w:numPr>
      </w:pPr>
      <w:r>
        <w:t xml:space="preserve">Hillier, F. S., &amp; Lieberman, G. J. (2015).</w:t>
      </w:r>
      <w:r>
        <w:t xml:space="preserve"> </w:t>
      </w:r>
      <w:r>
        <w:rPr>
          <w:i/>
          <w:iCs/>
        </w:rPr>
        <w:t xml:space="preserve">Introduction to operations research</w:t>
      </w:r>
      <w:r>
        <w:t xml:space="preserve"> </w:t>
      </w:r>
      <w:r>
        <w:t xml:space="preserve">(10th ed.). McGraw-Hill.</w:t>
      </w:r>
    </w:p>
    <w:p>
      <w:pPr>
        <w:numPr>
          <w:ilvl w:val="0"/>
          <w:numId w:val="1009"/>
        </w:numPr>
      </w:pPr>
      <w:r>
        <w:t xml:space="preserve">Sullivan, W. G., Wicks, E. M., &amp; Koelling, C. P. (2019).</w:t>
      </w:r>
      <w:r>
        <w:t xml:space="preserve"> </w:t>
      </w:r>
      <w:r>
        <w:rPr>
          <w:i/>
          <w:iCs/>
        </w:rPr>
        <w:t xml:space="preserve">Engineering economy</w:t>
      </w:r>
      <w:r>
        <w:t xml:space="preserve"> </w:t>
      </w:r>
      <w:r>
        <w:t xml:space="preserve">(17th ed.). Pearson.</w:t>
      </w:r>
    </w:p>
    <w:p>
      <w:r>
        <w:pict>
          <v:rect style="width:0;height:1.5pt" o:hralign="center" o:hrstd="t" o:hr="t"/>
        </w:pict>
      </w:r>
    </w:p>
    <w:bookmarkEnd w:id="75"/>
    <w:bookmarkStart w:id="77" w:name="부록-appendix"/>
    <w:p>
      <w:pPr>
        <w:pStyle w:val="Heading2"/>
      </w:pPr>
      <w:r>
        <w:t xml:space="preserve">부록 (Appendix)</w:t>
      </w:r>
    </w:p>
    <w:bookmarkStart w:id="76" w:name="b.-보충-자료-supplementary-materials"/>
    <w:p>
      <w:pPr>
        <w:pStyle w:val="Heading3"/>
      </w:pPr>
      <w:r>
        <w:t xml:space="preserve">B. 보충 자료 (Supplementary materials)</w:t>
      </w:r>
    </w:p>
    <w:p>
      <w:pPr>
        <w:pStyle w:val="FirstParagraph"/>
      </w:pPr>
      <w:r>
        <w:t xml:space="preserve">본 연구는 G4 자산 한도(주문문 ≤ 10개 figure+table)에 맞추기 위해 다음 두 자산을 본문에서 보충 자료로 이관하였다(C6 cross-reference audit §D 권고).</w:t>
      </w:r>
    </w:p>
    <w:p>
      <w:pPr>
        <w:pStyle w:val="Compact"/>
        <w:numPr>
          <w:ilvl w:val="0"/>
          <w:numId w:val="1010"/>
        </w:numPr>
      </w:pPr>
      <w:r>
        <w:rPr>
          <w:b/>
          <w:bCs/>
        </w:rPr>
        <w:t xml:space="preserve">표 S1 (DoE 설계 격자).</w:t>
      </w:r>
      <w:r>
        <w:t xml:space="preserve"> </w:t>
      </w:r>
      <w:r>
        <w:rPr>
          <w:rStyle w:val="VerbatimChar"/>
        </w:rPr>
        <w:t xml:space="preserve">manuscript/supplementary/table_s1_doe_design.md</w:t>
      </w:r>
      <w:r>
        <w:t xml:space="preserve"> </w:t>
      </w:r>
      <w:r>
        <w:t xml:space="preserve">— Phase 1a/1b/2/3 및 Morris 단계의 격자 차원·수준·반복·페어드 실행 수·추정 벽시계 요약. 본문 §3.5에 prose로 통합되어 있고, 본 보충표는 격자 메타데이터의 통합 참조이다.</w:t>
      </w:r>
    </w:p>
    <w:p>
      <w:pPr>
        <w:pStyle w:val="Compact"/>
        <w:numPr>
          <w:ilvl w:val="0"/>
          <w:numId w:val="1010"/>
        </w:numPr>
      </w:pPr>
      <w:r>
        <w:rPr>
          <w:b/>
          <w:bCs/>
        </w:rPr>
        <w:t xml:space="preserve">그림 S1 (원점 강건성, 4개 원점 비교, R = 20).</w:t>
      </w:r>
      <w:r>
        <w:t xml:space="preserve"> </w:t>
      </w:r>
      <w:r>
        <w:rPr>
          <w:rStyle w:val="VerbatimChar"/>
        </w:rPr>
        <w:t xml:space="preserve">manuscript/supplementary/figure_s1_origin_robustness.png</w:t>
      </w:r>
      <w:r>
        <w:t xml:space="preserve"> </w:t>
      </w:r>
      <w:r>
        <w:t xml:space="preserve">— Phase 1b 원점 강건성 곡선. 사이드카 데이터</w:t>
      </w:r>
      <w:r>
        <w:t xml:space="preserve"> </w:t>
      </w:r>
      <w:r>
        <w:rPr>
          <w:rStyle w:val="VerbatimChar"/>
        </w:rPr>
        <w:t xml:space="preserve">figure_s1_origin_robustness.csv</w:t>
      </w:r>
      <w:r>
        <w:t xml:space="preserve"> </w:t>
      </w:r>
      <w:r>
        <w:t xml:space="preserve">동봉. 본문 §4.2에서 〈표 4〉가 동일한 정량값을 수록하며, Origin D 비검증(unverified) caveat은 §4.2 caveat 박스를 따른다.</w:t>
      </w:r>
    </w:p>
    <w:p>
      <w:pPr>
        <w:pStyle w:val="FirstParagraph"/>
      </w:pPr>
      <w:r>
        <w:t xml:space="preserve">본 부록은 본문 결론에 부가 정보를 제공할 뿐, 본문 결론의 증거 체인에는 영향을 미치지 않는다.</w:t>
      </w:r>
    </w:p>
    <w:bookmarkEnd w:id="76"/>
    <w:bookmarkEnd w:id="77"/>
    <w:bookmarkEnd w:id="78"/>
    <w:sectPr w:rsidR="00FC693F" w:rsidRPr="0006063C" w:rsidSect="00034616">
      <w:pgSz w:h="16838" w:w="11906"/>
      <w:pgMar w:bottom="1020" w:footer="720" w:gutter="0" w:header="720" w:left="1020" w:right="1020"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 w:before="20" w:line="240" w:lineRule="auto"/>
    </w:pPr>
    <w:rPr>
      <w:rFonts w:ascii="Pretendard" w:eastAsia="Malgun Gothic" w:hAnsi="Pretendard"/>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Pretendard" w:asciiTheme="majorHAnsi" w:cstheme="majorBidi" w:eastAsia="Malgun Gothic" w:eastAsiaTheme="majorEastAsia" w:hAnsi="Pretendard" w:hAnsiTheme="majorHAnsi"/>
      <w:b/>
      <w:bCs/>
      <w:color w:themeColor="accent1" w:themeShade="BF" w:val="365F91"/>
      <w:sz w:val="2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Pretendard" w:asciiTheme="majorHAnsi" w:cstheme="majorBidi" w:eastAsia="Malgun Gothic" w:eastAsiaTheme="majorEastAsia" w:hAnsi="Pretendard" w:hAnsiTheme="majorHAnsi"/>
      <w:b/>
      <w:bCs/>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Pretendard" w:asciiTheme="majorHAnsi" w:cstheme="majorBidi" w:eastAsia="Malgun Gothic" w:eastAsiaTheme="majorEastAsia" w:hAnsi="Pretendard" w:hAnsiTheme="majorHAnsi"/>
      <w:b/>
      <w:bCs/>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Pretendard" w:asciiTheme="majorHAnsi" w:cstheme="majorBidi" w:eastAsia="Malgun Gothic" w:eastAsiaTheme="majorEastAsia" w:hAnsi="Pretendard" w:hAnsiTheme="majorHAnsi"/>
      <w:b/>
      <w:bCs/>
      <w:i/>
      <w:iCs/>
      <w:color w:themeColor="accent1" w:val="4F81BD"/>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4" Type="http://schemas.openxmlformats.org/officeDocument/2006/relationships/image" Target="media/rId24.png"/><Relationship Id="rId40" Type="http://schemas.openxmlformats.org/officeDocument/2006/relationships/image" Target="media/rId40.png"/><Relationship Id="rId43" Type="http://schemas.openxmlformats.org/officeDocument/2006/relationships/image" Target="media/rId43.png"/><Relationship Id="rId58" Type="http://schemas.openxmlformats.org/officeDocument/2006/relationships/image" Target="media/rId58.png"/><Relationship Id="rId46" Type="http://schemas.openxmlformats.org/officeDocument/2006/relationships/image" Target="media/rId46.png"/><Relationship Id="rId54" Type="http://schemas.openxmlformats.org/officeDocument/2006/relationships/image" Target="media/rId54.png"/><Relationship Id="rId50" Type="http://schemas.openxmlformats.org/officeDocument/2006/relationships/image" Target="media/rId50.png"/><Relationship Id="rId65" Type="http://schemas.openxmlformats.org/officeDocument/2006/relationships/image" Target="media/rId65.png"/><Relationship Id="rId61" Type="http://schemas.openxmlformats.org/officeDocument/2006/relationships/image" Target="media/rId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2026-05-14T02:00:12Z</dcterms:created>
  <dcterms:modified xsi:type="dcterms:W3CDTF">2026-05-14T02:00:12Z</dcterms:modified>
</cp:coreProperties>
</file>

<file path=docProps/custom.xml><?xml version="1.0" encoding="utf-8"?>
<Properties xmlns="http://schemas.openxmlformats.org/officeDocument/2006/custom-properties" xmlns:vt="http://schemas.openxmlformats.org/officeDocument/2006/docPropsVTypes"/>
</file>