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ind w:left="567"/>
      </w:pPr>
      <w:r>
        <w:rPr>
          <w:rFonts w:ascii="Malgun Gothic" w:hAnsi="Malgun Gothic" w:eastAsia="Malgun Gothic"/>
          <w:b w:val="0"/>
          <w:sz w:val="22"/>
        </w:rPr>
        <w:t>Current project status (2026-05-09): `final_study_ready=false`. Ready gates are `3/15` (`real_input_smoke`, `structured_disruptions`, `policy_alternatives`), blocked gates are `12/15`, and formal acceptance is `0/12` ready. This document is current-state or review support only; it does not create formal approval, calibrated real-world results, or operational routing guidance.</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구현 기술 스택 및 시뮬레이션 설계</w:t>
      </w:r>
    </w:p>
    <w:p>
      <w:r>
        <w:rPr>
          <w:rFonts w:ascii="Malgun Gothic" w:hAnsi="Malgun Gothic" w:eastAsia="Malgun Gothic"/>
          <w:b w:val="0"/>
          <w:sz w:val="22"/>
        </w:rPr>
        <w:t>이 절은 시뮬레이션을 실제로 어떤 외부 자료와 도구로 구성했는지 정리한다. 보고서의 본문 결과가 아직 추상 네트워크 기반이라는 점은 그대로지만, 실제 도로 자료를 도입하기 위한 구현 경로와 사용한 공개 프로젝트는 다음과 같다.</w:t>
      </w:r>
    </w:p>
    <w:p>
      <w:r>
        <w:rPr>
          <w:rFonts w:ascii="Malgun Gothic" w:hAnsi="Malgun Gothic" w:eastAsia="Malgun Gothic"/>
          <w:b/>
          <w:sz w:val="24"/>
        </w:rPr>
        <w:t>외부 자료와 라이브러리 구성</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프로젝트</w:t>
            </w:r>
          </w:p>
        </w:tc>
        <w:tc>
          <w:tcPr>
            <w:tcW w:type="dxa" w:w="3009"/>
            <w:shd w:val="clear" w:color="auto" w:fill="1F3864"/>
          </w:tcPr>
          <w:p>
            <w:pPr>
              <w:jc w:val="center"/>
            </w:pPr>
            <w:r/>
            <w:r>
              <w:rPr>
                <w:rFonts w:ascii="Malgun Gothic" w:hAnsi="Malgun Gothic" w:eastAsia="Malgun Gothic"/>
                <w:b/>
                <w:color w:val="FFFFFF"/>
                <w:sz w:val="20"/>
              </w:rPr>
              <w:t>이 연구에서 가져온 것</w:t>
            </w:r>
          </w:p>
        </w:tc>
      </w:tr>
      <w:tr>
        <w:tc>
          <w:tcPr>
            <w:tcW w:type="dxa" w:w="3009"/>
          </w:tcPr>
          <w:p>
            <w:r/>
            <w:r>
              <w:rPr>
                <w:rFonts w:ascii="Malgun Gothic" w:hAnsi="Malgun Gothic" w:eastAsia="Malgun Gothic"/>
                <w:b w:val="0"/>
                <w:sz w:val="20"/>
              </w:rPr>
              <w:t>지도 자료</w:t>
            </w:r>
          </w:p>
        </w:tc>
        <w:tc>
          <w:tcPr>
            <w:tcW w:type="dxa" w:w="3009"/>
          </w:tcPr>
          <w:p>
            <w:r/>
            <w:r>
              <w:rPr>
                <w:rFonts w:ascii="Malgun Gothic" w:hAnsi="Malgun Gothic" w:eastAsia="Malgun Gothic"/>
                <w:b w:val="0"/>
                <w:sz w:val="20"/>
              </w:rPr>
              <w:t>OpenStreetMap (OSM)</w:t>
            </w:r>
          </w:p>
        </w:tc>
        <w:tc>
          <w:tcPr>
            <w:tcW w:type="dxa" w:w="3009"/>
          </w:tcPr>
          <w:p>
            <w:r/>
            <w:r>
              <w:rPr>
                <w:rFonts w:ascii="Malgun Gothic" w:hAnsi="Malgun Gothic" w:eastAsia="Malgun Gothic"/>
                <w:b w:val="0"/>
                <w:sz w:val="20"/>
              </w:rPr>
              <w:t>송파 시범 권역의 도로 기하 정보와 `highway`, `maxspeed`, `lanes`, `oneway` 등 도로 태그</w:t>
            </w:r>
          </w:p>
        </w:tc>
      </w:tr>
      <w:tr>
        <w:tc>
          <w:tcPr>
            <w:tcW w:type="dxa" w:w="3009"/>
          </w:tcPr>
          <w:p>
            <w:r/>
            <w:r>
              <w:rPr>
                <w:rFonts w:ascii="Malgun Gothic" w:hAnsi="Malgun Gothic" w:eastAsia="Malgun Gothic"/>
                <w:b w:val="0"/>
                <w:sz w:val="20"/>
              </w:rPr>
              <w:t>OSM 추출</w:t>
            </w:r>
          </w:p>
        </w:tc>
        <w:tc>
          <w:tcPr>
            <w:tcW w:type="dxa" w:w="3009"/>
          </w:tcPr>
          <w:p>
            <w:r/>
            <w:r>
              <w:rPr>
                <w:rFonts w:ascii="Malgun Gothic" w:hAnsi="Malgun Gothic" w:eastAsia="Malgun Gothic"/>
                <w:b w:val="0"/>
                <w:sz w:val="20"/>
              </w:rPr>
              <w:t>Overpass API</w:t>
            </w:r>
          </w:p>
        </w:tc>
        <w:tc>
          <w:tcPr>
            <w:tcW w:type="dxa" w:w="3009"/>
          </w:tcPr>
          <w:p>
            <w:r/>
            <w:r>
              <w:rPr>
                <w:rFonts w:ascii="Malgun Gothic" w:hAnsi="Malgun Gothic" w:eastAsia="Malgun Gothic"/>
                <w:b w:val="0"/>
                <w:sz w:val="20"/>
              </w:rPr>
              <w:t>bbox 범위에서 `way["highway"]` 질의를 직접 호출해 JSON 응답 수신 (`scripts/build_pilot_cache.py`)</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OSM way를 `MultiDiGraph`로 정규화, GraphML 캐시로 저장·재사용</w:t>
            </w:r>
          </w:p>
        </w:tc>
      </w:tr>
      <w:tr>
        <w:tc>
          <w:tcPr>
            <w:tcW w:type="dxa" w:w="3009"/>
          </w:tcPr>
          <w:p>
            <w:r/>
            <w:r>
              <w:rPr>
                <w:rFonts w:ascii="Malgun Gothic" w:hAnsi="Malgun Gothic" w:eastAsia="Malgun Gothic"/>
                <w:b w:val="0"/>
                <w:sz w:val="20"/>
              </w:rPr>
              <w:t>이산사건 시뮬레이션</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차량 배차, 승객 도착, 환승, 철도 운행의 시간 흐름 처리</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`default_rng`로 재현 가능한 확률 추출</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산출물(KPI) 표 작성과 신뢰구간 정리</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KPI 분포, 정책·시나리오 비교 그림</w:t>
            </w:r>
          </w:p>
        </w:tc>
      </w:tr>
      <w:tr>
        <w:tc>
          <w:tcPr>
            <w:tcW w:type="dxa" w:w="3009"/>
          </w:tcPr>
          <w:p>
            <w:r/>
            <w:r>
              <w:rPr>
                <w:rFonts w:ascii="Malgun Gothic" w:hAnsi="Malgun Gothic" w:eastAsia="Malgun Gothic"/>
                <w:b w:val="0"/>
                <w:sz w:val="20"/>
              </w:rPr>
              <w:t>민감도 분석</w:t>
            </w:r>
          </w:p>
        </w:tc>
        <w:tc>
          <w:tcPr>
            <w:tcW w:type="dxa" w:w="3009"/>
          </w:tcPr>
          <w:p>
            <w:r/>
            <w:r>
              <w:rPr>
                <w:rFonts w:ascii="Malgun Gothic" w:hAnsi="Malgun Gothic" w:eastAsia="Malgun Gothic"/>
                <w:b w:val="0"/>
                <w:sz w:val="20"/>
              </w:rPr>
              <w:t>SALib</w:t>
            </w:r>
          </w:p>
        </w:tc>
        <w:tc>
          <w:tcPr>
            <w:tcW w:type="dxa" w:w="3009"/>
          </w:tcPr>
          <w:p>
            <w:r/>
            <w:r>
              <w:rPr>
                <w:rFonts w:ascii="Malgun Gothic" w:hAnsi="Malgun Gothic" w:eastAsia="Malgun Gothic"/>
                <w:b w:val="0"/>
                <w:sz w:val="20"/>
              </w:rPr>
              <w:t>Morris 일차원 스크리닝, Sobol 분석 결정용 메타데이터</w:t>
            </w:r>
          </w:p>
        </w:tc>
      </w:tr>
      <w:tr>
        <w:tc>
          <w:tcPr>
            <w:tcW w:type="dxa" w:w="3009"/>
          </w:tcPr>
          <w:p>
            <w:r/>
            <w:r>
              <w:rPr>
                <w:rFonts w:ascii="Malgun Gothic" w:hAnsi="Malgun Gothic" w:eastAsia="Malgun Gothic"/>
                <w:b w:val="0"/>
                <w:sz w:val="20"/>
              </w:rPr>
              <w:t>보고서 작성</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r>
        <w:tc>
          <w:tcPr>
            <w:tcW w:type="dxa" w:w="3009"/>
          </w:tcPr>
          <w:p>
            <w:r/>
            <w:r>
              <w:rPr>
                <w:rFonts w:ascii="Malgun Gothic" w:hAnsi="Malgun Gothic" w:eastAsia="Malgun Gothic"/>
                <w:b w:val="0"/>
                <w:sz w:val="20"/>
              </w:rPr>
              <w:t>외부 라우팅 기준 (선택)</w:t>
            </w:r>
          </w:p>
        </w:tc>
        <w:tc>
          <w:tcPr>
            <w:tcW w:type="dxa" w:w="3009"/>
          </w:tcPr>
          <w:p>
            <w:r/>
            <w:r>
              <w:rPr>
                <w:rFonts w:ascii="Malgun Gothic" w:hAnsi="Malgun Gothic" w:eastAsia="Malgun Gothic"/>
                <w:b w:val="0"/>
                <w:sz w:val="20"/>
              </w:rPr>
              <w:t>OSRM</w:t>
            </w:r>
          </w:p>
        </w:tc>
        <w:tc>
          <w:tcPr>
            <w:tcW w:type="dxa" w:w="3009"/>
          </w:tcPr>
          <w:p>
            <w:r/>
            <w:r>
              <w:rPr>
                <w:rFonts w:ascii="Malgun Gothic" w:hAnsi="Malgun Gothic" w:eastAsia="Malgun Gothic"/>
                <w:b w:val="0"/>
                <w:sz w:val="20"/>
              </w:rPr>
              <w:t>캐시된 라우팅 스냅샷을 보조 비교 기준으로 사용 (현재 검토 단계)</w:t>
            </w:r>
          </w:p>
        </w:tc>
      </w:tr>
      <w:tr>
        <w:tc>
          <w:tcPr>
            <w:tcW w:type="dxa" w:w="3009"/>
          </w:tcPr>
          <w:p>
            <w:r/>
            <w:r>
              <w:rPr>
                <w:rFonts w:ascii="Malgun Gothic" w:hAnsi="Malgun Gothic" w:eastAsia="Malgun Gothic"/>
                <w:b w:val="0"/>
                <w:sz w:val="20"/>
              </w:rPr>
              <w:t>대중교통 자료 (선택)</w:t>
            </w:r>
          </w:p>
        </w:tc>
        <w:tc>
          <w:tcPr>
            <w:tcW w:type="dxa" w:w="3009"/>
          </w:tcPr>
          <w:p>
            <w:r/>
            <w:r>
              <w:rPr>
                <w:rFonts w:ascii="Malgun Gothic" w:hAnsi="Malgun Gothic" w:eastAsia="Malgun Gothic"/>
                <w:b w:val="0"/>
                <w:sz w:val="20"/>
              </w:rPr>
              <w:t>KTDB GTFS, 서울교통공사 9호선 자료</w:t>
            </w:r>
          </w:p>
        </w:tc>
        <w:tc>
          <w:tcPr>
            <w:tcW w:type="dxa" w:w="3009"/>
          </w:tcPr>
          <w:p>
            <w:r/>
            <w:r>
              <w:rPr>
                <w:rFonts w:ascii="Malgun Gothic" w:hAnsi="Malgun Gothic" w:eastAsia="Malgun Gothic"/>
                <w:b w:val="0"/>
                <w:sz w:val="20"/>
              </w:rPr>
              <w:t>철도 운행 간격과 수송 능력 근거 캐시 (현재 약한 근거)</w:t>
            </w:r>
          </w:p>
        </w:tc>
      </w:tr>
    </w:tbl>
    <w:p/>
    <w:p>
      <w:r>
        <w:rPr>
          <w:rFonts w:ascii="Malgun Gothic" w:hAnsi="Malgun Gothic" w:eastAsia="Malgun Gothic"/>
          <w:b/>
          <w:sz w:val="24"/>
        </w:rPr>
        <w:t>도로망 입력 구축 흐름</w:t>
      </w:r>
    </w:p>
    <w:p>
      <w:r>
        <w:rPr>
          <w:rFonts w:ascii="Malgun Gothic" w:hAnsi="Malgun Gothic" w:eastAsia="Malgun Gothic"/>
          <w:b w:val="0"/>
          <w:sz w:val="22"/>
        </w:rPr>
        <w:t>도로망은 `data/regions/pilot_region.yaml`에 정의한 송파 공공 시범 권역 bbox (북 37.5300, 남 37.5000, 동 127.1400, 서 127.0900)를 기준으로 Overpass API에 직접 질의해 받아온다. 결과 JSON의 node와 way를 NetworkX `MultiDiGraph`로 변환한 뒤 `oneway` 태그가 아닐 때 양방향 간선을 추가하고, 평면 근사식으로 길이를 계산한다. 이 그래프는 `data/cache/pilot_region_road.graphml`로 저장되며, 함께 만들어지는 `pilot_region_road_manifest.json`에는 추출 시각, Overpass 질의 문자열, 노드·간선 수, OSM 출처 표기, 그리고 “이 캐시는 시범 스모크 한정 근거이며 발표 주장에는 외부 검증과 변수 보정이 추가로 필요하다”는 청구 범위 제한이 함께 기록된다. 현재 캐시는 13,268개 노드와 28,947개 간선을 가진다.</w:t>
      </w:r>
    </w:p>
    <w:p>
      <w:r>
        <w:rPr>
          <w:rFonts w:ascii="Malgun Gothic" w:hAnsi="Malgun Gothic" w:eastAsia="Malgun Gothic"/>
          <w:b w:val="0"/>
          <w:sz w:val="22"/>
        </w:rPr>
        <w:t>이 OSM 캐시는 `src/realworld/osm_network.py`의 `load_graphml`로 다시 읽어 시뮬레이터 형식으로 정규화되고, `attributes.py`와 `zones.py`가 도로 속성 매핑·집결지·목적지 연결 간선을 부여한 다음, `adapter.py`가 본 시뮬레이터의 `DiGraph` 입력으로 변환한다. osmnx 의존성은 lazy import로 묶어 두어 오프라인 환경에서도 기존 캐시만으로 검증 실행이 가능하도록 했다.</w:t>
      </w:r>
    </w:p>
    <w:p>
      <w:r>
        <w:rPr>
          <w:rFonts w:ascii="Malgun Gothic" w:hAnsi="Malgun Gothic" w:eastAsia="Malgun Gothic"/>
          <w:b/>
          <w:sz w:val="24"/>
        </w:rPr>
        <w:t>핵심 수치 모형</w:t>
      </w:r>
    </w:p>
    <w:p>
      <w:r>
        <w:rPr>
          <w:rFonts w:ascii="Malgun Gothic" w:hAnsi="Malgun Gothic" w:eastAsia="Malgun Gothic"/>
          <w:b w:val="0"/>
          <w:sz w:val="22"/>
        </w:rPr>
        <w:t>도로 통행시간은 표준 BPR 함수로 계산한다. 자유흐름 시간을 t0, 시간당 차량 진입수를 v, 용량을 C라 할 때 t = t0 · (1 + α · (v/C)^β) 형태이며, 기본값은 α = 0.15, β = 4.0이다. 전시 또는 비상상황의 혼잡 가중을 표현하기 위해 v/C에 0.8부터 2.0까지의 척도 인자를 곱해 5수준으로 비교한다. 시간당 진입수는 `DynamicRoadTraffic`이 각 간선에 대해 60분 길이의 이동 창에서 진입 시각을 누적해 산출하고, 차량이 간선에 진입하는 순간의 혼잡 정도로 평가한다.</w:t>
      </w:r>
    </w:p>
    <w:p>
      <w:r>
        <w:rPr>
          <w:rFonts w:ascii="Malgun Gothic" w:hAnsi="Malgun Gothic" w:eastAsia="Malgun Gothic"/>
          <w:b w:val="0"/>
          <w:sz w:val="22"/>
        </w:rPr>
        <w:t>도로 장애는 간선별 기본 실패확률 p_fail에 시나리오 척도 인자 p_fail_scale을 곱한 베르누이 시행으로 표현한다. 시나리오 척도는 0.0부터 3.0까지 7수준이며, 장애 모드는 완전 차단(blocked)과 용량 저하(0.25, 0.5, 0.75 중 하나) 두 종류를 비교한다. 집결 인원의 도착 지연은 로그정규 분포로 표현하며, μ = 2.0, σ ∈ {0.3, 0.5, 0.7, 1.0}을 비교한다. 철도 구간은 고정 헤드웨이와 열차당 수송 능력을 갖춘 결정론적 운행으로 모형화하고, 환승은 기본 시간과 인원 비례 추가시간 합으로 계산한다.</w:t>
      </w:r>
    </w:p>
    <w:p>
      <w:r>
        <w:rPr>
          <w:rFonts w:ascii="Malgun Gothic" w:hAnsi="Malgun Gothic" w:eastAsia="Malgun Gothic"/>
          <w:b/>
          <w:sz w:val="24"/>
        </w:rPr>
        <w:t>디스패치, 정책, 페어드 비교 구조</w:t>
      </w:r>
    </w:p>
    <w:p>
      <w:r>
        <w:rPr>
          <w:rFonts w:ascii="Malgun Gothic" w:hAnsi="Malgun Gothic" w:eastAsia="Malgun Gothic"/>
          <w:b w:val="0"/>
          <w:sz w:val="22"/>
        </w:rPr>
        <w:t>차량 배차는 `plan_dispatches`가 정해진 첫 출발 시각, 5분 배차 간격, 23대 차량, 5분 회차 시간으로 운행 계획을 생성하고, `FleetAvailability`가 각 차량의 가용 시각을 관리한다. 출발 정책은 정해진 시각에 도착한 인원만 태우고 출발하는 정책(STRICT)과, 최대 W분까지 대기하되 점유율이 θ 이상이면 출발하는 정책(GRACE)을 비교한다. GRACE의 W는 15, 30, 60분, θ는 0.8, 0.9를 사용한다.</w:t>
      </w:r>
    </w:p>
    <w:p>
      <w:r>
        <w:rPr>
          <w:rFonts w:ascii="Malgun Gothic" w:hAnsi="Malgun Gothic" w:eastAsia="Malgun Gothic"/>
          <w:b w:val="0"/>
          <w:sz w:val="22"/>
        </w:rPr>
        <w:t>실험은 두 수송 방식, 6개 정책 조합, 혼잡 척도 5수준, 장애 척도 7수준, 지각 척도 4수준, 시드 30개 복제로 구성되며, 동일한 시드에서 정책만 바꿔 비교하는 공통 난수 페어링(CRN)을 사용해 우연한 차이를 줄였다. 결과 지표는 전체 완료시간, 정시 도착 비율, 미도착 인원, 미도착 인원을 1,440분 벌점으로 반영한 보정 완료시간, 도로 차량 운행시간 대비 수송 인원, 전체 수단 운행시간 대비 수송 인원 등 다지표를 함께 사용한다.</w:t>
      </w:r>
    </w:p>
    <w:p>
      <w:r>
        <w:rPr>
          <w:rFonts w:ascii="Malgun Gothic" w:hAnsi="Malgun Gothic" w:eastAsia="Malgun Gothic"/>
          <w:b/>
          <w:sz w:val="24"/>
        </w:rPr>
        <w:t>분석 파이프라인</w:t>
      </w:r>
    </w:p>
    <w:p>
      <w:r>
        <w:rPr>
          <w:rFonts w:ascii="Malgun Gothic" w:hAnsi="Malgun Gothic" w:eastAsia="Malgun Gothic"/>
          <w:b w:val="0"/>
          <w:sz w:val="22"/>
        </w:rPr>
        <w:t>전체 흐름은 다음과 같이 단계별로 구성되어 있다.</w:t>
      </w:r>
    </w:p>
    <w:p>
      <w:pPr>
        <w:pStyle w:val="ListBullet"/>
      </w:pPr>
      <w:r>
        <w:rPr>
          <w:rFonts w:ascii="Malgun Gothic" w:hAnsi="Malgun Gothic" w:eastAsia="Malgun Gothic"/>
          <w:b w:val="0"/>
          <w:sz w:val="22"/>
        </w:rPr>
        <w:t>`scripts/build_pilot_cache.py`로 Overpass에서 OSM 도로망 캐시를 생성하거나 기존 캐시를 보존한다.</w:t>
      </w:r>
    </w:p>
    <w:p>
      <w:pPr>
        <w:pStyle w:val="ListBullet"/>
      </w:pPr>
      <w:r>
        <w:rPr>
          <w:rFonts w:ascii="Malgun Gothic" w:hAnsi="Malgun Gothic" w:eastAsia="Malgun Gothic"/>
          <w:b w:val="0"/>
          <w:sz w:val="22"/>
        </w:rPr>
        <w:t>`main.py`가 두 수송 방식과 정책 조합을 시드 페어링으로 반복 실행하여 `results/` 아래에 원자료 CSV를 작성한다.</w:t>
      </w:r>
    </w:p>
    <w:p>
      <w:pPr>
        <w:pStyle w:val="ListBullet"/>
      </w:pPr>
      <w:r>
        <w:rPr>
          <w:rFonts w:ascii="Malgun Gothic" w:hAnsi="Malgun Gothic" w:eastAsia="Malgun Gothic"/>
          <w:b w:val="0"/>
          <w:sz w:val="22"/>
        </w:rPr>
        <w:t>`make_pilot_figures.py`와 `pilot_statistics.py`가 신뢰구간과 정책 차이 표를 생성한다.</w:t>
      </w:r>
    </w:p>
    <w:p>
      <w:pPr>
        <w:pStyle w:val="ListBullet"/>
      </w:pPr>
      <w:r>
        <w:rPr>
          <w:rFonts w:ascii="Malgun Gothic" w:hAnsi="Malgun Gothic" w:eastAsia="Malgun Gothic"/>
          <w:b w:val="0"/>
          <w:sz w:val="22"/>
        </w:rPr>
        <w:t>`run_sensitivity.py`가 SALib Morris 일차원 민감도 스크리닝을 수행한다.</w:t>
      </w:r>
    </w:p>
    <w:p>
      <w:pPr>
        <w:pStyle w:val="ListBullet"/>
      </w:pPr>
      <w:r>
        <w:rPr>
          <w:rFonts w:ascii="Malgun Gothic" w:hAnsi="Malgun Gothic" w:eastAsia="Malgun Gothic"/>
          <w:b w:val="0"/>
          <w:sz w:val="22"/>
        </w:rPr>
        <w:t>`run_plausibility_validation.py`와 `run_osrm_route_benchmark.py`가 내부 경로 타당성과 외부 라우팅 기준 비교를 수행한다. 외부 OSRM 기준은 그 자체가 정답이 아니라 보조 비교 지표로 다룬다.</w:t>
      </w:r>
    </w:p>
    <w:p>
      <w:pPr>
        <w:pStyle w:val="ListBullet"/>
      </w:pPr>
      <w:r>
        <w:rPr>
          <w:rFonts w:ascii="Malgun Gothic" w:hAnsi="Malgun Gothic" w:eastAsia="Malgun Gothic"/>
          <w:b w:val="0"/>
          <w:sz w:val="22"/>
        </w:rPr>
        <w:t>`generate_report.py`가 본 문서를 docx로 변환한다.</w:t>
      </w:r>
    </w:p>
    <w:p>
      <w:r>
        <w:rPr>
          <w:rFonts w:ascii="Malgun Gothic" w:hAnsi="Malgun Gothic" w:eastAsia="Malgun Gothic"/>
          <w:b w:val="0"/>
          <w:sz w:val="22"/>
        </w:rPr>
        <w:t>이 외에도 `src/realworld/` 아래에 다수의 검토·승인 점검 모듈(예: `road_evidence_review_packet.py`, `validation_review_packet.py`, `graph_scale_method_decision_packet.py` 등)이 있다. 이 모듈들은 결과를 만들지 않으며, 어떤 가정이 아직 근거 부족 상태인지 표 형태로 가시화해 검토 순서를 정리하는 메타 계층이다. 따라서 현재 보고서는 위에 정리한 도구를 사용해 결과를 만들 수 있는 단계까지 도달했지만, 그 결과를 공식 운영 지침으로 인정하는 형식적 승인 절차는 별개의 검토 항목으로 남아 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pPr>
        <w:pStyle w:val="ListBullet"/>
      </w:pPr>
      <w:r>
        <w:rPr>
          <w:rFonts w:ascii="Malgun Gothic" w:hAnsi="Malgun Gothic" w:eastAsia="Malgun Gothic"/>
          <w:b w:val="0"/>
          <w:sz w:val="22"/>
        </w:rPr>
        <w:t>최종 연구 준비 상태는 `false`이며, 15개 게이트 중 3개만 준비 상태이고 12개는 막혀 있다.</w:t>
      </w:r>
    </w:p>
    <w:p>
      <w:pPr>
        <w:pStyle w:val="ListBullet"/>
      </w:pPr>
      <w:r>
        <w:rPr>
          <w:rFonts w:ascii="Malgun Gothic" w:hAnsi="Malgun Gothic" w:eastAsia="Malgun Gothic"/>
          <w:b w:val="0"/>
          <w:sz w:val="22"/>
        </w:rPr>
        <w:t>형식적 승인 준비 상태는 12개 중 0개이며, 검토표와 템플릿을 승인으로 간주해서는 안 된다.</w:t>
      </w:r>
    </w:p>
    <w:p>
      <w:pPr>
        <w:pStyle w:val="ListBullet"/>
      </w:pPr>
      <w:r>
        <w:rPr>
          <w:rFonts w:ascii="Malgun Gothic" w:hAnsi="Malgun Gothic" w:eastAsia="Malgun Gothic"/>
          <w:b w:val="0"/>
          <w:sz w:val="22"/>
        </w:rPr>
        <w:t>검증 전략 준비표와 도로망 규모 전략 준비표는 구현되었지만, 실제 검증 승인이나 도로망 규모 승인 기록을 대신하지 않는다.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소규모 실행은 32개 행과 16개 요약 행으로 따로 정리되어 있고, 이 소규모 후보에 대해서도 지표별 신뢰구간 표 208개 행과 정책 차이 신뢰구간 표 156개 행을 만들었다. 같은 후보 그래프의 전체 프로파일 실행은 1,890개 행과 63개 요약 행으로 정리되어 있으며, 지표별 신뢰구간 표 819개 행과 정책 차이 신뢰구간 표 702개 행을 추가로 만든 검토용 산출물이다.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