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40"/>
        </w:rPr>
        <w:t>YOLOv11 기반 갑상선 결절 초음파 영상의</w:t>
        <w:br/>
        <w:t>검출 및 분할 연구</w:t>
      </w:r>
    </w:p>
    <w:p>
      <w:pPr>
        <w:jc w:val="center"/>
      </w:pPr>
      <w:r>
        <w:rPr>
          <w:i/>
          <w:sz w:val="26"/>
        </w:rPr>
        <w:t>― 경계 정교화 모듈과 경량화를 중심으로 ―</w:t>
      </w:r>
    </w:p>
    <w:p>
      <w:pPr>
        <w:jc w:val="center"/>
      </w:pPr>
      <w:r>
        <w:rPr>
          <w:sz w:val="22"/>
        </w:rPr>
        <w:t>석사학위 논문 연구계획서</w:t>
      </w:r>
    </w:p>
    <w:p/>
    <w:p>
      <w:pPr>
        <w:pStyle w:val="Heading1"/>
      </w:pPr>
      <w:r>
        <w:rPr>
          <w:color w:val="1F3B63"/>
        </w:rPr>
        <w:t>1. 연구 배경 및 필요성</w:t>
      </w:r>
    </w:p>
    <w:p>
      <w:r>
        <w:rPr>
          <w:b w:val="0"/>
          <w:i w:val="0"/>
          <w:sz w:val="21"/>
        </w:rPr>
        <w:t>갑상선 결절은 성인에서 매우 흔하게 발견되며, 초음파 검사는 결절의 존재·위치·경계·내부 특성을 평가하는 일차 진단 도구이다. 그러나 초음파 영상은 스페클 잡음(speckle noise), 낮은 대조도, 탐촉자·기기·검사자에 따른 편차가 크고, 결절 경계가 흐릿하여 판독자 간 변이가 크다는 한계가 있다. 이에 따라 결절을 자동으로 검출(detection)하고 정밀하게 분할(segmentation)하는 딥러닝 기법의 필요성이 크다.</w:t>
      </w:r>
    </w:p>
    <w:p>
      <w:r>
        <w:rPr>
          <w:b/>
          <w:i w:val="0"/>
          <w:sz w:val="21"/>
        </w:rPr>
        <w:t>본 연구의 문제의식은 다음 세 가지이다.</w:t>
      </w:r>
    </w:p>
    <w:p>
      <w:pPr>
        <w:pStyle w:val="ListBullet"/>
      </w:pPr>
      <w:r>
        <w:t>① 경계 모호성: 초음파 결절의 경계가 불명확하여 기존 분할 모델은 경계 부근에서 오차가 크다. → 경계 품질을 직접 개선하는 모듈·손실이 필요하다.</w:t>
      </w:r>
    </w:p>
    <w:p>
      <w:pPr>
        <w:pStyle w:val="ListBullet"/>
      </w:pPr>
      <w:r>
        <w:t>② 임상 배포 제약: 실제 장비·엣지 환경에 적용하려면 정확도를 유지하면서도 파라미터·연산량을 줄인 경량 모델이 필요하다.</w:t>
      </w:r>
    </w:p>
    <w:p>
      <w:pPr>
        <w:pStyle w:val="ListBullet"/>
      </w:pPr>
      <w:r>
        <w:t>③ 일반화 한계: 단일 데이터셋 학습 모델은 다른 기관·기기 영상에서 성능이 급락한다. → 여러 공개 데이터셋을 혼합하여 도메인 일반화를 확보해야 한다.</w:t>
      </w:r>
    </w:p>
    <w:p>
      <w:pPr>
        <w:pStyle w:val="Heading1"/>
      </w:pPr>
      <w:r>
        <w:rPr>
          <w:color w:val="1F3B63"/>
        </w:rPr>
        <w:t>2. 연구 목적 및 기여</w:t>
      </w:r>
    </w:p>
    <w:p>
      <w:r>
        <w:rPr>
          <w:b w:val="0"/>
          <w:i w:val="0"/>
          <w:sz w:val="21"/>
        </w:rPr>
        <w:t>본 연구의 목적은 YOLOv11 분할 모델(YOLOv11-seg)을 기반으로 갑상선 결절의 검출과 분할을 하나의 멀티태스크 모델로 동시에 수행하고, 경계 정교화와 경량화를 통해 정확도와 효율을 모두 확보하는 것이다.</w:t>
      </w:r>
    </w:p>
    <w:p>
      <w:r>
        <w:rPr>
          <w:b/>
          <w:i w:val="0"/>
          <w:sz w:val="21"/>
        </w:rPr>
        <w:t>주요 기여(Contributions)</w:t>
      </w:r>
    </w:p>
    <w:p>
      <w:pPr>
        <w:pStyle w:val="ListNumber"/>
      </w:pPr>
      <w:r>
        <w:t>경계 정교화 모듈(Boundary Refinement Module, BRM) 및 경계 인식 손실(boundary-aware loss)을 제안하여 흐릿한 결절 경계에서의 검출·분할 정확도를 향상한다. (모듈+손실 이중 기여)</w:t>
      </w:r>
    </w:p>
    <w:p>
      <w:pPr>
        <w:pStyle w:val="ListNumber"/>
      </w:pPr>
      <w:r>
        <w:t>경량 백본/블록 교체 기반 경량화를 수행하여, 정확도 저하를 최소화하면서 파라미터·연산량·추론속도를 개선한다. (정확도–효율 trade-off 분석)</w:t>
      </w:r>
    </w:p>
    <w:p>
      <w:pPr>
        <w:pStyle w:val="ListNumber"/>
      </w:pPr>
      <w:r>
        <w:t>다중 공개 데이터셋(TN3K, DDTI 등) 혼합 학습과 Leave-One-Dataset-Out(LODO) 평가를 통해 도메인 일반화 성능을 정량적으로 검증한다.</w:t>
      </w:r>
    </w:p>
    <w:p>
      <w:pPr>
        <w:pStyle w:val="Heading1"/>
      </w:pPr>
      <w:r>
        <w:rPr>
          <w:color w:val="1F3B63"/>
        </w:rPr>
        <w:t>3. 관련 연구</w:t>
      </w:r>
    </w:p>
    <w:p>
      <w:pPr>
        <w:pStyle w:val="ListBullet"/>
      </w:pPr>
      <w:r>
        <w:t>객체 검출·분할: YOLO 계열(실시간 검출/인스턴스 분할), Mask 기반 분할 모델.</w:t>
      </w:r>
    </w:p>
    <w:p>
      <w:pPr>
        <w:pStyle w:val="ListBullet"/>
      </w:pPr>
      <w:r>
        <w:t>갑상선 초음파 분할: TRFE-Net(갑상선 영역 사전지식 기반), TNSCUI2020 챌린지 계열 캐스케이드 분할.</w:t>
      </w:r>
    </w:p>
    <w:p>
      <w:pPr>
        <w:pStyle w:val="ListBullet"/>
      </w:pPr>
      <w:r>
        <w:t>경계 인식 기법: Boundary IoU, Active Contour Loss, Boundary Loss(거리맵 기반), 경계 주의(attention) 모듈.</w:t>
      </w:r>
    </w:p>
    <w:p>
      <w:pPr>
        <w:pStyle w:val="ListBullet"/>
      </w:pPr>
      <w:r>
        <w:t>경량화: GhostNet/MobileNet 계열 경량 블록, 채널 프루닝, 지식 증류(KD), INT8 양자화/TensorRT.</w:t>
      </w:r>
    </w:p>
    <w:p>
      <w:pPr>
        <w:pStyle w:val="Heading1"/>
      </w:pPr>
      <w:r>
        <w:rPr>
          <w:color w:val="1F3B63"/>
        </w:rPr>
        <w:t>4. 데이터셋</w:t>
      </w:r>
    </w:p>
    <w:p>
      <w:r>
        <w:rPr>
          <w:b w:val="0"/>
          <w:i w:val="0"/>
          <w:sz w:val="21"/>
        </w:rPr>
        <w:t>일반화를 위해 마스크(픽셀 단위 정답)가 포함된 공개 갑상선 초음파 분할 데이터셋을 혼합 사용한다. 모든 결절을 단일 클래스(nodule)로 통일하며, 이진 마스크를 임계값 이진화(&gt;127) 후 컨투어 기반으로 YOLO-seg 폴리곤 라벨로 변환한다.</w:t>
      </w:r>
    </w:p>
    <w:tbl>
      <w:tblPr>
        <w:tblStyle w:val="TableGrid"/>
        <w:tblW w:type="auto" w:w="0"/>
        <w:tblLook w:firstColumn="1" w:firstRow="1" w:lastColumn="0" w:lastRow="0" w:noHBand="0" w:noVBand="1" w:val="04A0"/>
      </w:tblPr>
      <w:tblGrid>
        <w:gridCol w:w="2160"/>
        <w:gridCol w:w="2160"/>
        <w:gridCol w:w="2160"/>
        <w:gridCol w:w="2160"/>
      </w:tblGrid>
      <w:tr>
        <w:tc>
          <w:tcPr>
            <w:tcW w:type="dxa" w:w="1701"/>
          </w:tcPr>
          <w:p>
            <w:r/>
            <w:r>
              <w:rPr>
                <w:b/>
                <w:sz w:val="19"/>
              </w:rPr>
              <w:t>데이터셋</w:t>
            </w:r>
          </w:p>
        </w:tc>
        <w:tc>
          <w:tcPr>
            <w:tcW w:type="dxa" w:w="3685"/>
          </w:tcPr>
          <w:p>
            <w:r/>
            <w:r>
              <w:rPr>
                <w:b/>
                <w:sz w:val="19"/>
              </w:rPr>
              <w:t>구성/규모</w:t>
            </w:r>
          </w:p>
        </w:tc>
        <w:tc>
          <w:tcPr>
            <w:tcW w:type="dxa" w:w="1984"/>
          </w:tcPr>
          <w:p>
            <w:r/>
            <w:r>
              <w:rPr>
                <w:b/>
                <w:sz w:val="19"/>
              </w:rPr>
              <w:t>라벨</w:t>
            </w:r>
          </w:p>
        </w:tc>
        <w:tc>
          <w:tcPr>
            <w:tcW w:type="dxa" w:w="1984"/>
          </w:tcPr>
          <w:p>
            <w:r/>
            <w:r>
              <w:rPr>
                <w:b/>
                <w:sz w:val="19"/>
              </w:rPr>
              <w:t>용도</w:t>
            </w:r>
          </w:p>
        </w:tc>
      </w:tr>
      <w:tr>
        <w:tc>
          <w:tcPr>
            <w:tcW w:type="dxa" w:w="1701"/>
          </w:tcPr>
          <w:p>
            <w:r/>
            <w:r>
              <w:rPr>
                <w:sz w:val="19"/>
              </w:rPr>
              <w:t>TN3K</w:t>
            </w:r>
          </w:p>
        </w:tc>
        <w:tc>
          <w:tcPr>
            <w:tcW w:type="dxa" w:w="3685"/>
          </w:tcPr>
          <w:p>
            <w:r/>
            <w:r>
              <w:rPr>
                <w:sz w:val="19"/>
              </w:rPr>
              <w:t>trainval 2,879 + test 614 (총 3,493)</w:t>
            </w:r>
          </w:p>
        </w:tc>
        <w:tc>
          <w:tcPr>
            <w:tcW w:type="dxa" w:w="1984"/>
          </w:tcPr>
          <w:p>
            <w:r/>
            <w:r>
              <w:rPr>
                <w:sz w:val="19"/>
              </w:rPr>
              <w:t>결절 마스크(JPG)</w:t>
            </w:r>
          </w:p>
        </w:tc>
        <w:tc>
          <w:tcPr>
            <w:tcW w:type="dxa" w:w="1984"/>
          </w:tcPr>
          <w:p>
            <w:r/>
            <w:r>
              <w:rPr>
                <w:sz w:val="19"/>
              </w:rPr>
              <w:t>핵심 학습/평가</w:t>
            </w:r>
          </w:p>
        </w:tc>
      </w:tr>
      <w:tr>
        <w:tc>
          <w:tcPr>
            <w:tcW w:type="dxa" w:w="1701"/>
          </w:tcPr>
          <w:p>
            <w:r/>
            <w:r>
              <w:rPr>
                <w:sz w:val="19"/>
              </w:rPr>
              <w:t>DDTI</w:t>
            </w:r>
          </w:p>
        </w:tc>
        <w:tc>
          <w:tcPr>
            <w:tcW w:type="dxa" w:w="3685"/>
          </w:tcPr>
          <w:p>
            <w:r/>
            <w:r>
              <w:rPr>
                <w:sz w:val="19"/>
              </w:rPr>
              <w:t>image + mask (PNG)</w:t>
            </w:r>
          </w:p>
        </w:tc>
        <w:tc>
          <w:tcPr>
            <w:tcW w:type="dxa" w:w="1984"/>
          </w:tcPr>
          <w:p>
            <w:r/>
            <w:r>
              <w:rPr>
                <w:sz w:val="19"/>
              </w:rPr>
              <w:t>결절 마스크</w:t>
            </w:r>
          </w:p>
        </w:tc>
        <w:tc>
          <w:tcPr>
            <w:tcW w:type="dxa" w:w="1984"/>
          </w:tcPr>
          <w:p>
            <w:r/>
            <w:r>
              <w:rPr>
                <w:sz w:val="19"/>
              </w:rPr>
              <w:t>도메인 다양성/LODO 일반화</w:t>
            </w:r>
          </w:p>
        </w:tc>
      </w:tr>
      <w:tr>
        <w:tc>
          <w:tcPr>
            <w:tcW w:type="dxa" w:w="1701"/>
          </w:tcPr>
          <w:p>
            <w:r/>
            <w:r>
              <w:rPr>
                <w:sz w:val="19"/>
              </w:rPr>
              <w:t>TG3K</w:t>
            </w:r>
          </w:p>
        </w:tc>
        <w:tc>
          <w:tcPr>
            <w:tcW w:type="dxa" w:w="3685"/>
          </w:tcPr>
          <w:p>
            <w:r/>
            <w:r>
              <w:rPr>
                <w:sz w:val="19"/>
              </w:rPr>
              <w:t>3,585 (갑상선 gland)</w:t>
            </w:r>
          </w:p>
        </w:tc>
        <w:tc>
          <w:tcPr>
            <w:tcW w:type="dxa" w:w="1984"/>
          </w:tcPr>
          <w:p>
            <w:r/>
            <w:r>
              <w:rPr>
                <w:sz w:val="19"/>
              </w:rPr>
              <w:t>gland 마스크</w:t>
            </w:r>
          </w:p>
        </w:tc>
        <w:tc>
          <w:tcPr>
            <w:tcW w:type="dxa" w:w="1984"/>
          </w:tcPr>
          <w:p>
            <w:r/>
            <w:r>
              <w:rPr>
                <w:sz w:val="19"/>
              </w:rPr>
              <w:t>보조(사전학습) - 결절 아님, 선택</w:t>
            </w:r>
          </w:p>
        </w:tc>
      </w:tr>
    </w:tbl>
    <w:p/>
    <w:p>
      <w:r>
        <w:rPr>
          <w:b w:val="0"/>
          <w:i/>
          <w:sz w:val="19"/>
        </w:rPr>
        <w:t>※ 데이터셋 간 해상도·기기·라벨 기준 편차가 존재하므로, 전처리(그레이스케일→3채널, imgsz=640 정규화)를 통일하고 손상·무주석 파일을 제거한다. 양성/악성 분류 라벨(DDTI category)은 본 연구 범위 밖이며 향후 확장 과제로 둔다.</w:t>
      </w:r>
    </w:p>
    <w:p>
      <w:pPr>
        <w:pStyle w:val="Heading1"/>
      </w:pPr>
      <w:r>
        <w:rPr>
          <w:color w:val="1F3B63"/>
        </w:rPr>
        <w:t>5. 제안 방법</w:t>
      </w:r>
    </w:p>
    <w:p>
      <w:pPr>
        <w:pStyle w:val="Heading2"/>
      </w:pPr>
      <w:r>
        <w:rPr>
          <w:color w:val="1F3B63"/>
        </w:rPr>
        <w:t>5.1 베이스라인: YOLOv11-seg 멀티태스크</w:t>
      </w:r>
    </w:p>
    <w:p>
      <w:r>
        <w:rPr>
          <w:b w:val="0"/>
          <w:i w:val="0"/>
          <w:sz w:val="21"/>
        </w:rPr>
        <w:t>YOLOv11-seg의 Segment head는 바운딩 박스와 마스크를 동시에 출력하므로, 하나의 모델로 detection과 segmentation을 함께 수행한다. yolo11n-seg / yolo11s-seg를 기준 모델로 사용한다.</w:t>
      </w:r>
    </w:p>
    <w:p>
      <w:pPr>
        <w:pStyle w:val="Heading2"/>
      </w:pPr>
      <w:r>
        <w:rPr>
          <w:color w:val="1F3B63"/>
        </w:rPr>
        <w:t>5.2 경계 정교화 모듈(BRM) + 경계 손실</w:t>
      </w:r>
    </w:p>
    <w:p>
      <w:pPr>
        <w:pStyle w:val="ListBullet"/>
      </w:pPr>
      <w:r>
        <w:t>모듈(BRM): 마스크 분기의 프로토타입(Proto) 경로에 경량 정교화 모듈을 삽입한다. 학습형 에지(Sobel) 특징과 경계 영역 강조 attention을 프로토타입에 게이트 융합(residual)하여 경계 표현을 강화한다.</w:t>
      </w:r>
    </w:p>
    <w:p>
      <w:pPr>
        <w:pStyle w:val="ListBullet"/>
      </w:pPr>
      <w:r>
        <w:t>손실: 분할 손실에 경계 항을 추가한다. 정답 마스크의 모폴로지 그래디언트로 얻은 경계 밴드에 대한 가중 Dice/BCE를 기본으로 하고, 필요 시 Active Contour/Boundary(거리맵) 손실과 비교한다.</w:t>
      </w:r>
    </w:p>
    <w:p>
      <w:pPr>
        <w:pStyle w:val="ListBullet"/>
      </w:pPr>
      <w:r>
        <w:t>설계 유의점: 과거 유사 프로젝트에서 대형 attention 모듈이 오히려 성능을 저하시킨 사례가 있으므로, 삽입 위치(백본/Proto/head)와 손실 가중치를 ablation으로 신중히 검증한다.</w:t>
      </w:r>
    </w:p>
    <w:p>
      <w:pPr>
        <w:pStyle w:val="Heading2"/>
      </w:pPr>
      <w:r>
        <w:rPr>
          <w:color w:val="1F3B63"/>
        </w:rPr>
        <w:t>5.3 경량화: 경량 백본/블록 교체</w:t>
      </w:r>
    </w:p>
    <w:p>
      <w:pPr>
        <w:pStyle w:val="ListBullet"/>
      </w:pPr>
      <w:r>
        <w:t>백본/넥의 Conv·C3k2 블록을 GhostConv/Ghost-C3k2 또는 MobileNet/EfficientViT 계열 경량 블록으로 치환하여 파라미터·연산량을 절감한다. 경계 정교화 모듈(BRM)은 유지한다.</w:t>
      </w:r>
    </w:p>
    <w:p>
      <w:pPr>
        <w:pStyle w:val="ListBullet"/>
      </w:pPr>
      <w:r>
        <w:t>(선택) 대형 BRM 모델을 teacher로 한 지식 증류로 경량 student의 정확도를 회복한다.</w:t>
      </w:r>
    </w:p>
    <w:p>
      <w:pPr>
        <w:pStyle w:val="ListBullet"/>
      </w:pPr>
      <w:r>
        <w:t>INT8 양자화 및 TensorRT/ONNX export로 배포 최적화 후 GPU·CPU 추론속도를 측정한다.</w:t>
      </w:r>
    </w:p>
    <w:p>
      <w:pPr>
        <w:pStyle w:val="Heading1"/>
      </w:pPr>
      <w:r>
        <w:rPr>
          <w:color w:val="1F3B63"/>
        </w:rPr>
        <w:t>6. 실험 설계 및 평가</w:t>
      </w:r>
    </w:p>
    <w:p>
      <w:r>
        <w:rPr>
          <w:b/>
          <w:i w:val="0"/>
          <w:sz w:val="21"/>
        </w:rPr>
        <w:t>데이터 분할</w:t>
      </w:r>
    </w:p>
    <w:p>
      <w:pPr>
        <w:pStyle w:val="ListBullet"/>
      </w:pPr>
      <w:r>
        <w:t>Pooled 5-fold 교차검증: 전체 혼합 데이터를 데이터셋 출처 기준으로 층화하여 5-fold로 평가(주 성능표).</w:t>
      </w:r>
    </w:p>
    <w:p>
      <w:pPr>
        <w:pStyle w:val="ListBullet"/>
      </w:pPr>
      <w:r>
        <w:t>Leave-One-Dataset-Out(LODO): 한 데이터셋으로 학습, 미학습 데이터셋으로 평가하여 도메인 일반화 정량화.</w:t>
      </w:r>
    </w:p>
    <w:p>
      <w:r>
        <w:rPr>
          <w:b/>
          <w:i w:val="0"/>
          <w:sz w:val="21"/>
        </w:rPr>
        <w:t>평가지표</w:t>
      </w:r>
    </w:p>
    <w:tbl>
      <w:tblPr>
        <w:tblStyle w:val="TableGrid"/>
        <w:tblW w:type="auto" w:w="0"/>
        <w:tblLook w:firstColumn="1" w:firstRow="1" w:lastColumn="0" w:lastRow="0" w:noHBand="0" w:noVBand="1" w:val="04A0"/>
      </w:tblPr>
      <w:tblGrid>
        <w:gridCol w:w="4320"/>
        <w:gridCol w:w="4320"/>
      </w:tblGrid>
      <w:tr>
        <w:tc>
          <w:tcPr>
            <w:tcW w:type="dxa" w:w="2268"/>
          </w:tcPr>
          <w:p>
            <w:r/>
            <w:r>
              <w:rPr>
                <w:b/>
                <w:sz w:val="19"/>
              </w:rPr>
              <w:t>범주</w:t>
            </w:r>
          </w:p>
        </w:tc>
        <w:tc>
          <w:tcPr>
            <w:tcW w:type="dxa" w:w="6803"/>
          </w:tcPr>
          <w:p>
            <w:r/>
            <w:r>
              <w:rPr>
                <w:b/>
                <w:sz w:val="19"/>
              </w:rPr>
              <w:t>지표</w:t>
            </w:r>
          </w:p>
        </w:tc>
      </w:tr>
      <w:tr>
        <w:tc>
          <w:tcPr>
            <w:tcW w:type="dxa" w:w="2268"/>
          </w:tcPr>
          <w:p>
            <w:r/>
            <w:r>
              <w:rPr>
                <w:sz w:val="19"/>
              </w:rPr>
              <w:t>검출(Detection)</w:t>
            </w:r>
          </w:p>
        </w:tc>
        <w:tc>
          <w:tcPr>
            <w:tcW w:type="dxa" w:w="6803"/>
          </w:tcPr>
          <w:p>
            <w:r/>
            <w:r>
              <w:rPr>
                <w:sz w:val="19"/>
              </w:rPr>
              <w:t>box mAP@50, mAP@50-95, Precision, Recall</w:t>
            </w:r>
          </w:p>
        </w:tc>
      </w:tr>
      <w:tr>
        <w:tc>
          <w:tcPr>
            <w:tcW w:type="dxa" w:w="2268"/>
          </w:tcPr>
          <w:p>
            <w:r/>
            <w:r>
              <w:rPr>
                <w:sz w:val="19"/>
              </w:rPr>
              <w:t>분할(Segmentation)</w:t>
            </w:r>
          </w:p>
        </w:tc>
        <w:tc>
          <w:tcPr>
            <w:tcW w:type="dxa" w:w="6803"/>
          </w:tcPr>
          <w:p>
            <w:r/>
            <w:r>
              <w:rPr>
                <w:sz w:val="19"/>
              </w:rPr>
              <w:t>mask mAP@50, mAP@50-95, Dice, IoU</w:t>
            </w:r>
          </w:p>
        </w:tc>
      </w:tr>
      <w:tr>
        <w:tc>
          <w:tcPr>
            <w:tcW w:type="dxa" w:w="2268"/>
          </w:tcPr>
          <w:p>
            <w:r/>
            <w:r>
              <w:rPr>
                <w:sz w:val="19"/>
              </w:rPr>
              <w:t>경계(Boundary)</w:t>
            </w:r>
          </w:p>
        </w:tc>
        <w:tc>
          <w:tcPr>
            <w:tcW w:type="dxa" w:w="6803"/>
          </w:tcPr>
          <w:p>
            <w:r/>
            <w:r>
              <w:rPr>
                <w:sz w:val="19"/>
              </w:rPr>
              <w:t>Boundary IoU, HD95(95% Hausdorff), ASSD</w:t>
            </w:r>
          </w:p>
        </w:tc>
      </w:tr>
      <w:tr>
        <w:tc>
          <w:tcPr>
            <w:tcW w:type="dxa" w:w="2268"/>
          </w:tcPr>
          <w:p>
            <w:r/>
            <w:r>
              <w:rPr>
                <w:sz w:val="19"/>
              </w:rPr>
              <w:t>효율(Efficiency)</w:t>
            </w:r>
          </w:p>
        </w:tc>
        <w:tc>
          <w:tcPr>
            <w:tcW w:type="dxa" w:w="6803"/>
          </w:tcPr>
          <w:p>
            <w:r/>
            <w:r>
              <w:rPr>
                <w:sz w:val="19"/>
              </w:rPr>
              <w:t>#Params, GFLOPs, FPS(GPU/CPU), 모델 크기</w:t>
            </w:r>
          </w:p>
        </w:tc>
      </w:tr>
    </w:tbl>
    <w:p/>
    <w:p>
      <w:r>
        <w:rPr>
          <w:b/>
          <w:i w:val="0"/>
          <w:sz w:val="21"/>
        </w:rPr>
        <w:t>Ablation 구성 (경계 기여 검증)</w:t>
      </w:r>
    </w:p>
    <w:tbl>
      <w:tblPr>
        <w:tblStyle w:val="TableGrid"/>
        <w:tblW w:type="auto" w:w="0"/>
        <w:tblLook w:firstColumn="1" w:firstRow="1" w:lastColumn="0" w:lastRow="0" w:noHBand="0" w:noVBand="1" w:val="04A0"/>
      </w:tblPr>
      <w:tblGrid>
        <w:gridCol w:w="4320"/>
        <w:gridCol w:w="4320"/>
      </w:tblGrid>
      <w:tr>
        <w:tc>
          <w:tcPr>
            <w:tcW w:type="dxa" w:w="2835"/>
          </w:tcPr>
          <w:p>
            <w:r/>
            <w:r>
              <w:rPr>
                <w:b/>
                <w:sz w:val="19"/>
              </w:rPr>
              <w:t>구성</w:t>
            </w:r>
          </w:p>
        </w:tc>
        <w:tc>
          <w:tcPr>
            <w:tcW w:type="dxa" w:w="6236"/>
          </w:tcPr>
          <w:p>
            <w:r/>
            <w:r>
              <w:rPr>
                <w:b/>
                <w:sz w:val="19"/>
              </w:rPr>
              <w:t>설명</w:t>
            </w:r>
          </w:p>
        </w:tc>
      </w:tr>
      <w:tr>
        <w:tc>
          <w:tcPr>
            <w:tcW w:type="dxa" w:w="2835"/>
          </w:tcPr>
          <w:p>
            <w:r/>
            <w:r>
              <w:rPr>
                <w:sz w:val="19"/>
              </w:rPr>
              <w:t>Baseline</w:t>
            </w:r>
          </w:p>
        </w:tc>
        <w:tc>
          <w:tcPr>
            <w:tcW w:type="dxa" w:w="6236"/>
          </w:tcPr>
          <w:p>
            <w:r/>
            <w:r>
              <w:rPr>
                <w:sz w:val="19"/>
              </w:rPr>
              <w:t>YOLOv11-seg (수정 없음)</w:t>
            </w:r>
          </w:p>
        </w:tc>
      </w:tr>
      <w:tr>
        <w:tc>
          <w:tcPr>
            <w:tcW w:type="dxa" w:w="2835"/>
          </w:tcPr>
          <w:p>
            <w:r/>
            <w:r>
              <w:rPr>
                <w:sz w:val="19"/>
              </w:rPr>
              <w:t>+ BRM</w:t>
            </w:r>
          </w:p>
        </w:tc>
        <w:tc>
          <w:tcPr>
            <w:tcW w:type="dxa" w:w="6236"/>
          </w:tcPr>
          <w:p>
            <w:r/>
            <w:r>
              <w:rPr>
                <w:sz w:val="19"/>
              </w:rPr>
              <w:t>경계 정교화 모듈만 추가</w:t>
            </w:r>
          </w:p>
        </w:tc>
      </w:tr>
      <w:tr>
        <w:tc>
          <w:tcPr>
            <w:tcW w:type="dxa" w:w="2835"/>
          </w:tcPr>
          <w:p>
            <w:r/>
            <w:r>
              <w:rPr>
                <w:sz w:val="19"/>
              </w:rPr>
              <w:t>+ Boundary Loss</w:t>
            </w:r>
          </w:p>
        </w:tc>
        <w:tc>
          <w:tcPr>
            <w:tcW w:type="dxa" w:w="6236"/>
          </w:tcPr>
          <w:p>
            <w:r/>
            <w:r>
              <w:rPr>
                <w:sz w:val="19"/>
              </w:rPr>
              <w:t>경계 손실만 추가</w:t>
            </w:r>
          </w:p>
        </w:tc>
      </w:tr>
      <w:tr>
        <w:tc>
          <w:tcPr>
            <w:tcW w:type="dxa" w:w="2835"/>
          </w:tcPr>
          <w:p>
            <w:r/>
            <w:r>
              <w:rPr>
                <w:sz w:val="19"/>
              </w:rPr>
              <w:t>+ BRM + Loss (제안)</w:t>
            </w:r>
          </w:p>
        </w:tc>
        <w:tc>
          <w:tcPr>
            <w:tcW w:type="dxa" w:w="6236"/>
          </w:tcPr>
          <w:p>
            <w:r/>
            <w:r>
              <w:rPr>
                <w:sz w:val="19"/>
              </w:rPr>
              <w:t>모듈+손실 결합</w:t>
            </w:r>
          </w:p>
        </w:tc>
      </w:tr>
      <w:tr>
        <w:tc>
          <w:tcPr>
            <w:tcW w:type="dxa" w:w="2835"/>
          </w:tcPr>
          <w:p>
            <w:r/>
            <w:r>
              <w:rPr>
                <w:sz w:val="19"/>
              </w:rPr>
              <w:t>+ 경량화</w:t>
            </w:r>
          </w:p>
        </w:tc>
        <w:tc>
          <w:tcPr>
            <w:tcW w:type="dxa" w:w="6236"/>
          </w:tcPr>
          <w:p>
            <w:r/>
            <w:r>
              <w:rPr>
                <w:sz w:val="19"/>
              </w:rPr>
              <w:t>제안 모델의 경량 백본/블록 버전</w:t>
            </w:r>
          </w:p>
        </w:tc>
      </w:tr>
    </w:tbl>
    <w:p/>
    <w:p>
      <w:pPr>
        <w:pStyle w:val="Heading1"/>
      </w:pPr>
      <w:r>
        <w:rPr>
          <w:color w:val="1F3B63"/>
        </w:rPr>
        <w:t>7. 단계별 추진 일정</w:t>
      </w:r>
    </w:p>
    <w:tbl>
      <w:tblPr>
        <w:tblStyle w:val="TableGrid"/>
        <w:tblW w:type="auto" w:w="0"/>
        <w:tblLook w:firstColumn="1" w:firstRow="1" w:lastColumn="0" w:lastRow="0" w:noHBand="0" w:noVBand="1" w:val="04A0"/>
      </w:tblPr>
      <w:tblGrid>
        <w:gridCol w:w="2160"/>
        <w:gridCol w:w="2160"/>
        <w:gridCol w:w="2160"/>
        <w:gridCol w:w="2160"/>
      </w:tblGrid>
      <w:tr>
        <w:tc>
          <w:tcPr>
            <w:tcW w:type="dxa" w:w="1247"/>
          </w:tcPr>
          <w:p>
            <w:r/>
            <w:r>
              <w:rPr>
                <w:b/>
                <w:sz w:val="19"/>
              </w:rPr>
              <w:t>단계</w:t>
            </w:r>
          </w:p>
        </w:tc>
        <w:tc>
          <w:tcPr>
            <w:tcW w:type="dxa" w:w="4706"/>
          </w:tcPr>
          <w:p>
            <w:r/>
            <w:r>
              <w:rPr>
                <w:b/>
                <w:sz w:val="19"/>
              </w:rPr>
              <w:t>내용</w:t>
            </w:r>
          </w:p>
        </w:tc>
        <w:tc>
          <w:tcPr>
            <w:tcW w:type="dxa" w:w="1134"/>
          </w:tcPr>
          <w:p>
            <w:r/>
            <w:r>
              <w:rPr>
                <w:b/>
                <w:sz w:val="19"/>
              </w:rPr>
              <w:t>기간(주)</w:t>
            </w:r>
          </w:p>
        </w:tc>
        <w:tc>
          <w:tcPr>
            <w:tcW w:type="dxa" w:w="1984"/>
          </w:tcPr>
          <w:p>
            <w:r/>
            <w:r>
              <w:rPr>
                <w:b/>
                <w:sz w:val="19"/>
              </w:rPr>
              <w:t>산출물</w:t>
            </w:r>
          </w:p>
        </w:tc>
      </w:tr>
      <w:tr>
        <w:tc>
          <w:tcPr>
            <w:tcW w:type="dxa" w:w="1247"/>
          </w:tcPr>
          <w:p>
            <w:r/>
            <w:r>
              <w:rPr>
                <w:sz w:val="19"/>
              </w:rPr>
              <w:t>Phase 0</w:t>
            </w:r>
          </w:p>
        </w:tc>
        <w:tc>
          <w:tcPr>
            <w:tcW w:type="dxa" w:w="4706"/>
          </w:tcPr>
          <w:p>
            <w:r/>
            <w:r>
              <w:rPr>
                <w:sz w:val="19"/>
              </w:rPr>
              <w:t>환경·파이프라인 검증(격리 env, 포크 설치, seg 동작 확인)</w:t>
            </w:r>
          </w:p>
        </w:tc>
        <w:tc>
          <w:tcPr>
            <w:tcW w:type="dxa" w:w="1134"/>
          </w:tcPr>
          <w:p>
            <w:r/>
            <w:r>
              <w:rPr>
                <w:sz w:val="19"/>
              </w:rPr>
              <w:t>0.5</w:t>
            </w:r>
          </w:p>
        </w:tc>
        <w:tc>
          <w:tcPr>
            <w:tcW w:type="dxa" w:w="1984"/>
          </w:tcPr>
          <w:p>
            <w:r/>
            <w:r>
              <w:rPr>
                <w:sz w:val="19"/>
              </w:rPr>
              <w:t>동작 검증 로그</w:t>
            </w:r>
          </w:p>
        </w:tc>
      </w:tr>
      <w:tr>
        <w:tc>
          <w:tcPr>
            <w:tcW w:type="dxa" w:w="1247"/>
          </w:tcPr>
          <w:p>
            <w:r/>
            <w:r>
              <w:rPr>
                <w:sz w:val="19"/>
              </w:rPr>
              <w:t>Phase 1</w:t>
            </w:r>
          </w:p>
        </w:tc>
        <w:tc>
          <w:tcPr>
            <w:tcW w:type="dxa" w:w="4706"/>
          </w:tcPr>
          <w:p>
            <w:r/>
            <w:r>
              <w:rPr>
                <w:sz w:val="19"/>
              </w:rPr>
              <w:t>공개 데이터 수집·polygon 변환·분할 구성(Pooled/LODO)</w:t>
            </w:r>
          </w:p>
        </w:tc>
        <w:tc>
          <w:tcPr>
            <w:tcW w:type="dxa" w:w="1134"/>
          </w:tcPr>
          <w:p>
            <w:r/>
            <w:r>
              <w:rPr>
                <w:sz w:val="19"/>
              </w:rPr>
              <w:t>1.5–2</w:t>
            </w:r>
          </w:p>
        </w:tc>
        <w:tc>
          <w:tcPr>
            <w:tcW w:type="dxa" w:w="1984"/>
          </w:tcPr>
          <w:p>
            <w:r/>
            <w:r>
              <w:rPr>
                <w:sz w:val="19"/>
              </w:rPr>
              <w:t>통합 데이터셋, data.yaml</w:t>
            </w:r>
          </w:p>
        </w:tc>
      </w:tr>
      <w:tr>
        <w:tc>
          <w:tcPr>
            <w:tcW w:type="dxa" w:w="1247"/>
          </w:tcPr>
          <w:p>
            <w:r/>
            <w:r>
              <w:rPr>
                <w:sz w:val="19"/>
              </w:rPr>
              <w:t>Phase 2</w:t>
            </w:r>
          </w:p>
        </w:tc>
        <w:tc>
          <w:tcPr>
            <w:tcW w:type="dxa" w:w="4706"/>
          </w:tcPr>
          <w:p>
            <w:r/>
            <w:r>
              <w:rPr>
                <w:sz w:val="19"/>
              </w:rPr>
              <w:t>YOLOv11-seg 베이스라인 학습·평가(경계지표 코드 추가)</w:t>
            </w:r>
          </w:p>
        </w:tc>
        <w:tc>
          <w:tcPr>
            <w:tcW w:type="dxa" w:w="1134"/>
          </w:tcPr>
          <w:p>
            <w:r/>
            <w:r>
              <w:rPr>
                <w:sz w:val="19"/>
              </w:rPr>
              <w:t>1</w:t>
            </w:r>
          </w:p>
        </w:tc>
        <w:tc>
          <w:tcPr>
            <w:tcW w:type="dxa" w:w="1984"/>
          </w:tcPr>
          <w:p>
            <w:r/>
            <w:r>
              <w:rPr>
                <w:sz w:val="19"/>
              </w:rPr>
              <w:t>베이스라인 성능표</w:t>
            </w:r>
          </w:p>
        </w:tc>
      </w:tr>
      <w:tr>
        <w:tc>
          <w:tcPr>
            <w:tcW w:type="dxa" w:w="1247"/>
          </w:tcPr>
          <w:p>
            <w:r/>
            <w:r>
              <w:rPr>
                <w:sz w:val="19"/>
              </w:rPr>
              <w:t>Phase 3</w:t>
            </w:r>
          </w:p>
        </w:tc>
        <w:tc>
          <w:tcPr>
            <w:tcW w:type="dxa" w:w="4706"/>
          </w:tcPr>
          <w:p>
            <w:r/>
            <w:r>
              <w:rPr>
                <w:sz w:val="19"/>
              </w:rPr>
              <w:t>경계 정교화 모듈+경계 손실 구현·ablation</w:t>
            </w:r>
          </w:p>
        </w:tc>
        <w:tc>
          <w:tcPr>
            <w:tcW w:type="dxa" w:w="1134"/>
          </w:tcPr>
          <w:p>
            <w:r/>
            <w:r>
              <w:rPr>
                <w:sz w:val="19"/>
              </w:rPr>
              <w:t>2.5–3</w:t>
            </w:r>
          </w:p>
        </w:tc>
        <w:tc>
          <w:tcPr>
            <w:tcW w:type="dxa" w:w="1984"/>
          </w:tcPr>
          <w:p>
            <w:r/>
            <w:r>
              <w:rPr>
                <w:sz w:val="19"/>
              </w:rPr>
              <w:t>제안 모델, ablation 표</w:t>
            </w:r>
          </w:p>
        </w:tc>
      </w:tr>
      <w:tr>
        <w:tc>
          <w:tcPr>
            <w:tcW w:type="dxa" w:w="1247"/>
          </w:tcPr>
          <w:p>
            <w:r/>
            <w:r>
              <w:rPr>
                <w:sz w:val="19"/>
              </w:rPr>
              <w:t>Phase 4</w:t>
            </w:r>
          </w:p>
        </w:tc>
        <w:tc>
          <w:tcPr>
            <w:tcW w:type="dxa" w:w="4706"/>
          </w:tcPr>
          <w:p>
            <w:r/>
            <w:r>
              <w:rPr>
                <w:sz w:val="19"/>
              </w:rPr>
              <w:t>경량 백본/블록 교체·양자화·효율 벤치</w:t>
            </w:r>
          </w:p>
        </w:tc>
        <w:tc>
          <w:tcPr>
            <w:tcW w:type="dxa" w:w="1134"/>
          </w:tcPr>
          <w:p>
            <w:r/>
            <w:r>
              <w:rPr>
                <w:sz w:val="19"/>
              </w:rPr>
              <w:t>2–3</w:t>
            </w:r>
          </w:p>
        </w:tc>
        <w:tc>
          <w:tcPr>
            <w:tcW w:type="dxa" w:w="1984"/>
          </w:tcPr>
          <w:p>
            <w:r/>
            <w:r>
              <w:rPr>
                <w:sz w:val="19"/>
              </w:rPr>
              <w:t>경량 모델, Pareto 표</w:t>
            </w:r>
          </w:p>
        </w:tc>
      </w:tr>
      <w:tr>
        <w:tc>
          <w:tcPr>
            <w:tcW w:type="dxa" w:w="1247"/>
          </w:tcPr>
          <w:p>
            <w:r/>
            <w:r>
              <w:rPr>
                <w:sz w:val="19"/>
              </w:rPr>
              <w:t>Phase 5</w:t>
            </w:r>
          </w:p>
        </w:tc>
        <w:tc>
          <w:tcPr>
            <w:tcW w:type="dxa" w:w="4706"/>
          </w:tcPr>
          <w:p>
            <w:r/>
            <w:r>
              <w:rPr>
                <w:sz w:val="19"/>
              </w:rPr>
              <w:t>최종 종합 평가·정성 결과·논문 산출물 정리</w:t>
            </w:r>
          </w:p>
        </w:tc>
        <w:tc>
          <w:tcPr>
            <w:tcW w:type="dxa" w:w="1134"/>
          </w:tcPr>
          <w:p>
            <w:r/>
            <w:r>
              <w:rPr>
                <w:sz w:val="19"/>
              </w:rPr>
              <w:t>1</w:t>
            </w:r>
          </w:p>
        </w:tc>
        <w:tc>
          <w:tcPr>
            <w:tcW w:type="dxa" w:w="1984"/>
          </w:tcPr>
          <w:p>
            <w:r/>
            <w:r>
              <w:rPr>
                <w:sz w:val="19"/>
              </w:rPr>
              <w:t>논문 표·그림</w:t>
            </w:r>
          </w:p>
        </w:tc>
      </w:tr>
    </w:tbl>
    <w:p/>
    <w:p>
      <w:r>
        <w:rPr>
          <w:b w:val="0"/>
          <w:i/>
          <w:sz w:val="19"/>
        </w:rPr>
        <w:t>※ Phase 0은 이미 완료(격리 env thyroid_seg 구성, YOLOv11-seg 파이프라인 mask 지표 생성 검증).</w:t>
      </w:r>
    </w:p>
    <w:p>
      <w:pPr>
        <w:pStyle w:val="Heading1"/>
      </w:pPr>
      <w:r>
        <w:rPr>
          <w:color w:val="1F3B63"/>
        </w:rPr>
        <w:t>8. 기대효과 및 활용</w:t>
      </w:r>
    </w:p>
    <w:p>
      <w:pPr>
        <w:pStyle w:val="ListBullet"/>
      </w:pPr>
      <w:r>
        <w:t>경계 정교화를 통한 결절 분할 정확도 향상 → 크기·경계 계측 신뢰도 개선(임상 판독 보조).</w:t>
      </w:r>
    </w:p>
    <w:p>
      <w:pPr>
        <w:pStyle w:val="ListBullet"/>
      </w:pPr>
      <w:r>
        <w:t>경량화를 통한 실시간·엣지 배포 가능성 확보(휴대형 초음파, 검진 현장).</w:t>
      </w:r>
    </w:p>
    <w:p>
      <w:pPr>
        <w:pStyle w:val="ListBullet"/>
      </w:pPr>
      <w:r>
        <w:t>다중 데이터셋 일반화 검증 → 실제 임상 환경 적용 시 강건성 근거 제시.</w:t>
      </w:r>
    </w:p>
    <w:p>
      <w:pPr>
        <w:pStyle w:val="Heading1"/>
      </w:pPr>
      <w:r>
        <w:rPr>
          <w:color w:val="1F3B63"/>
        </w:rPr>
        <w:t>9. 위험요소 및 대응</w:t>
      </w:r>
    </w:p>
    <w:tbl>
      <w:tblPr>
        <w:tblStyle w:val="TableGrid"/>
        <w:tblW w:type="auto" w:w="0"/>
        <w:tblLook w:firstColumn="1" w:firstRow="1" w:lastColumn="0" w:lastRow="0" w:noHBand="0" w:noVBand="1" w:val="04A0"/>
      </w:tblPr>
      <w:tblGrid>
        <w:gridCol w:w="4320"/>
        <w:gridCol w:w="4320"/>
      </w:tblGrid>
      <w:tr>
        <w:tc>
          <w:tcPr>
            <w:tcW w:type="dxa" w:w="3685"/>
          </w:tcPr>
          <w:p>
            <w:r/>
            <w:r>
              <w:rPr>
                <w:b/>
                <w:sz w:val="19"/>
              </w:rPr>
              <w:t>위험요소</w:t>
            </w:r>
          </w:p>
        </w:tc>
        <w:tc>
          <w:tcPr>
            <w:tcW w:type="dxa" w:w="5386"/>
          </w:tcPr>
          <w:p>
            <w:r/>
            <w:r>
              <w:rPr>
                <w:b/>
                <w:sz w:val="19"/>
              </w:rPr>
              <w:t>대응 방안</w:t>
            </w:r>
          </w:p>
        </w:tc>
      </w:tr>
      <w:tr>
        <w:tc>
          <w:tcPr>
            <w:tcW w:type="dxa" w:w="3685"/>
          </w:tcPr>
          <w:p>
            <w:r/>
            <w:r>
              <w:rPr>
                <w:sz w:val="19"/>
              </w:rPr>
              <w:t>공개 데이터 라이선스/재배포 제약</w:t>
            </w:r>
          </w:p>
        </w:tc>
        <w:tc>
          <w:tcPr>
            <w:tcW w:type="dxa" w:w="5386"/>
          </w:tcPr>
          <w:p>
            <w:r/>
            <w:r>
              <w:rPr>
                <w:sz w:val="19"/>
              </w:rPr>
              <w:t>논문에는 지표·방법만 공개, 원본 재배포 금지 준수</w:t>
            </w:r>
          </w:p>
        </w:tc>
      </w:tr>
      <w:tr>
        <w:tc>
          <w:tcPr>
            <w:tcW w:type="dxa" w:w="3685"/>
          </w:tcPr>
          <w:p>
            <w:r/>
            <w:r>
              <w:rPr>
                <w:sz w:val="19"/>
              </w:rPr>
              <w:t>데이터셋 간 도메인 갭(LODO 성능 저하)</w:t>
            </w:r>
          </w:p>
        </w:tc>
        <w:tc>
          <w:tcPr>
            <w:tcW w:type="dxa" w:w="5386"/>
          </w:tcPr>
          <w:p>
            <w:r/>
            <w:r>
              <w:rPr>
                <w:sz w:val="19"/>
              </w:rPr>
              <w:t>혼합 학습·증강, 성능 저하를 일반화 논의로 분석</w:t>
            </w:r>
          </w:p>
        </w:tc>
      </w:tr>
      <w:tr>
        <w:tc>
          <w:tcPr>
            <w:tcW w:type="dxa" w:w="3685"/>
          </w:tcPr>
          <w:p>
            <w:r/>
            <w:r>
              <w:rPr>
                <w:sz w:val="19"/>
              </w:rPr>
              <w:t>신규 모듈이 성능을 저해할 위험(전례 존재)</w:t>
            </w:r>
          </w:p>
        </w:tc>
        <w:tc>
          <w:tcPr>
            <w:tcW w:type="dxa" w:w="5386"/>
          </w:tcPr>
          <w:p>
            <w:r/>
            <w:r>
              <w:rPr>
                <w:sz w:val="19"/>
              </w:rPr>
              <w:t>위치·가중치 ablation 필수, 동일 조건 baseline 비교</w:t>
            </w:r>
          </w:p>
        </w:tc>
      </w:tr>
      <w:tr>
        <w:tc>
          <w:tcPr>
            <w:tcW w:type="dxa" w:w="3685"/>
          </w:tcPr>
          <w:p>
            <w:r/>
            <w:r>
              <w:rPr>
                <w:sz w:val="19"/>
              </w:rPr>
              <w:t>경량화 시 정확도 하락</w:t>
            </w:r>
          </w:p>
        </w:tc>
        <w:tc>
          <w:tcPr>
            <w:tcW w:type="dxa" w:w="5386"/>
          </w:tcPr>
          <w:p>
            <w:r/>
            <w:r>
              <w:rPr>
                <w:sz w:val="19"/>
              </w:rPr>
              <w:t>지식 증류로 회복, 정확도–효율 Pareto로 절충점 제시</w:t>
            </w:r>
          </w:p>
        </w:tc>
      </w:tr>
    </w:tbl>
    <w:p/>
    <w:p>
      <w:pPr>
        <w:pStyle w:val="Heading1"/>
      </w:pPr>
      <w:r>
        <w:rPr>
          <w:color w:val="1F3B63"/>
        </w:rPr>
        <w:t>10. 개발 환경 및 인프라</w:t>
      </w:r>
    </w:p>
    <w:p>
      <w:pPr>
        <w:pStyle w:val="ListBullet"/>
      </w:pPr>
      <w:r>
        <w:t>하드웨어: NVIDIA A100 80GB × 2–3.</w:t>
      </w:r>
    </w:p>
    <w:p>
      <w:pPr>
        <w:pStyle w:val="ListBullet"/>
      </w:pPr>
      <w:r>
        <w:t>소프트웨어: Python 3.10, PyTorch 2.5.1(CUDA 12.1), Ultralytics(YOLOv11) 커스텀 포크(편집형 설치).</w:t>
      </w:r>
    </w:p>
    <w:p>
      <w:pPr>
        <w:pStyle w:val="ListBullet"/>
      </w:pPr>
      <w:r>
        <w:t>격리 환경: 갑상선 전용 conda env(thyroid_seg) 및 프로젝트 디렉터리(/data/HJ_thyroid).</w:t>
      </w:r>
    </w:p>
    <w:p>
      <w:pPr>
        <w:pStyle w:val="ListBullet"/>
      </w:pPr>
      <w:r>
        <w:t>배포 최적화: TensorRT(INT8)·ONNX export 환경.</w:t>
      </w:r>
    </w:p>
    <w:p/>
    <w:p>
      <w:pPr>
        <w:jc w:val="center"/>
      </w:pPr>
      <w:r>
        <w:rPr>
          <w:i/>
          <w:sz w:val="18"/>
        </w:rPr>
        <w:t>본 계획서는 연구 진행에 따라 실험 결과를 반영하여 갱신될 수 있음.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