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D-Va: 확산 변분오토인코더 기반 다중스텝 주가 예측</w:t>
      </w:r>
    </w:p>
    <w:p>
      <w:r>
        <w:rPr>
          <w:i/>
          <w:color w:val="444444"/>
          <w:sz w:val="21"/>
        </w:rPr>
        <w:t>Diffusion Variational Autoencoder for Tackling Stochasticity in Multi-Step Regression Stock Price Prediction (Koa, Ma, Ng, Chua — CIKM '23)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저자/소속</w:t>
            </w:r>
          </w:p>
        </w:tc>
        <w:tc>
          <w:tcPr>
            <w:tcW w:type="dxa" w:w="4320"/>
          </w:tcPr>
          <w:p>
            <w:r>
              <w:t>Kelvin J.L. Koa, Yunshan Ma, Tat-Seng Chua (NUS); Ritchie Ng (Eastspring Investments)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발표/연도</w:t>
            </w:r>
          </w:p>
        </w:tc>
        <w:tc>
          <w:tcPr>
            <w:tcW w:type="dxa" w:w="4320"/>
          </w:tcPr>
          <w:p>
            <w:r>
              <w:t>ACM CIKM 2023 / 인용 약 40회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arXiv / 분류</w:t>
            </w:r>
          </w:p>
        </w:tc>
        <w:tc>
          <w:tcPr>
            <w:tcW w:type="dxa" w:w="4320"/>
          </w:tcPr>
          <w:p>
            <w:r>
              <w:t>2309.00073 / q-fin.ST (computational finance)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코드</w:t>
            </w:r>
          </w:p>
        </w:tc>
        <w:tc>
          <w:tcPr>
            <w:tcW w:type="dxa" w:w="4320"/>
          </w:tcPr>
          <w:p>
            <w:r>
              <w:t>공개 — https://github.com/koa-fin/dva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과제 유형</w:t>
            </w:r>
          </w:p>
        </w:tc>
        <w:tc>
          <w:tcPr>
            <w:tcW w:type="dxa" w:w="4320"/>
          </w:tcPr>
          <w:p>
            <w:r>
              <w:t>다변량 입력 → 단변량(수익률) 멀티스텝 회귀 (seq2seq 생성모델)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기여</w:t>
            </w:r>
          </w:p>
        </w:tc>
        <w:tc>
          <w:tcPr>
            <w:tcW w:type="dxa" w:w="4320"/>
          </w:tcPr>
          <w:p>
            <w:r>
              <w:t>계층적 VAE + 입력/타깃 결합확산 + 디노이징으로 데이터·모델 불확실성 동시 처리</w:t>
            </w:r>
          </w:p>
        </w:tc>
      </w:tr>
    </w:tbl>
    <w:p>
      <w:pPr>
        <w:pStyle w:val="Heading1"/>
      </w:pPr>
      <w:r>
        <w:rPr>
          <w:color w:val="1F3A5F"/>
        </w:rPr>
        <w:t>1. 연구 배경과 문제 정의</w:t>
      </w:r>
    </w:p>
    <w:p>
      <w:r>
        <w:t>주가 예측이 어려운 본질적 이유는 두 가지다. (a) 주가는 강한 확률성(stochasticity)을 가져 표준 예측모델이 잘 일반화되지 않는다. (b) 우리가 관측하는 일별 종가는 연속적으로 변동하는 가격을 특정 시점에 이산적으로 '표집'한 값이라, 가격의 본질적 거동을 온전히 담지 못한다(관측 잡음).</w:t>
      </w:r>
    </w:p>
    <w:p>
      <w:r>
        <w:t>또한 기존 연구의 대부분은 '다음 1스텝 상승/하락'의 이진 분류에 집중했고, 표현력이 낮은 모델에 머물렀다. 그러나 변동성 예측·파생상품 헤지·규제상 유동성 기간(최소 10일) 대응을 위해서는 '여러 날의 수익률 시퀀스'를 예측하는 멀티스텝 회귀가 필요하다. 멀티스텝에서는 타깃 시퀀스 자체에도 잡음이 섞여 학습 시 일반화가 더 어려워진다.</w:t>
      </w:r>
    </w:p>
    <w:p>
      <w:r>
        <w:t>정식 정의: 종목 s에 대해 과거 T 거래일 입력 X = {x_{t−T+1}, …, x_t} 로부터 향후 T′ 거래일의 수익률 시퀀스 y = {r_{t+1}, …, r_{t+T′}} 를 예측한다 (r_t = c_t / c_{t−1}).</w:t>
      </w:r>
    </w:p>
    <w:p>
      <w:pPr>
        <w:pStyle w:val="Heading1"/>
      </w:pPr>
      <w:r>
        <w:rPr>
          <w:color w:val="1F3A5F"/>
        </w:rPr>
        <w:t>2. 사전 개념 정리 (전문용어 정의)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직관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VAE (변분오토인코더)</w:t>
            </w:r>
          </w:p>
        </w:tc>
        <w:tc>
          <w:tcPr>
            <w:tcW w:type="dxa" w:w="2880"/>
          </w:tcPr>
          <w:p>
            <w:r>
              <w:t>입력을 확률적 잠재변수 z의 분포로 인코딩하고 다시 복원하도록 학습하는 생성모델. 재구성오차 + KL규제(잠재분포를 사전분포에 근접)로 학습.</w:t>
            </w:r>
          </w:p>
        </w:tc>
        <w:tc>
          <w:tcPr>
            <w:tcW w:type="dxa" w:w="2880"/>
          </w:tcPr>
          <w:p>
            <w:r>
              <w:t>데이터의 핵심을 확률적으로 압축·복원하는 모델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계층적 VAE / NVAE</w:t>
            </w:r>
          </w:p>
        </w:tc>
        <w:tc>
          <w:tcPr>
            <w:tcW w:type="dxa" w:w="2880"/>
          </w:tcPr>
          <w:p>
            <w:r>
              <w:t>잠재변수를 여러 층(Z1,Z2,Z3)으로 쌓아 표현력을 키운 VAE. NVAE는 이미지 생성용 SOTA로, depthwise separable conv·BatchNorm·Swish·SE 게이팅을 사용.</w:t>
            </w:r>
          </w:p>
        </w:tc>
        <w:tc>
          <w:tcPr>
            <w:tcW w:type="dxa" w:w="2880"/>
          </w:tcPr>
          <w:p>
            <w:r>
              <w:t>단일 잠재변수보다 복잡한 패턴을 더 잘 포착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확산모델 (Diffusion/DDPM)</w:t>
            </w:r>
          </w:p>
        </w:tc>
        <w:tc>
          <w:tcPr>
            <w:tcW w:type="dxa" w:w="2880"/>
          </w:tcPr>
          <w:p>
            <w:r>
              <w:t>데이터에 가우시안 노이즈를 점진적으로 더하는 정과정과, 이를 되돌리는 역과정을 학습하는 생성모델.</w:t>
            </w:r>
          </w:p>
        </w:tc>
        <w:tc>
          <w:tcPr>
            <w:tcW w:type="dxa" w:w="2880"/>
          </w:tcPr>
          <w:p>
            <w:r>
              <w:t>노이즈 주입·제거를 반복 학습해 잡음에 강해짐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디노이징 스코어매칭(DSM)</w:t>
            </w:r>
          </w:p>
        </w:tc>
        <w:tc>
          <w:tcPr>
            <w:tcW w:type="dxa" w:w="2880"/>
          </w:tcPr>
          <w:p>
            <w:r>
              <w:t>노이즈가 섞인 샘플에서 깨끗한 데이터 매니폴드로 향하는 스코어(로그밀도 기울기)를 학습하는 기법.</w:t>
            </w:r>
          </w:p>
        </w:tc>
        <w:tc>
          <w:tcPr>
            <w:tcW w:type="dxa" w:w="2880"/>
          </w:tcPr>
          <w:p>
            <w:r>
              <w:t>예측을 실제 데이터 면(manifold)으로 끌어당김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Aleatoric / Epistemic 불확실성</w:t>
            </w:r>
          </w:p>
        </w:tc>
        <w:tc>
          <w:tcPr>
            <w:tcW w:type="dxa" w:w="2880"/>
          </w:tcPr>
          <w:p>
            <w:r>
              <w:t>전자는 데이터 자체의 무작위성, 후자는 모델·추정의 불확실성.</w:t>
            </w:r>
          </w:p>
        </w:tc>
        <w:tc>
          <w:tcPr>
            <w:tcW w:type="dxa" w:w="2880"/>
          </w:tcPr>
          <w:p>
            <w:r>
              <w:t>잡음(데이터) vs 모름(모델)</w:t>
            </w:r>
          </w:p>
        </w:tc>
      </w:tr>
    </w:tbl>
    <w:p>
      <w:pPr>
        <w:pStyle w:val="Heading1"/>
      </w:pPr>
      <w:r>
        <w:rPr>
          <w:color w:val="1F3A5F"/>
        </w:rPr>
        <w:t>3. 모델 선택의 근거 (왜 이 구성인가)</w:t>
      </w:r>
    </w:p>
    <w:p>
      <w:pPr>
        <w:pStyle w:val="ListBullet"/>
      </w:pPr>
      <w:r>
        <w:t>왜 회귀(분류 아님)? — 포트폴리오 비중 산정을 위해 수익률의 크기/순위가 필요. 이진 분류로는 자산 가중을 못 한다.</w:t>
      </w:r>
    </w:p>
    <w:p>
      <w:pPr>
        <w:pStyle w:val="ListBullet"/>
      </w:pPr>
      <w:r>
        <w:t>왜 계층적 VAE? — 단일 잠재변수 VAE는 표현력이 낮음. 계층적 잠재변수 Z={Z1,Z2,Z3}로 주가의 복잡·저수준 잠재요인을 더 풍부히 표현(이미지 SOTA인 NVAE를 seq2seq로 전용).</w:t>
      </w:r>
    </w:p>
    <w:p>
      <w:pPr>
        <w:pStyle w:val="ListBullet"/>
      </w:pPr>
      <w:r>
        <w:t>왜 확산(입력+타깃)? — 주가의 강한 확률성을 '노이즈 주입 학습'으로 모사하여 일반화·강건성 확보. 타깃에도 결합확산을 적용하면(식 4의 KL 부등식) 생성 불확실성이 감소.</w:t>
      </w:r>
    </w:p>
    <w:p>
      <w:pPr>
        <w:pStyle w:val="ListBullet"/>
      </w:pPr>
      <w:r>
        <w:t>왜 디노이징? — 타깃 y가 본질적으로 잡음(y = y_r + ε_y)이므로, 한 번의 디노이징 점프로 aleatoric 잡음을 제거해 실제 매니폴드 y_r에 근접.</w:t>
      </w:r>
    </w:p>
    <w:p>
      <w:pPr>
        <w:pStyle w:val="ListBullet"/>
      </w:pPr>
      <w:r>
        <w:t>왜 graphical lasso? — 포트폴리오 단계에서 공분산 추정의 모델(epistemic) 불확실성을 L1 규제로 축소(공분산 수축과 유사).</w:t>
      </w:r>
    </w:p>
    <w:p>
      <w:r>
        <w:rPr>
          <w:b/>
          <w:i/>
          <w:color w:val="6A4A00"/>
        </w:rPr>
        <w:t xml:space="preserve">직관적 해석 — </w:t>
      </w:r>
      <w:r>
        <w:rPr>
          <w:i/>
          <w:color w:val="444444"/>
        </w:rPr>
        <w:t>데이터 잡음(aleatoric)은 확산+디노이징으로, 모델 불확실성(epistemic)은 공분산 정규화로 각각 분담해 처리하는 것이 이 논문의 설계 철학이다.</w:t>
      </w:r>
    </w:p>
    <w:p>
      <w:pPr>
        <w:pStyle w:val="Heading1"/>
      </w:pPr>
      <w:r>
        <w:rPr>
          <w:color w:val="1F3A5F"/>
        </w:rPr>
        <w:t>4. 데이터: 수집 → 전처리 파이프라인</w:t>
      </w:r>
    </w:p>
    <w:p>
      <w:pPr>
        <w:pStyle w:val="Heading2"/>
      </w:pPr>
      <w:r>
        <w:t>4.1 데이터셋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데이터셋(테스트연도)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종목수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거래일수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2014-01-01 ~ 2016-12-31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2017-01-01 ~ 2019-12-31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754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2020-01-01 ~ 2022-12-31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</w:tbl>
    <w:p>
      <w:pPr>
        <w:pStyle w:val="ListBullet"/>
      </w:pPr>
      <w:r>
        <w:t>기본: ACL18 StockNet(미국 고거래량 88종목, 9개 산업 상위 8~10종목, 2014~2017).</w:t>
      </w:r>
    </w:p>
    <w:p>
      <w:pPr>
        <w:pStyle w:val="ListBullet"/>
      </w:pPr>
      <w:r>
        <w:t>확장: 2017~2023 데이터를 Yahoo Finance에서 수집(11개 산업 상위 10종목 → 110종목), ACL18과 동일 방식으로 처리. 길이 일관성을 위해 3년×3개 데이터셋으로 분할.</w:t>
      </w:r>
    </w:p>
    <w:p>
      <w:pPr>
        <w:pStyle w:val="Heading2"/>
      </w:pPr>
      <w:r>
        <w:t>4.2 피처 구성과 정규화 (전처리 핵심)</w:t>
      </w:r>
    </w:p>
    <w:p>
      <w:r>
        <w:t>각 시점 입력 벡터는 6개 피처로 구성된다:</w:t>
      </w:r>
    </w:p>
    <w:p>
      <w:pPr>
        <w:ind w:left="360"/>
      </w:pPr>
      <w:r>
        <w:rPr>
          <w:rFonts w:ascii="Consolas" w:hAnsi="Consolas"/>
          <w:sz w:val="20"/>
        </w:rPr>
        <w:t>x_t = [ o_t, h_t, l_t, v_t, Δ_t, r_t ]   (open, high, low, volume, 절대수익, 퍼센트수익)</w:t>
      </w:r>
    </w:p>
    <w:p>
      <w:pPr>
        <w:pStyle w:val="ListBullet"/>
      </w:pPr>
      <w:r>
        <w:t>퍼센트수익률 r_t = c_t / c_{t−1}, 절대수익 Δ_t = c_t − c_{t−1}.</w:t>
      </w:r>
    </w:p>
    <w:p>
      <w:pPr>
        <w:pStyle w:val="ListBullet"/>
      </w:pPr>
      <w:r>
        <w:t>open/high/low는 전일 종가로 정규화: o_t ← o_t / c_{t−1} (스케일 제거, 수익률 단위로 통일).</w:t>
      </w:r>
    </w:p>
    <w:p>
      <w:pPr>
        <w:pStyle w:val="ListBullet"/>
      </w:pPr>
      <w:r>
        <w:t>다변량 입력(6피처) → 단변량 출력(수익률 시퀀스).</w:t>
      </w:r>
    </w:p>
    <w:p>
      <w:pPr>
        <w:pStyle w:val="ListBullet"/>
      </w:pPr>
      <w:r>
        <w:t>윈도잉: 입력 길이 T와 출력 길이 T′ 를 {10, 20, 40, 60}으로 변화(규제 유동성 기간 반영).</w:t>
      </w:r>
    </w:p>
    <w:p>
      <w:pPr>
        <w:pStyle w:val="ListBullet"/>
      </w:pPr>
      <w:r>
        <w:t>분할: 시간순 train:val:test = 7:1:2.</w:t>
      </w:r>
    </w:p>
    <w:p>
      <w:pPr>
        <w:pStyle w:val="Heading1"/>
      </w:pPr>
      <w:r>
        <w:rPr>
          <w:color w:val="1F3A5F"/>
        </w:rPr>
        <w:t>5. 모델 아키텍처 상세</w:t>
      </w:r>
    </w:p>
    <w:p>
      <w:pPr>
        <w:pStyle w:val="Heading2"/>
      </w:pPr>
      <w:r>
        <w:t>5.1 백본 — 계층적 VAE(NVAE) seq2seq</w:t>
      </w:r>
    </w:p>
    <w:p>
      <w:r>
        <w:t>인코더 residual cell: (BatchNorm→Swish→Conv)×2 + Squeeze-and-Excitation(SE) 게이팅. 디코더 residual cell: 위 구성 + depthwise separable convolution(수용영역 확대·연산량 절감). 잠재변수 스택 Z={Z1,Z2,Z3}로 저수준 의존성 포착. 예측밀도:</w:t>
      </w:r>
    </w:p>
    <w:p>
      <w:pPr>
        <w:ind w:left="360"/>
      </w:pPr>
      <w:r>
        <w:rPr>
          <w:rFonts w:ascii="Consolas" w:hAnsi="Consolas"/>
          <w:sz w:val="20"/>
        </w:rPr>
        <w:t>p(ŷ_n | X_n) = ∫ p_θ(Z | X_n) · δ(ŷ_n − f(Z)) dZ</w:t>
      </w:r>
    </w:p>
    <w:p>
      <w:pPr>
        <w:pStyle w:val="Heading2"/>
      </w:pPr>
      <w:r>
        <w:t>5.2 입력 확산 (X-Diffusion)</w:t>
      </w:r>
    </w:p>
    <w:p>
      <w:pPr>
        <w:ind w:left="360"/>
      </w:pPr>
      <w:r>
        <w:rPr>
          <w:rFonts w:ascii="Consolas" w:hAnsi="Consolas"/>
          <w:sz w:val="20"/>
        </w:rPr>
        <w:t>q(X_n|X)=N(X_n; √ᾱ_n·X, (1−ᾱ_n)I),  X_n=√ᾱ_n·X+√(1−ᾱ_n)·ε,  ε~N(0,I),  ᾱ_n=∏(1−β_i)</w:t>
      </w:r>
    </w:p>
    <w:p>
      <w:pPr>
        <w:pStyle w:val="Heading2"/>
      </w:pPr>
      <w:r>
        <w:t>5.3 타깃 결합 확산 (Y-Diffusion)</w:t>
      </w:r>
    </w:p>
    <w:p>
      <w:r>
        <w:t>타깃에 결합 노이즈(β′_n=γ·β_n) 주입. 생성·확산 분포의 KL을 맞추면 전체 불확실성 감소:</w:t>
      </w:r>
    </w:p>
    <w:p>
      <w:pPr>
        <w:ind w:left="360"/>
      </w:pPr>
      <w:r>
        <w:rPr>
          <w:rFonts w:ascii="Consolas" w:hAnsi="Consolas"/>
          <w:sz w:val="20"/>
        </w:rPr>
        <w:t>L_KL = D_KL( p(ŷ_n) || q(y_n) )</w:t>
      </w:r>
    </w:p>
    <w:p>
      <w:pPr>
        <w:pStyle w:val="Heading2"/>
      </w:pPr>
      <w:r>
        <w:t>5.4 디노이징 스코어매칭 (테스트 시 1-step jump)</w:t>
      </w:r>
    </w:p>
    <w:p>
      <w:pPr>
        <w:ind w:left="360"/>
      </w:pPr>
      <w:r>
        <w:rPr>
          <w:rFonts w:ascii="Consolas" w:hAnsi="Consolas"/>
          <w:sz w:val="20"/>
        </w:rPr>
        <w:t>L_DSM,n = E[ σ_n · || y − ŷ_n + ∇_{ŷ_n} E(ŷ_n) ||² ] ,   ŷ_final = ŷ − ∇_{ŷ} E(ŷ)</w:t>
      </w:r>
    </w:p>
    <w:p>
      <w:pPr>
        <w:pStyle w:val="Heading1"/>
      </w:pPr>
      <w:r>
        <w:rPr>
          <w:color w:val="1F3A5F"/>
        </w:rPr>
        <w:t>6. 학습 절차</w:t>
      </w:r>
    </w:p>
    <w:p>
      <w:r>
        <w:t>총 손실 (트레이드오프 계수 ζ, η):</w:t>
      </w:r>
    </w:p>
    <w:p>
      <w:pPr>
        <w:ind w:left="360"/>
      </w:pPr>
      <w:r>
        <w:rPr>
          <w:rFonts w:ascii="Consolas" w:hAnsi="Consolas"/>
          <w:sz w:val="20"/>
        </w:rPr>
        <w:t>L = L_MSE + ζ·L_KL + η·L_DSM        (그리드서치 → ζ=0.5, η=1)</w:t>
      </w:r>
    </w:p>
    <w:p>
      <w:pPr>
        <w:pStyle w:val="ListBullet"/>
      </w:pPr>
      <w:r>
        <w:t>절차: (1) X,y에 결합확산 적용 → X_n,y_n 생성 (2) 계층적 VAE가 X_n→ŷ_n 생성, y_n에 매칭 (3) 동시에 디노이징 에너지함수 E(ŷ) 학습. 추론 시 1-step 디노이징으로 ŷ_final 산출.</w:t>
      </w:r>
    </w:p>
    <w:p>
      <w:pPr>
        <w:pStyle w:val="ListBullet"/>
      </w:pPr>
      <w:r>
        <w:t>최적화: Adam, 초기 lr 5e-4, 배치 16, 종목별 20 epoch, 종목마다 5회 반복(평균 보고).</w:t>
      </w:r>
    </w:p>
    <w:p>
      <w:pPr>
        <w:pStyle w:val="Heading1"/>
      </w:pPr>
      <w:r>
        <w:rPr>
          <w:color w:val="1F3A5F"/>
        </w:rPr>
        <w:t>7. 평가 프로토콜</w:t>
      </w:r>
    </w:p>
    <w:p>
      <w:pPr>
        <w:pStyle w:val="ListBullet"/>
      </w:pPr>
      <w:r>
        <w:t>지표: 종목·5회 평균 MSE 및 표준편차(SD), 최강 베이스라인 대비 개선율(%).</w:t>
      </w:r>
    </w:p>
    <w:p>
      <w:pPr>
        <w:pStyle w:val="ListBullet"/>
      </w:pPr>
      <w:r>
        <w:t>베이스라인: ARIMA / NBA(LSTM+attention, 텍스트 제거) / VAE / VAE+Adversarial / Autoformer.</w:t>
      </w:r>
    </w:p>
    <w:p>
      <w:pPr>
        <w:pStyle w:val="ListBullet"/>
      </w:pPr>
      <w:r>
        <w:t>포트폴리오(RQ3): 예측 평균·공분산으로 Markowitz 평균-분산 최적화(무공매도), 공분산은 graphical lasso(λ=0.1) 정규화, 무위험금리 0, Sharpe로 평가.</w:t>
      </w:r>
    </w:p>
    <w:p>
      <w:pPr>
        <w:ind w:left="360"/>
      </w:pPr>
      <w:r>
        <w:rPr>
          <w:rFonts w:ascii="Consolas" w:hAnsi="Consolas"/>
          <w:sz w:val="20"/>
        </w:rPr>
        <w:t>포트폴리오:  max_w  wᵀμ − (γ/2)·wᵀΣw   s.t.  wᵀ1=1,  w≥0</w:t>
      </w:r>
    </w:p>
    <w:p>
      <w:pPr>
        <w:pStyle w:val="Heading1"/>
      </w:pPr>
      <w:r>
        <w:rPr>
          <w:color w:val="1F3A5F"/>
        </w:rPr>
        <w:t>8. 결과 및 해석</w:t>
      </w:r>
    </w:p>
    <w:p>
      <w:pPr>
        <w:pStyle w:val="Heading2"/>
      </w:pPr>
      <w:r>
        <w:t>8.1 예측 정확도(MSE) — 발췌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연도/T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Autoformer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D-Va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MSE개선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SD개선</w:t>
            </w:r>
          </w:p>
        </w:tc>
      </w:tr>
      <w:tr>
        <w:tc>
          <w:tcPr>
            <w:tcW w:type="dxa" w:w="1728"/>
          </w:tcPr>
          <w:p>
            <w:r>
              <w:t>2016 / 10</w:t>
            </w:r>
          </w:p>
        </w:tc>
        <w:tc>
          <w:tcPr>
            <w:tcW w:type="dxa" w:w="1728"/>
          </w:tcPr>
          <w:p>
            <w:r>
              <w:t>1.0204</w:t>
            </w:r>
          </w:p>
        </w:tc>
        <w:tc>
          <w:tcPr>
            <w:tcW w:type="dxa" w:w="1728"/>
          </w:tcPr>
          <w:p>
            <w:r>
              <w:t>0.9040</w:t>
            </w:r>
          </w:p>
        </w:tc>
        <w:tc>
          <w:tcPr>
            <w:tcW w:type="dxa" w:w="1728"/>
          </w:tcPr>
          <w:p>
            <w:r>
              <w:t>11.41%</w:t>
            </w:r>
          </w:p>
        </w:tc>
        <w:tc>
          <w:tcPr>
            <w:tcW w:type="dxa" w:w="1728"/>
          </w:tcPr>
          <w:p>
            <w:r>
              <w:t>73.06%</w:t>
            </w:r>
          </w:p>
        </w:tc>
      </w:tr>
      <w:tr>
        <w:tc>
          <w:tcPr>
            <w:tcW w:type="dxa" w:w="1728"/>
          </w:tcPr>
          <w:p>
            <w:r>
              <w:t>2019 / 10</w:t>
            </w:r>
          </w:p>
        </w:tc>
        <w:tc>
          <w:tcPr>
            <w:tcW w:type="dxa" w:w="1728"/>
          </w:tcPr>
          <w:p>
            <w:r>
              <w:t>1.1011</w:t>
            </w:r>
          </w:p>
        </w:tc>
        <w:tc>
          <w:tcPr>
            <w:tcW w:type="dxa" w:w="1728"/>
          </w:tcPr>
          <w:p>
            <w:r>
              <w:t>0.9847</w:t>
            </w:r>
          </w:p>
        </w:tc>
        <w:tc>
          <w:tcPr>
            <w:tcW w:type="dxa" w:w="1728"/>
          </w:tcPr>
          <w:p>
            <w:r>
              <w:t>10.57%</w:t>
            </w:r>
          </w:p>
        </w:tc>
        <w:tc>
          <w:tcPr>
            <w:tcW w:type="dxa" w:w="1728"/>
          </w:tcPr>
          <w:p>
            <w:r>
              <w:t>77.87%</w:t>
            </w:r>
          </w:p>
        </w:tc>
      </w:tr>
      <w:tr>
        <w:tc>
          <w:tcPr>
            <w:tcW w:type="dxa" w:w="1728"/>
          </w:tcPr>
          <w:p>
            <w:r>
              <w:t>2022 / 10</w:t>
            </w:r>
          </w:p>
        </w:tc>
        <w:tc>
          <w:tcPr>
            <w:tcW w:type="dxa" w:w="1728"/>
          </w:tcPr>
          <w:p>
            <w:r>
              <w:t>0.9958</w:t>
            </w:r>
          </w:p>
        </w:tc>
        <w:tc>
          <w:tcPr>
            <w:tcW w:type="dxa" w:w="1728"/>
          </w:tcPr>
          <w:p>
            <w:r>
              <w:t>0.8653</w:t>
            </w:r>
          </w:p>
        </w:tc>
        <w:tc>
          <w:tcPr>
            <w:tcW w:type="dxa" w:w="1728"/>
          </w:tcPr>
          <w:p>
            <w:r>
              <w:t>13.10%</w:t>
            </w:r>
          </w:p>
        </w:tc>
        <w:tc>
          <w:tcPr>
            <w:tcW w:type="dxa" w:w="1728"/>
          </w:tcPr>
          <w:p>
            <w:r>
              <w:t>70.23%</w:t>
            </w:r>
          </w:p>
        </w:tc>
      </w:tr>
      <w:tr>
        <w:tc>
          <w:tcPr>
            <w:tcW w:type="dxa" w:w="1728"/>
          </w:tcPr>
          <w:p>
            <w:r>
              <w:t>2022 / 60</w:t>
            </w:r>
          </w:p>
        </w:tc>
        <w:tc>
          <w:tcPr>
            <w:tcW w:type="dxa" w:w="1728"/>
          </w:tcPr>
          <w:p>
            <w:r>
              <w:t>0.8428</w:t>
            </w:r>
          </w:p>
        </w:tc>
        <w:tc>
          <w:tcPr>
            <w:tcW w:type="dxa" w:w="1728"/>
          </w:tcPr>
          <w:p>
            <w:r>
              <w:t>0.8174</w:t>
            </w:r>
          </w:p>
        </w:tc>
        <w:tc>
          <w:tcPr>
            <w:tcW w:type="dxa" w:w="1728"/>
          </w:tcPr>
          <w:p>
            <w:r>
              <w:t>3.01%</w:t>
            </w:r>
          </w:p>
        </w:tc>
        <w:tc>
          <w:tcPr>
            <w:tcW w:type="dxa" w:w="1728"/>
          </w:tcPr>
          <w:p>
            <w:r>
              <w:t>78.22%</w:t>
            </w:r>
          </w:p>
        </w:tc>
      </w:tr>
    </w:tbl>
    <w:p>
      <w:r>
        <w:t>D-Va는 최강 베이스라인 대비 평균 MSE 7.49% 개선, 예측 SD 평균 75.01% 감소. 예측 길이 T가 길수록 MSE 개선폭은 줄어드는데, 이는 장기 구간에서 예측 불가한 시장충격이 늘기 때문이다(저자는 짧은 모델의 롤링 예측을 대안으로 제시).</w:t>
      </w:r>
    </w:p>
    <w:p>
      <w:pPr>
        <w:pStyle w:val="Heading2"/>
      </w:pPr>
      <w:r>
        <w:t>8.2 포트폴리오 — 10일 Sharpe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테스트연도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NBA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Equal-Weight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D-Va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D-Va(정규화)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0.0270</w:t>
            </w:r>
          </w:p>
        </w:tc>
        <w:tc>
          <w:tcPr>
            <w:tcW w:type="dxa" w:w="1728"/>
          </w:tcPr>
          <w:p>
            <w:r>
              <w:t>0.1089</w:t>
            </w:r>
          </w:p>
        </w:tc>
        <w:tc>
          <w:tcPr>
            <w:tcW w:type="dxa" w:w="1728"/>
          </w:tcPr>
          <w:p>
            <w:r>
              <w:t>0.0772</w:t>
            </w:r>
          </w:p>
        </w:tc>
        <w:tc>
          <w:tcPr>
            <w:tcW w:type="dxa" w:w="1728"/>
          </w:tcPr>
          <w:p>
            <w:r>
              <w:t>0.1174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0.0820</w:t>
            </w:r>
          </w:p>
        </w:tc>
        <w:tc>
          <w:tcPr>
            <w:tcW w:type="dxa" w:w="1728"/>
          </w:tcPr>
          <w:p>
            <w:r>
              <w:t>0.2337</w:t>
            </w:r>
          </w:p>
        </w:tc>
        <w:tc>
          <w:tcPr>
            <w:tcW w:type="dxa" w:w="1728"/>
          </w:tcPr>
          <w:p>
            <w:r>
              <w:t>0.1197</w:t>
            </w:r>
          </w:p>
        </w:tc>
        <w:tc>
          <w:tcPr>
            <w:tcW w:type="dxa" w:w="1728"/>
          </w:tcPr>
          <w:p>
            <w:r>
              <w:t>0.2767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0.0332</w:t>
            </w:r>
          </w:p>
        </w:tc>
        <w:tc>
          <w:tcPr>
            <w:tcW w:type="dxa" w:w="1728"/>
          </w:tcPr>
          <w:p>
            <w:r>
              <w:t>0.0437</w:t>
            </w:r>
          </w:p>
        </w:tc>
        <w:tc>
          <w:tcPr>
            <w:tcW w:type="dxa" w:w="1728"/>
          </w:tcPr>
          <w:p>
            <w:r>
              <w:t>0.0600</w:t>
            </w:r>
          </w:p>
        </w:tc>
        <w:tc>
          <w:tcPr>
            <w:tcW w:type="dxa" w:w="1728"/>
          </w:tcPr>
          <w:p>
            <w:r>
              <w:t>0.0645</w:t>
            </w:r>
          </w:p>
        </w:tc>
      </w:tr>
    </w:tbl>
    <w:p>
      <w:pPr>
        <w:pStyle w:val="Heading1"/>
      </w:pPr>
      <w:r>
        <w:rPr>
          <w:color w:val="1F3A5F"/>
        </w:rPr>
        <w:t>9. Ablation / 분석</w:t>
      </w:r>
    </w:p>
    <w:p>
      <w:pPr>
        <w:pStyle w:val="ListBullet"/>
      </w:pPr>
      <w:r>
        <w:t>변형: D-Va−XdYdDn(백본 VAE만) / −YdDn / −Dn. 백본만으로도 ARIMA·Autoformer 상회.</w:t>
      </w:r>
    </w:p>
    <w:p>
      <w:pPr>
        <w:pStyle w:val="ListBullet"/>
      </w:pPr>
      <w:r>
        <w:t>확산 구성요소 추가마다 예측 SD가 뚜렷이 감소(강건성↑).</w:t>
      </w:r>
    </w:p>
    <w:p>
      <w:pPr>
        <w:pStyle w:val="ListBullet"/>
      </w:pPr>
      <w:r>
        <w:t>핵심 관찰: 직전 모델의 예측 불확실성(SD)이 높을수록 다음 구성요소의 MSE 개선이 큼 → 구성요소들이 '잡음 처리'로 작동함을 시사.</w:t>
      </w:r>
    </w:p>
    <w:p>
      <w:pPr>
        <w:pStyle w:val="Heading1"/>
      </w:pPr>
      <w:r>
        <w:rPr>
          <w:color w:val="1F3A5F"/>
        </w:rPr>
        <w:t>10. 우리 환경 재현 워크플로우</w:t>
      </w:r>
    </w:p>
    <w:p>
      <w:pPr>
        <w:pStyle w:val="ListBullet"/>
      </w:pPr>
      <w:r>
        <w:t>데이터 매핑: 주가 = Tiingo adjClose(논문은 Yahoo) · 금리 = FRED. OHLCV+수익률 피처 동일 구성.</w:t>
      </w:r>
    </w:p>
    <w:p>
      <w:pPr>
        <w:pStyle w:val="ListBullet"/>
      </w:pPr>
      <w:r>
        <w:t>공개코드(koa-fin/dva) 기반, 데이터 로더만 shared/data_loader 로 교체.</w:t>
      </w:r>
    </w:p>
    <w:p>
      <w:pPr>
        <w:pStyle w:val="ListBullet"/>
      </w:pPr>
      <w:r>
        <w:t>주의: Yahoo↔Tiingo 조정방식 차이로 in-sample 수치가 미세 변동 가능 → 리포트에 명시.</w:t>
      </w:r>
    </w:p>
    <w:p>
      <w:pPr>
        <w:pStyle w:val="ListNumber"/>
      </w:pPr>
      <w:r>
        <w:t>In-sample 재현: 동일 미국 대형주·2016/2019/2022 구간으로 MSE·SD·Sharpe 재현.</w:t>
      </w:r>
    </w:p>
    <w:p>
      <w:pPr>
        <w:pStyle w:val="ListNumber"/>
      </w:pPr>
      <w:r>
        <w:t>OOS 종목 확장: 다른 섹터/지수 구성종목 ≥3개 그룹으로 일반화 검증.</w:t>
      </w:r>
    </w:p>
    <w:p>
      <w:pPr>
        <w:pStyle w:val="ListNumber"/>
      </w:pPr>
      <w:r>
        <w:t>Time robustness: 2023~2025 등 신규 구간 ≥3개로 안정성 검증.</w:t>
      </w:r>
    </w:p>
    <w:p>
      <w:pPr>
        <w:pStyle w:val="ListNumber"/>
      </w:pPr>
      <w:r>
        <w:t>비교표+Plotly 시각화: 논문 vs 재현 vs 확장(MSE·Sharpe·누적수익).</w:t>
      </w:r>
    </w:p>
    <w:p>
      <w:pPr>
        <w:pStyle w:val="Heading1"/>
      </w:pPr>
      <w:r>
        <w:rPr>
          <w:color w:val="1F3A5F"/>
        </w:rPr>
        <w:t>11. 한계와 재현 리스크</w:t>
      </w:r>
    </w:p>
    <w:p>
      <w:pPr>
        <w:pStyle w:val="ListBullet"/>
      </w:pPr>
      <w:r>
        <w:t>종목별 개별 학습(20ep×110종목×5run) → 계산량 큼, GPU 권장·소규모부터.</w:t>
      </w:r>
    </w:p>
    <w:p>
      <w:pPr>
        <w:pStyle w:val="ListBullet"/>
      </w:pPr>
      <w:r>
        <w:t>뉴스 등 외부정보 미사용 → 급격한 충격 예측 불가(비정규화 포트폴리오는 동일가중에 종종 열위).</w:t>
      </w:r>
    </w:p>
    <w:p>
      <w:pPr>
        <w:pStyle w:val="ListBullet"/>
      </w:pPr>
      <w:r>
        <w:t>데이터 출처 차이(생존편향·조정)로 인한 수치 편차 가능.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