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BDA: Black-Litterman 기반 Transformer 심층강화학습 포트폴리오 최적화</w:t>
      </w:r>
    </w:p>
    <w:p>
      <w:r>
        <w:rPr>
          <w:i/>
          <w:color w:val="444444"/>
          <w:sz w:val="21"/>
        </w:rPr>
        <w:t>Combining Transformer based Deep Reinforcement Learning with the Black-Litterman Model for Portfolio Optimization (Sun et al.,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저자/소속</w:t>
            </w:r>
          </w:p>
        </w:tc>
        <w:tc>
          <w:tcPr>
            <w:tcW w:type="dxa" w:w="4320"/>
          </w:tcPr>
          <w:p>
            <w:r>
              <w:t>Ruoyu Sun, Angelos Stefanidis, Zhengyong Jiang, Jionglong Su (XJTLU)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연도</w:t>
            </w:r>
          </w:p>
        </w:tc>
        <w:tc>
          <w:tcPr>
            <w:tcW w:type="dxa" w:w="4320"/>
          </w:tcPr>
          <w:p>
            <w:r>
              <w:t>2024 / 인용 약 25회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arXiv / 분류</w:t>
            </w:r>
          </w:p>
        </w:tc>
        <w:tc>
          <w:tcPr>
            <w:tcW w:type="dxa" w:w="4320"/>
          </w:tcPr>
          <w:p>
            <w:r>
              <w:t>2402.16609 / q-fin.CP, cs.LG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과제 유형</w:t>
            </w:r>
          </w:p>
        </w:tc>
        <w:tc>
          <w:tcPr>
            <w:tcW w:type="dxa" w:w="4320"/>
          </w:tcPr>
          <w:p>
            <w:r>
              <w:t>연속기간 포트폴리오 최적화(롱/숏 허용)를 위한 결정론적 정책경사 DRL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핵심 기여</w:t>
            </w:r>
          </w:p>
        </w:tc>
        <w:tc>
          <w:tcPr>
            <w:tcW w:type="dxa" w:w="4320"/>
          </w:tcPr>
          <w:p>
            <w:r>
              <w:t>DRL이 'BL 모델 입력(view·위험회피)'을 산출하는 정책을 학습 → 자산 간 동적 상관 반영</w:t>
            </w:r>
          </w:p>
        </w:tc>
      </w:tr>
    </w:tbl>
    <w:p>
      <w:pPr>
        <w:pStyle w:val="Heading1"/>
      </w:pPr>
      <w:r>
        <w:rPr>
          <w:color w:val="1F3A5F"/>
        </w:rPr>
        <w:t>1. 연구 배경과 문제 정의</w:t>
      </w:r>
    </w:p>
    <w:p>
      <w:r>
        <w:t>심층강화학습(DRL)은 환경과 상호작용하며 보상으로 정책을 학습하는 모델-프리 기법으로, 시장 변화에 동적으로 적응하고 자산 간 결합동학을 명시적으로 가정하지 않아도 된다는 장점이 있다. 그러나 통상의 DRL 포트폴리오 정책은 보상(수익·위험)만으로 학습되어 '자산 간 동적 상관관계'를 정책에 담기 어렵다. 상관관계는 롱/숏 전략의 핵심(음의 상관 자산이 서로 손익을 상쇄해 비체계적 위험을 줄임)이므로, 이를 못 쓰면 특히 공매도가 허용되는 미국시장에서 위험 대비 수익을 키우기 어렵다.</w:t>
      </w:r>
    </w:p>
    <w:p>
      <w:r>
        <w:t>한편 Markowitz 평균-분산은 추정오차 최대화(error maximization) 문제로 OOS 성능이 나빠진다. 이를 보완하는 Black-Litterman(BL) 모델은 베이지안으로 '주관적 view + 과거기반 prior'를 결합해 안정적 해를 준다. 본 논문은 DRL이 BL 모델의 입력을 산출하도록 학습시키는 BDA(Black-Litterman model based DRL Agent)를 제안한다.</w:t>
      </w:r>
    </w:p>
    <w:p>
      <w:pPr>
        <w:pStyle w:val="Heading1"/>
      </w:pPr>
      <w:r>
        <w:rPr>
          <w:color w:val="1F3A5F"/>
        </w:rPr>
        <w:t>2. 사전 개념 정리 (전문용어 정의)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용어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직관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강화학습(DRL)</w:t>
            </w:r>
          </w:p>
        </w:tc>
        <w:tc>
          <w:tcPr>
            <w:tcW w:type="dxa" w:w="2880"/>
          </w:tcPr>
          <w:p>
            <w:r>
              <w:t>상태에서 행동을 취해 보상을 받고, 누적보상을 최대화하는 정책을 학습. 모델-프리.</w:t>
            </w:r>
          </w:p>
        </w:tc>
        <w:tc>
          <w:tcPr>
            <w:tcW w:type="dxa" w:w="2880"/>
          </w:tcPr>
          <w:p>
            <w:r>
              <w:t>보상으로 시행착오하며 정책을 학습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정책경사 / 결정론적 정책(DPG)</w:t>
            </w:r>
          </w:p>
        </w:tc>
        <w:tc>
          <w:tcPr>
            <w:tcW w:type="dxa" w:w="2880"/>
          </w:tcPr>
          <w:p>
            <w:r>
              <w:t>정책을 직접 파라미터화해 목적함수의 기울기로 갱신. 결정론적 정책은 상태→행동을 확정적으로 매핑.</w:t>
            </w:r>
          </w:p>
        </w:tc>
        <w:tc>
          <w:tcPr>
            <w:tcW w:type="dxa" w:w="2880"/>
          </w:tcPr>
          <w:p>
            <w:r>
              <w:t>행동확률 대신 행동 자체를 출력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Black-Litterman(BL)</w:t>
            </w:r>
          </w:p>
        </w:tc>
        <w:tc>
          <w:tcPr>
            <w:tcW w:type="dxa" w:w="2880"/>
          </w:tcPr>
          <w:p>
            <w:r>
              <w:t>시장균형(prior)과 투자자 view를 베이지안으로 결합해 사후 기대수익 분포를 산출하는 평균-분산 계열 모델.</w:t>
            </w:r>
          </w:p>
        </w:tc>
        <w:tc>
          <w:tcPr>
            <w:tcW w:type="dxa" w:w="2880"/>
          </w:tcPr>
          <w:p>
            <w:r>
              <w:t>시장 통계와 내 의견을 신뢰도로 가중 결합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Transformer</w:t>
            </w:r>
          </w:p>
        </w:tc>
        <w:tc>
          <w:tcPr>
            <w:tcW w:type="dxa" w:w="2880"/>
          </w:tcPr>
          <w:p>
            <w:r>
              <w:t>self-attention으로 시퀀스 내 요소 간 관계를 병렬로 학습하는 신경망. 통상 위치인코딩으로 순서정보를 부여.</w:t>
            </w:r>
          </w:p>
        </w:tc>
        <w:tc>
          <w:tcPr>
            <w:tcW w:type="dxa" w:w="2880"/>
          </w:tcPr>
          <w:p>
            <w:r>
              <w:t>여러 입력 간 상호관계를 동시에 포착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EIIE / 정책-only 학습</w:t>
            </w:r>
          </w:p>
        </w:tc>
        <w:tc>
          <w:tcPr>
            <w:tcW w:type="dxa" w:w="2880"/>
          </w:tcPr>
          <w:p>
            <w:r>
              <w:t>Jiang et al.의 포트폴리오 정책 토폴로지. 자산별 동일 평가기를 공유, critic 없이 보상 기반 목적함수를 직접 최적화.</w:t>
            </w:r>
          </w:p>
        </w:tc>
        <w:tc>
          <w:tcPr>
            <w:tcW w:type="dxa" w:w="2880"/>
          </w:tcPr>
          <w:p>
            <w:r>
              <w:t>critic 없이 보상에서 바로 정책 학습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롱/숏, 레버리지</w:t>
            </w:r>
          </w:p>
        </w:tc>
        <w:tc>
          <w:tcPr>
            <w:tcW w:type="dxa" w:w="2880"/>
          </w:tcPr>
          <w:p>
            <w:r>
              <w:t>롱=매수, 숏=공매도. 레버리지는 원금 대비 큰 포지션. 본 논문은 총투자=초기자본의 0.5배로 제한.</w:t>
            </w:r>
          </w:p>
        </w:tc>
        <w:tc>
          <w:tcPr>
            <w:tcW w:type="dxa" w:w="2880"/>
          </w:tcPr>
          <w:p>
            <w:r>
              <w:t>오를 건 사고 내릴 건 미리 팔되 규모 제한</w:t>
            </w:r>
          </w:p>
        </w:tc>
      </w:tr>
    </w:tbl>
    <w:p>
      <w:pPr>
        <w:pStyle w:val="Heading1"/>
      </w:pPr>
      <w:r>
        <w:rPr>
          <w:color w:val="1F3A5F"/>
        </w:rPr>
        <w:t>3. 모델 선택의 근거 (왜 이 구성인가)</w:t>
      </w:r>
    </w:p>
    <w:p>
      <w:pPr>
        <w:pStyle w:val="ListBullet"/>
      </w:pPr>
      <w:r>
        <w:t>왜 BL(Markowitz 아님)? — Markowitz는 추정오차 최대화로 OOS가 불안정. BL은 균형 prior에 view를 신뢰도로 결합해 이를 완화하고, 평균-분산 구조라 상관 기반 롱/숏이 가능.</w:t>
      </w:r>
    </w:p>
    <w:p>
      <w:pPr>
        <w:pStyle w:val="ListBullet"/>
      </w:pPr>
      <w:r>
        <w:t>왜 DRL이 'view·위험회피'만 출력? — 가중치를 직접 출력하면 행동공간이 고차원·연속이라 탐색이 비효율적. BL이라는 구조적 사전을 두고 그 입력만 학습하면 안정성↑.</w:t>
      </w:r>
    </w:p>
    <w:p>
      <w:pPr>
        <w:pStyle w:val="ListBullet"/>
      </w:pPr>
      <w:r>
        <w:t>왜 Transformer + 위치인코딩 제거? — 여러 자산 수익률 시계열의 '비선형 상관'을 포착하되, 위치(순서)정보를 제거해 시점 순서에 과적합되지 않고 자산 간 관계 학습에 집중.</w:t>
      </w:r>
    </w:p>
    <w:p>
      <w:pPr>
        <w:pStyle w:val="ListBullet"/>
      </w:pPr>
      <w:r>
        <w:t>왜 정책-only(critic 제거)? — actor-critic은 고차원 연속행동에서 차원의 저주로 critic 학습이 어려움. 보상함수로 미분가능 목적함수를 만들어 해석적 기울기를 정책망에 직접 역전파.</w:t>
      </w:r>
    </w:p>
    <w:p>
      <w:pPr>
        <w:pStyle w:val="Heading1"/>
      </w:pPr>
      <w:r>
        <w:rPr>
          <w:color w:val="1F3A5F"/>
        </w:rPr>
        <w:t>4. 데이터: 수집 → 전처리 파이프라인</w:t>
      </w:r>
    </w:p>
    <w:p>
      <w:pPr>
        <w:pStyle w:val="ListBullet"/>
      </w:pPr>
      <w:r>
        <w:t>유니버스: DJIA 구성종목, 결측 제거 후 29종목. 출처 Yahoo Finance, adjusted close(배당·분할 조정).</w:t>
      </w:r>
    </w:p>
    <w:p>
      <w:pPr>
        <w:pStyle w:val="ListBullet"/>
      </w:pPr>
      <w:r>
        <w:t>트레이딩 기간 = 5거래일(주간 리밸런싱). 기간 말 종가벡터로 거래 집행.</w:t>
      </w:r>
    </w:p>
    <w:p>
      <w:pPr>
        <w:pStyle w:val="ListBullet"/>
      </w:pPr>
      <w:r>
        <w:t>로그수익률 사용: r_{i,t} = log2( c_{i,t} / c_{i,t−1} ).</w:t>
      </w:r>
    </w:p>
    <w:p>
      <w:pPr>
        <w:pStyle w:val="ListBullet"/>
      </w:pPr>
      <w:r>
        <w:t>상태 텐서: 과거 m개 기간의 가격변동 텐서 X_t ∈ ℝ^{1×5m×N} (N=자산수).</w:t>
      </w:r>
    </w:p>
    <w:p>
      <w:pPr>
        <w:pStyle w:val="ListBullet"/>
      </w:pPr>
      <w:r>
        <w:t>비용 모델: 수수료율 c, 현금·주식 차입율 반영. 무위험금리는 0 가정(2020~21 제로금리 반영).</w:t>
      </w:r>
    </w:p>
    <w:p>
      <w:pPr>
        <w:pStyle w:val="ListBullet"/>
      </w:pPr>
      <w:r>
        <w:t>레버리지 제한: 각 기간 총투자액 p_t = 0.5·p_1 (롱+숏 규모 통제로 비용·위험 억제).</w:t>
      </w:r>
    </w:p>
    <w:p>
      <w:r>
        <w:t>상태 정의 (직전 비중 + 과거 수익 텐서):</w:t>
      </w:r>
    </w:p>
    <w:p>
      <w:pPr>
        <w:ind w:left="360"/>
      </w:pPr>
      <w:r>
        <w:rPr>
          <w:rFonts w:ascii="Consolas" w:hAnsi="Consolas"/>
          <w:sz w:val="20"/>
        </w:rPr>
        <w:t>s_t := ( w_{t−1},  X_t ),   X_t = [ y_{t−m}, …, y_{t−1} ]</w:t>
      </w:r>
    </w:p>
    <w:p>
      <w:pPr>
        <w:pStyle w:val="Heading1"/>
      </w:pPr>
      <w:r>
        <w:rPr>
          <w:color w:val="1F3A5F"/>
        </w:rPr>
        <w:t>5. 모델 아키텍처 &amp; 의사결정 절차</w:t>
      </w:r>
    </w:p>
    <w:p>
      <w:pPr>
        <w:pStyle w:val="Heading2"/>
      </w:pPr>
      <w:r>
        <w:t>5.1 두 신경망의 역할</w:t>
      </w:r>
    </w:p>
    <w:p>
      <w:pPr>
        <w:pStyle w:val="ListBullet"/>
      </w:pPr>
      <w:r>
        <w:t>τ1(Transformer, 위치인코딩 제거): 상태로부터 절대 view q_t(각 자산의 기대초과수익) 출력. 각 기간 5일 수익을 패치로 분해해 시퀀스로 처리.</w:t>
      </w:r>
    </w:p>
    <w:p>
      <w:pPr>
        <w:pStyle w:val="ListBullet"/>
      </w:pPr>
      <w:r>
        <w:t>τ2(CNN): 위험회피 계수 λ_t(스칼라) 출력.</w:t>
      </w:r>
    </w:p>
    <w:p>
      <w:pPr>
        <w:ind w:left="360"/>
      </w:pPr>
      <w:r>
        <w:rPr>
          <w:rFonts w:ascii="Consolas" w:hAnsi="Consolas"/>
          <w:sz w:val="20"/>
        </w:rPr>
        <w:t>q_t = τ1(s_t; θ1),   λ_t = τ2(s_t; θ2)</w:t>
      </w:r>
    </w:p>
    <w:p>
      <w:pPr>
        <w:pStyle w:val="Heading2"/>
      </w:pPr>
      <w:r>
        <w:t>5.2 BL 모델 계산 (prior → view → posterior → 가중치)</w:t>
      </w:r>
    </w:p>
    <w:p>
      <w:pPr>
        <w:pStyle w:val="ListBullet"/>
      </w:pPr>
      <w:r>
        <w:t>prior 공분산 Σ_t^h: 과거 수익으로 추정(식 10).</w:t>
      </w:r>
    </w:p>
    <w:p>
      <w:pPr>
        <w:pStyle w:val="ListBullet"/>
      </w:pPr>
      <w:r>
        <w:t>균형 prior 기대수익 Π_t: 역최적화로 도출(각 자산 동일 투자가치 가정, 식 11).</w:t>
      </w:r>
    </w:p>
    <w:p>
      <w:pPr>
        <w:pStyle w:val="ListBullet"/>
      </w:pPr>
      <w:r>
        <w:t>view: DRL의 q_t를 절대 view로 사용 → view행렬 P=항등행렬(N×N), 불확실성 Ω=diag(τ·PΣP').</w:t>
      </w:r>
    </w:p>
    <w:p>
      <w:pPr>
        <w:pStyle w:val="ListBullet"/>
      </w:pPr>
      <w:r>
        <w:t>사후분포(식 13)로 prior와 view를 결합해 μ_post, Σ_post 산출.</w:t>
      </w:r>
    </w:p>
    <w:p>
      <w:pPr>
        <w:ind w:left="360"/>
      </w:pPr>
      <w:r>
        <w:rPr>
          <w:rFonts w:ascii="Consolas" w:hAnsi="Consolas"/>
          <w:sz w:val="20"/>
        </w:rPr>
        <w:t>Σ_post,μ_post = BL( Π_t, Σ_t^h, P=I, Ω, q_t )      # 식(13)</w:t>
      </w:r>
    </w:p>
    <w:p>
      <w:r>
        <w:t>최종 가중치는 오목 이차계획(QP)의 라그랑주 해(식 15):</w:t>
      </w:r>
    </w:p>
    <w:p>
      <w:pPr>
        <w:ind w:left="360"/>
      </w:pPr>
      <w:r>
        <w:rPr>
          <w:rFonts w:ascii="Consolas" w:hAnsi="Consolas"/>
          <w:sz w:val="20"/>
        </w:rPr>
        <w:t>w_t = (1/λ_t)·Σ_post^{-1}·μ_post,   w_{0,t}=1 − Σ w_t   (현금)</w:t>
      </w:r>
    </w:p>
    <w:p>
      <w:pPr>
        <w:pStyle w:val="Heading1"/>
      </w:pPr>
      <w:r>
        <w:rPr>
          <w:color w:val="1F3A5F"/>
        </w:rPr>
        <w:t>6. 학습 절차 (보상·목적함수)</w:t>
      </w:r>
    </w:p>
    <w:p>
      <w:r>
        <w:t>보상함수 R: 일평균수익 − 분산패널티 − 거래규모패널티 (z1,z2&gt;0):</w:t>
      </w:r>
    </w:p>
    <w:p>
      <w:pPr>
        <w:ind w:left="360"/>
      </w:pPr>
      <w:r>
        <w:rPr>
          <w:rFonts w:ascii="Consolas" w:hAnsi="Consolas"/>
          <w:sz w:val="20"/>
        </w:rPr>
        <w:t>R(w_t | s_{t+1}, z1, z2) = (1/5)·μ_p − (z1/2)·σ_p² − z2·χ_p        # 식(17)</w:t>
      </w:r>
    </w:p>
    <w:p>
      <w:r>
        <w:t>학습목표: 학습기간 누적보상 ARD 최대화. critic 없이 미분가능 목적함수의 해석적 기울기를 정책망에 역전파(정책-only, 차원의 저주 회피).</w:t>
      </w:r>
    </w:p>
    <w:p>
      <w:pPr>
        <w:ind w:left="360"/>
      </w:pPr>
      <w:r>
        <w:rPr>
          <w:rFonts w:ascii="Consolas" w:hAnsi="Consolas"/>
          <w:sz w:val="20"/>
        </w:rPr>
        <w:t>ARD(tr) = Σ_t R(w_t | s_{t+1}, z1, z2)        # 식(18),  총 스텝 3e5</w:t>
      </w:r>
    </w:p>
    <w:p>
      <w:pPr>
        <w:pStyle w:val="Heading1"/>
      </w:pPr>
      <w:r>
        <w:rPr>
          <w:color w:val="1F3A5F"/>
        </w:rPr>
        <w:t>7. 평가 프로토콜</w:t>
      </w:r>
    </w:p>
    <w:p>
      <w:pPr>
        <w:pStyle w:val="ListBullet"/>
      </w:pPr>
      <w:r>
        <w:t>지표: AR(누적수익), DR(일수익), Std, LStd(하방표준편차), SR(Sharpe), STR(Sortino).</w:t>
      </w:r>
    </w:p>
    <w:p>
      <w:pPr>
        <w:pStyle w:val="ListBullet"/>
      </w:pPr>
      <w:r>
        <w:t>베이스라인: CRP, UBAH, UP, EG, ANTICOR, PAMR, CWMR, OLMAR, ONS, BK 등 온라인 포트폴리오 전략 + 여러 DRL 프레임워크. 모든 매매에 거래·차입비용 포함.</w:t>
      </w:r>
    </w:p>
    <w:p>
      <w:pPr>
        <w:pStyle w:val="Heading2"/>
      </w:pPr>
      <w:r>
        <w:t>롤링 백테스트 4구간 (train 3년 → backtest 120거래일)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실험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학습 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백테스트 시작</w:t>
            </w:r>
          </w:p>
        </w:tc>
      </w:tr>
      <w:tr>
        <w:tc>
          <w:tcPr>
            <w:tcW w:type="dxa" w:w="2880"/>
          </w:tcPr>
          <w:p>
            <w:r>
              <w:t>Exp1</w:t>
            </w:r>
          </w:p>
        </w:tc>
        <w:tc>
          <w:tcPr>
            <w:tcW w:type="dxa" w:w="2880"/>
          </w:tcPr>
          <w:p>
            <w:r>
              <w:t>2018-01-01 ~ 2020-12-31</w:t>
            </w:r>
          </w:p>
        </w:tc>
        <w:tc>
          <w:tcPr>
            <w:tcW w:type="dxa" w:w="2880"/>
          </w:tcPr>
          <w:p>
            <w:r>
              <w:t>2021-01-01부터 120일</w:t>
            </w:r>
          </w:p>
        </w:tc>
      </w:tr>
      <w:tr>
        <w:tc>
          <w:tcPr>
            <w:tcW w:type="dxa" w:w="2880"/>
          </w:tcPr>
          <w:p>
            <w:r>
              <w:t>Exp2</w:t>
            </w:r>
          </w:p>
        </w:tc>
        <w:tc>
          <w:tcPr>
            <w:tcW w:type="dxa" w:w="2880"/>
          </w:tcPr>
          <w:p>
            <w:r>
              <w:t>2018-07-01 ~ 2021-06-30</w:t>
            </w:r>
          </w:p>
        </w:tc>
        <w:tc>
          <w:tcPr>
            <w:tcW w:type="dxa" w:w="2880"/>
          </w:tcPr>
          <w:p>
            <w:r>
              <w:t>2021-07-01부터 120일</w:t>
            </w:r>
          </w:p>
        </w:tc>
      </w:tr>
      <w:tr>
        <w:tc>
          <w:tcPr>
            <w:tcW w:type="dxa" w:w="2880"/>
          </w:tcPr>
          <w:p>
            <w:r>
              <w:t>Exp3</w:t>
            </w:r>
          </w:p>
        </w:tc>
        <w:tc>
          <w:tcPr>
            <w:tcW w:type="dxa" w:w="2880"/>
          </w:tcPr>
          <w:p>
            <w:r>
              <w:t>2019-01-01 ~ 2021-12-31</w:t>
            </w:r>
          </w:p>
        </w:tc>
        <w:tc>
          <w:tcPr>
            <w:tcW w:type="dxa" w:w="2880"/>
          </w:tcPr>
          <w:p>
            <w:r>
              <w:t>2022-01-01부터 120일</w:t>
            </w:r>
          </w:p>
        </w:tc>
      </w:tr>
      <w:tr>
        <w:tc>
          <w:tcPr>
            <w:tcW w:type="dxa" w:w="2880"/>
          </w:tcPr>
          <w:p>
            <w:r>
              <w:t>Exp4</w:t>
            </w:r>
          </w:p>
        </w:tc>
        <w:tc>
          <w:tcPr>
            <w:tcW w:type="dxa" w:w="2880"/>
          </w:tcPr>
          <w:p>
            <w:r>
              <w:t>2019-07-01 ~ 2022-06-30</w:t>
            </w:r>
          </w:p>
        </w:tc>
        <w:tc>
          <w:tcPr>
            <w:tcW w:type="dxa" w:w="2880"/>
          </w:tcPr>
          <w:p>
            <w:r>
              <w:t>2022-07-01부터 120일</w:t>
            </w:r>
          </w:p>
        </w:tc>
      </w:tr>
    </w:tbl>
    <w:p>
      <w:pPr>
        <w:pStyle w:val="Heading1"/>
      </w:pPr>
      <w:r>
        <w:rPr>
          <w:color w:val="1F3A5F"/>
        </w:rPr>
        <w:t>8. 결과 및 해석</w:t>
      </w:r>
    </w:p>
    <w:p>
      <w:pPr>
        <w:pStyle w:val="Heading2"/>
      </w:pPr>
      <w:r>
        <w:t>8.1 실험 1 정량 결과 (발췌)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전략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AR(누적수익)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STR</w:t>
            </w:r>
          </w:p>
        </w:tc>
      </w:tr>
      <w:tr>
        <w:tc>
          <w:tcPr>
            <w:tcW w:type="dxa" w:w="1440"/>
          </w:tcPr>
          <w:p>
            <w:r>
              <w:t>BDA</w:t>
            </w:r>
          </w:p>
        </w:tc>
        <w:tc>
          <w:tcPr>
            <w:tcW w:type="dxa" w:w="1440"/>
          </w:tcPr>
          <w:p>
            <w:r>
              <w:t>0.3971</w:t>
            </w:r>
          </w:p>
        </w:tc>
        <w:tc>
          <w:tcPr>
            <w:tcW w:type="dxa" w:w="1440"/>
          </w:tcPr>
          <w:p>
            <w:r>
              <w:t>0.00331</w:t>
            </w:r>
          </w:p>
        </w:tc>
        <w:tc>
          <w:tcPr>
            <w:tcW w:type="dxa" w:w="1440"/>
          </w:tcPr>
          <w:p>
            <w:r>
              <w:t>0.02374</w:t>
            </w:r>
          </w:p>
        </w:tc>
        <w:tc>
          <w:tcPr>
            <w:tcW w:type="dxa" w:w="1440"/>
          </w:tcPr>
          <w:p>
            <w:r>
              <w:t>0.1394</w:t>
            </w:r>
          </w:p>
        </w:tc>
        <w:tc>
          <w:tcPr>
            <w:tcW w:type="dxa" w:w="1440"/>
          </w:tcPr>
          <w:p>
            <w:r>
              <w:t>0.1390</w:t>
            </w:r>
          </w:p>
        </w:tc>
      </w:tr>
      <w:tr>
        <w:tc>
          <w:tcPr>
            <w:tcW w:type="dxa" w:w="1440"/>
          </w:tcPr>
          <w:p>
            <w:r>
              <w:t>ONS</w:t>
            </w:r>
          </w:p>
        </w:tc>
        <w:tc>
          <w:tcPr>
            <w:tcW w:type="dxa" w:w="1440"/>
          </w:tcPr>
          <w:p>
            <w:r>
              <w:t>0.2079</w:t>
            </w:r>
          </w:p>
        </w:tc>
        <w:tc>
          <w:tcPr>
            <w:tcW w:type="dxa" w:w="1440"/>
          </w:tcPr>
          <w:p>
            <w:r>
              <w:t>0.00173</w:t>
            </w:r>
          </w:p>
        </w:tc>
        <w:tc>
          <w:tcPr>
            <w:tcW w:type="dxa" w:w="1440"/>
          </w:tcPr>
          <w:p>
            <w:r>
              <w:t>0.01066</w:t>
            </w:r>
          </w:p>
        </w:tc>
        <w:tc>
          <w:tcPr>
            <w:tcW w:type="dxa" w:w="1440"/>
          </w:tcPr>
          <w:p>
            <w:r>
              <w:t>0.1624</w:t>
            </w:r>
          </w:p>
        </w:tc>
        <w:tc>
          <w:tcPr>
            <w:tcW w:type="dxa" w:w="1440"/>
          </w:tcPr>
          <w:p>
            <w:r>
              <w:t>0.1662</w:t>
            </w:r>
          </w:p>
        </w:tc>
      </w:tr>
      <w:tr>
        <w:tc>
          <w:tcPr>
            <w:tcW w:type="dxa" w:w="1440"/>
          </w:tcPr>
          <w:p>
            <w:r>
              <w:t>UP</w:t>
            </w:r>
          </w:p>
        </w:tc>
        <w:tc>
          <w:tcPr>
            <w:tcW w:type="dxa" w:w="1440"/>
          </w:tcPr>
          <w:p>
            <w:r>
              <w:t>0.2001</w:t>
            </w:r>
          </w:p>
        </w:tc>
        <w:tc>
          <w:tcPr>
            <w:tcW w:type="dxa" w:w="1440"/>
          </w:tcPr>
          <w:p>
            <w:r>
              <w:t>0.00167</w:t>
            </w:r>
          </w:p>
        </w:tc>
        <w:tc>
          <w:tcPr>
            <w:tcW w:type="dxa" w:w="1440"/>
          </w:tcPr>
          <w:p>
            <w:r>
              <w:t>0.01092</w:t>
            </w:r>
          </w:p>
        </w:tc>
        <w:tc>
          <w:tcPr>
            <w:tcW w:type="dxa" w:w="1440"/>
          </w:tcPr>
          <w:p>
            <w:r>
              <w:t>0.1527</w:t>
            </w:r>
          </w:p>
        </w:tc>
        <w:tc>
          <w:tcPr>
            <w:tcW w:type="dxa" w:w="1440"/>
          </w:tcPr>
          <w:p>
            <w:r>
              <w:t>0.1526</w:t>
            </w:r>
          </w:p>
        </w:tc>
      </w:tr>
      <w:tr>
        <w:tc>
          <w:tcPr>
            <w:tcW w:type="dxa" w:w="1440"/>
          </w:tcPr>
          <w:p>
            <w:r>
              <w:t>CRP</w:t>
            </w:r>
          </w:p>
        </w:tc>
        <w:tc>
          <w:tcPr>
            <w:tcW w:type="dxa" w:w="1440"/>
          </w:tcPr>
          <w:p>
            <w:r>
              <w:t>0.1999</w:t>
            </w:r>
          </w:p>
        </w:tc>
        <w:tc>
          <w:tcPr>
            <w:tcW w:type="dxa" w:w="1440"/>
          </w:tcPr>
          <w:p>
            <w:r>
              <w:t>0.00167</w:t>
            </w:r>
          </w:p>
        </w:tc>
        <w:tc>
          <w:tcPr>
            <w:tcW w:type="dxa" w:w="1440"/>
          </w:tcPr>
          <w:p>
            <w:r>
              <w:t>0.01092</w:t>
            </w:r>
          </w:p>
        </w:tc>
        <w:tc>
          <w:tcPr>
            <w:tcW w:type="dxa" w:w="1440"/>
          </w:tcPr>
          <w:p>
            <w:r>
              <w:t>0.1526</w:t>
            </w:r>
          </w:p>
        </w:tc>
        <w:tc>
          <w:tcPr>
            <w:tcW w:type="dxa" w:w="1440"/>
          </w:tcPr>
          <w:p>
            <w:r>
              <w:t>0.1525</w:t>
            </w:r>
          </w:p>
        </w:tc>
      </w:tr>
      <w:tr>
        <w:tc>
          <w:tcPr>
            <w:tcW w:type="dxa" w:w="1440"/>
          </w:tcPr>
          <w:p>
            <w:r>
              <w:t>Anticor</w:t>
            </w:r>
          </w:p>
        </w:tc>
        <w:tc>
          <w:tcPr>
            <w:tcW w:type="dxa" w:w="1440"/>
          </w:tcPr>
          <w:p>
            <w:r>
              <w:t>0.1736</w:t>
            </w:r>
          </w:p>
        </w:tc>
        <w:tc>
          <w:tcPr>
            <w:tcW w:type="dxa" w:w="1440"/>
          </w:tcPr>
          <w:p>
            <w:r>
              <w:t>0.00145</w:t>
            </w:r>
          </w:p>
        </w:tc>
        <w:tc>
          <w:tcPr>
            <w:tcW w:type="dxa" w:w="1440"/>
          </w:tcPr>
          <w:p>
            <w:r>
              <w:t>0.01323</w:t>
            </w:r>
          </w:p>
        </w:tc>
        <w:tc>
          <w:tcPr>
            <w:tcW w:type="dxa" w:w="1440"/>
          </w:tcPr>
          <w:p>
            <w:r>
              <w:t>0.1093</w:t>
            </w:r>
          </w:p>
        </w:tc>
        <w:tc>
          <w:tcPr>
            <w:tcW w:type="dxa" w:w="1440"/>
          </w:tcPr>
          <w:p>
            <w:r>
              <w:t>0.1069</w:t>
            </w:r>
          </w:p>
        </w:tc>
      </w:tr>
      <w:tr>
        <w:tc>
          <w:tcPr>
            <w:tcW w:type="dxa" w:w="1440"/>
          </w:tcPr>
          <w:p>
            <w:r>
              <w:t>OLMAR</w:t>
            </w:r>
          </w:p>
        </w:tc>
        <w:tc>
          <w:tcPr>
            <w:tcW w:type="dxa" w:w="1440"/>
          </w:tcPr>
          <w:p>
            <w:r>
              <w:t>-0.0594</w:t>
            </w:r>
          </w:p>
        </w:tc>
        <w:tc>
          <w:tcPr>
            <w:tcW w:type="dxa" w:w="1440"/>
          </w:tcPr>
          <w:p>
            <w:r>
              <w:t>-0.00049</w:t>
            </w:r>
          </w:p>
        </w:tc>
        <w:tc>
          <w:tcPr>
            <w:tcW w:type="dxa" w:w="1440"/>
          </w:tcPr>
          <w:p>
            <w:r>
              <w:t>0.02400</w:t>
            </w:r>
          </w:p>
        </w:tc>
        <w:tc>
          <w:tcPr>
            <w:tcW w:type="dxa" w:w="1440"/>
          </w:tcPr>
          <w:p>
            <w:r>
              <w:t>-0.0206</w:t>
            </w:r>
          </w:p>
        </w:tc>
        <w:tc>
          <w:tcPr>
            <w:tcW w:type="dxa" w:w="1440"/>
          </w:tcPr>
          <w:p>
            <w:r>
              <w:t>-0.0199</w:t>
            </w:r>
          </w:p>
        </w:tc>
      </w:tr>
    </w:tbl>
    <w:p>
      <w:r>
        <w:t>Exp1에서 BDA 누적수익 39.7%로 차선(ONS 20.8%) 대비 약 +91%. SR은 Exp1에서 ONS가 근소 우위지만 Exp2·3·4에서는 BDA가 SR·STR 최고. BDA의 SR·STR은 전 실험에서 0.08 초과(타 전략은 미달). 헤드라인 클레임: 누적수익에서 비교군·대체 DRL 대비 '최소 42%' 우위, 4개 실험 모두 AR 1위.</w:t>
      </w:r>
    </w:p>
    <w:p>
      <w:pPr>
        <w:pStyle w:val="Heading1"/>
      </w:pPr>
      <w:r>
        <w:rPr>
          <w:color w:val="1F3A5F"/>
        </w:rPr>
        <w:t>9. 우리 환경 재현 워크플로우</w:t>
      </w:r>
    </w:p>
    <w:p>
      <w:pPr>
        <w:pStyle w:val="ListBullet"/>
      </w:pPr>
      <w:r>
        <w:t>데이터 매핑: 주가=Tiingo adjClose(DJIA 29종목, 논문은 Yahoo) · 무위험/차입금리=FRED(DGS1MO 등).</w:t>
      </w:r>
    </w:p>
    <w:p>
      <w:pPr>
        <w:pStyle w:val="ListBullet"/>
      </w:pPr>
      <w:r>
        <w:t>주간(5거래일) 리밸런싱, 거래·차입비용·레버리지 0.5배 동일 적용.</w:t>
      </w:r>
    </w:p>
    <w:p>
      <w:pPr>
        <w:pStyle w:val="ListBullet"/>
      </w:pPr>
      <w:r>
        <w:t>공개코드 없음 → BL + 결정론적 정책경사 + 위치인코딩 제거 Transformer를 직접 구현(난이도 중상).</w:t>
      </w:r>
    </w:p>
    <w:p>
      <w:pPr>
        <w:pStyle w:val="ListNumber"/>
      </w:pPr>
      <w:r>
        <w:t>In-sample 재현: DJIA 29종목·4개 롤링 구간으로 AR·SR·STR 재현(특히 BDA AR vs 베이스라인).</w:t>
      </w:r>
    </w:p>
    <w:p>
      <w:pPr>
        <w:pStyle w:val="ListNumber"/>
      </w:pPr>
      <w:r>
        <w:t>OOS 종목 확장: S&amp;P100/섹터 ETF 등 다른 유니버스 ≥3개로 일반화 검증.</w:t>
      </w:r>
    </w:p>
    <w:p>
      <w:pPr>
        <w:pStyle w:val="ListNumber"/>
      </w:pPr>
      <w:r>
        <w:t>Time robustness: 2023~2025 등 신규 백테스트 구간 ≥3개로 안정성 검증.</w:t>
      </w:r>
    </w:p>
    <w:p>
      <w:pPr>
        <w:pStyle w:val="ListNumber"/>
      </w:pPr>
      <w:r>
        <w:t>비교표+시각화: 논문 AR/SR vs 재현 vs 확장 + 누적수익 곡선·위험-수익 산점도.</w:t>
      </w:r>
    </w:p>
    <w:p>
      <w:pPr>
        <w:pStyle w:val="Heading1"/>
      </w:pPr>
      <w:r>
        <w:rPr>
          <w:color w:val="1F3A5F"/>
        </w:rPr>
        <w:t>10. 한계와 재현 리스크</w:t>
      </w:r>
    </w:p>
    <w:p>
      <w:pPr>
        <w:pStyle w:val="ListBullet"/>
      </w:pPr>
      <w:r>
        <w:t>공개코드 없음 → 직접 구현 필요(BL QP·정책경사·Transformer). 검증의 최대 난관.</w:t>
      </w:r>
    </w:p>
    <w:p>
      <w:pPr>
        <w:pStyle w:val="ListBullet"/>
      </w:pPr>
      <w:r>
        <w:t>공매도·수수료·차입·레버리지 가정에 결과가 민감 → 논문 설정을 정확히 복제해야 비교 유효.</w:t>
      </w:r>
    </w:p>
    <w:p>
      <w:pPr>
        <w:pStyle w:val="ListBullet"/>
      </w:pPr>
      <w:r>
        <w:t>DJIA 구성종목은 시점별로 변동 → 백테스트 구간의 실제 구성·생존편향 주의.</w:t>
      </w:r>
    </w:p>
    <w:p>
      <w:pPr>
        <w:pStyle w:val="ListBullet"/>
      </w:pPr>
      <w:r>
        <w:t>Yahoo↔Tiingo 조정 차이로 in-sample 수치 미세 편차 가능(caveat 명시).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