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80" w:before="0" w:after="0"/>
        <w:ind w:firstLine="0"/>
      </w:pPr>
    </w:p>
    <w:p>
      <w:pPr>
        <w:spacing w:lineRule="exact" w:line="480" w:before="0" w:after="0"/>
        <w:ind w:firstLine="0"/>
      </w:pPr>
    </w:p>
    <w:p>
      <w:pPr>
        <w:spacing w:lineRule="exact" w:line="480" w:before="0" w:after="0"/>
        <w:ind w:firstLine="0"/>
      </w:pPr>
    </w:p>
    <w:p>
      <w:pPr>
        <w:spacing w:lineRule="exact" w:line="480" w:before="0" w:after="0"/>
        <w:ind w:firstLine="0"/>
      </w:pPr>
    </w:p>
    <w:p>
      <w:pPr>
        <w:pStyle w:val="Title"/>
        <w:spacing w:lineRule="exact" w:line="720" w:after="480"/>
        <w:ind w:firstLine="0"/>
        <w:jc w:val="center"/>
      </w:pPr>
      <w:r>
        <w:rPr>
          <w:rFonts w:ascii="SimHei" w:hAnsi="SimHei" w:eastAsia="黑体" w:cs="SimHei"/>
          <w:b/>
          <w:color w:val="000000"/>
          <w:sz w:val="48"/>
        </w:rPr>
        <w:t>基于轨道交通客运装备的</w:t>
        <w:br/>
        <w:t>内装模块分区识别与快速设计</w:t>
        <w:br/>
        <w:t>系统构建研究报告</w:t>
      </w:r>
    </w:p>
    <w:p>
      <w:pPr>
        <w:spacing w:lineRule="exact" w:line="480" w:before="0" w:after="0"/>
        <w:ind w:firstLine="0"/>
        <w:jc w:val="center"/>
      </w:pPr>
      <w:r>
        <w:rPr>
          <w:rFonts w:ascii="SimSun" w:hAnsi="SimSun" w:eastAsia="宋体" w:cs="SimSun"/>
          <w:color w:val="000000"/>
          <w:sz w:val="24"/>
        </w:rPr>
        <w:t>平台构建技术指导</w:t>
      </w:r>
    </w:p>
    <w:p>
      <w:pPr>
        <w:spacing w:lineRule="exact" w:line="480" w:before="0" w:after="0"/>
        <w:ind w:firstLine="0"/>
        <w:jc w:val="center"/>
      </w:pPr>
      <w:r>
        <w:rPr>
          <w:rFonts w:ascii="SimSun" w:hAnsi="SimSun" w:eastAsia="宋体" w:cs="SimSun"/>
          <w:color w:val="000000"/>
          <w:sz w:val="24"/>
        </w:rPr>
      </w:r>
    </w:p>
    <w:p>
      <w:pPr>
        <w:spacing w:lineRule="exact" w:line="480" w:before="0" w:after="0"/>
        <w:ind w:firstLine="0"/>
        <w:jc w:val="center"/>
      </w:pPr>
      <w:r>
        <w:rPr>
          <w:rFonts w:ascii="SimSun" w:hAnsi="SimSun" w:eastAsia="宋体" w:cs="SimSun"/>
          <w:color w:val="000000"/>
          <w:sz w:val="24"/>
        </w:rPr>
        <w:t>文档版本  V2.5</w:t>
      </w:r>
    </w:p>
    <w:p>
      <w:pPr>
        <w:spacing w:lineRule="exact" w:line="480" w:before="0" w:after="0"/>
        <w:ind w:firstLine="0"/>
        <w:jc w:val="center"/>
      </w:pPr>
      <w:r>
        <w:rPr>
          <w:rFonts w:ascii="SimSun" w:hAnsi="SimSun" w:eastAsia="宋体" w:cs="SimSun"/>
          <w:color w:val="000000"/>
          <w:sz w:val="24"/>
        </w:rPr>
        <w:t>委托单位  中车工业研究院有限公司</w:t>
      </w:r>
    </w:p>
    <w:p>
      <w:pPr>
        <w:spacing w:lineRule="exact" w:line="480" w:before="0" w:after="0"/>
        <w:ind w:firstLine="0"/>
        <w:jc w:val="center"/>
      </w:pPr>
      <w:r>
        <w:rPr>
          <w:rFonts w:ascii="SimSun" w:hAnsi="SimSun" w:eastAsia="宋体" w:cs="SimSun"/>
          <w:color w:val="000000"/>
          <w:sz w:val="24"/>
        </w:rPr>
        <w:t>承担单位  北京科技大学</w:t>
      </w:r>
    </w:p>
    <w:p>
      <w:pPr>
        <w:spacing w:lineRule="exact" w:line="480" w:before="0" w:after="0"/>
        <w:ind w:firstLine="0"/>
        <w:jc w:val="center"/>
      </w:pPr>
      <w:r>
        <w:rPr>
          <w:rFonts w:ascii="SimSun" w:hAnsi="SimSun" w:eastAsia="宋体" w:cs="SimSun"/>
          <w:color w:val="000000"/>
          <w:sz w:val="24"/>
        </w:rPr>
      </w:r>
    </w:p>
    <w:p>
      <w:pPr>
        <w:spacing w:lineRule="exact" w:line="480" w:before="0" w:after="0"/>
        <w:ind w:firstLine="0"/>
        <w:jc w:val="center"/>
      </w:pPr>
      <w:r>
        <w:rPr>
          <w:rFonts w:ascii="SimSun" w:hAnsi="SimSun" w:eastAsia="宋体" w:cs="SimSun"/>
          <w:color w:val="000000"/>
          <w:sz w:val="24"/>
        </w:rPr>
        <w:t>2026年10月9日</w:t>
      </w:r>
    </w:p>
    <w:p>
      <w:pPr>
        <w:sectPr>
          <w:footerReference w:type="default" r:id="rId11"/>
          <w:pgSz w:w="11906" w:h="16838"/>
          <w:pgMar w:top="1417" w:right="1361" w:bottom="1417" w:left="1474" w:header="850" w:footer="992" w:gutter="0"/>
          <w:cols w:space="720"/>
          <w:docGrid w:linePitch="360"/>
        </w:sectPr>
      </w:pPr>
    </w:p>
    <w:p>
      <w:pPr>
        <w:keepNext/>
        <w:spacing w:before="0" w:after="240"/>
      </w:pPr>
      <w:r>
        <w:rPr>
          <w:rFonts w:ascii="SimHei" w:hAnsi="SimHei" w:eastAsia="黑体" w:cs="SimHei"/>
          <w:b/>
          <w:color w:val="000000"/>
          <w:sz w:val="28"/>
        </w:rPr>
        <w:t>目录</w:t>
      </w:r>
    </w:p>
    <w:p>
      <w:pPr>
        <w:tabs>
          <w:tab w:pos="8901" w:val="right" w:leader="dot"/>
        </w:tabs>
        <w:spacing w:lineRule="exact" w:line="480" w:before="0" w:after="0"/>
        <w:ind w:firstLine="0" w:left="0" w:right="0"/>
      </w:pPr>
      <w:hyperlink w:anchor="report_heading_001" w:history="1">
        <w:r>
          <w:rPr>
            <w:rFonts w:ascii="SimSun" w:hAnsi="SimSun" w:eastAsia="宋体" w:cs="SimSun"/>
            <w:b/>
            <w:color w:val="000000"/>
            <w:sz w:val="24"/>
            <w:u w:val="none"/>
          </w:rPr>
          <w:t>概述</w:t>
        </w:r>
      </w:hyperlink>
      <w:r>
        <w:rPr>
          <w:rFonts w:ascii="SimSun" w:hAnsi="SimSun" w:eastAsia="宋体" w:cs="SimSun"/>
          <w:color w:val="000000"/>
          <w:sz w:val="24"/>
        </w:rPr>
        <w:tab/>
      </w:r>
      <w:hyperlink w:anchor="report_heading_001" w:history="1">
        <w:r>
          <w:rPr>
            <w:rFonts w:ascii="SimSun" w:hAnsi="SimSun" w:eastAsia="宋体" w:cs="SimSun"/>
            <w:b/>
            <w:color w:val="000000"/>
            <w:sz w:val="24"/>
            <w:u w:val="none"/>
          </w:rPr>
          <w:t>3</w:t>
        </w:r>
      </w:hyperlink>
    </w:p>
    <w:p>
      <w:pPr>
        <w:tabs>
          <w:tab w:pos="8901" w:val="right" w:leader="dot"/>
        </w:tabs>
        <w:spacing w:lineRule="exact" w:line="480" w:before="0" w:after="0"/>
        <w:ind w:firstLine="0" w:left="0" w:right="0"/>
      </w:pPr>
      <w:hyperlink w:anchor="report_heading_002" w:history="1">
        <w:r>
          <w:rPr>
            <w:rFonts w:ascii="SimSun" w:hAnsi="SimSun" w:eastAsia="宋体" w:cs="SimSun"/>
            <w:b/>
            <w:color w:val="000000"/>
            <w:sz w:val="24"/>
            <w:u w:val="none"/>
          </w:rPr>
          <w:t>一、出口客运装备内装设计现状与研究方法</w:t>
        </w:r>
      </w:hyperlink>
      <w:r>
        <w:rPr>
          <w:rFonts w:ascii="SimSun" w:hAnsi="SimSun" w:eastAsia="宋体" w:cs="SimSun"/>
          <w:color w:val="000000"/>
          <w:sz w:val="24"/>
        </w:rPr>
        <w:tab/>
      </w:r>
      <w:hyperlink w:anchor="report_heading_002" w:history="1">
        <w:r>
          <w:rPr>
            <w:rFonts w:ascii="SimSun" w:hAnsi="SimSun" w:eastAsia="宋体" w:cs="SimSun"/>
            <w:b/>
            <w:color w:val="000000"/>
            <w:sz w:val="24"/>
            <w:u w:val="none"/>
          </w:rPr>
          <w:t>4</w:t>
        </w:r>
      </w:hyperlink>
    </w:p>
    <w:p>
      <w:pPr>
        <w:tabs>
          <w:tab w:pos="8901" w:val="right" w:leader="dot"/>
        </w:tabs>
        <w:spacing w:lineRule="exact" w:line="480" w:before="0" w:after="0"/>
        <w:ind w:firstLine="0" w:left="0" w:right="0"/>
      </w:pPr>
      <w:hyperlink w:anchor="report_heading_006" w:history="1">
        <w:r>
          <w:rPr>
            <w:rFonts w:ascii="SimSun" w:hAnsi="SimSun" w:eastAsia="宋体" w:cs="SimSun"/>
            <w:b/>
            <w:color w:val="000000"/>
            <w:sz w:val="24"/>
            <w:u w:val="none"/>
          </w:rPr>
          <w:t>二、内装模块划分与分区设计研究</w:t>
        </w:r>
      </w:hyperlink>
      <w:r>
        <w:rPr>
          <w:rFonts w:ascii="SimSun" w:hAnsi="SimSun" w:eastAsia="宋体" w:cs="SimSun"/>
          <w:color w:val="000000"/>
          <w:sz w:val="24"/>
        </w:rPr>
        <w:tab/>
      </w:r>
      <w:hyperlink w:anchor="report_heading_006" w:history="1">
        <w:r>
          <w:rPr>
            <w:rFonts w:ascii="SimSun" w:hAnsi="SimSun" w:eastAsia="宋体" w:cs="SimSun"/>
            <w:b/>
            <w:color w:val="000000"/>
            <w:sz w:val="24"/>
            <w:u w:val="none"/>
          </w:rPr>
          <w:t>8</w:t>
        </w:r>
      </w:hyperlink>
    </w:p>
    <w:p>
      <w:pPr>
        <w:tabs>
          <w:tab w:pos="8901" w:val="right" w:leader="dot"/>
        </w:tabs>
        <w:spacing w:lineRule="exact" w:line="480" w:before="0" w:after="0"/>
        <w:ind w:firstLine="0" w:left="0" w:right="0"/>
      </w:pPr>
      <w:hyperlink w:anchor="report_heading_018" w:history="1">
        <w:r>
          <w:rPr>
            <w:rFonts w:ascii="SimSun" w:hAnsi="SimSun" w:eastAsia="宋体" w:cs="SimSun"/>
            <w:b/>
            <w:color w:val="000000"/>
            <w:sz w:val="24"/>
            <w:u w:val="none"/>
          </w:rPr>
          <w:t>三、快速设计与跨区域优化研究</w:t>
        </w:r>
      </w:hyperlink>
      <w:r>
        <w:rPr>
          <w:rFonts w:ascii="SimSun" w:hAnsi="SimSun" w:eastAsia="宋体" w:cs="SimSun"/>
          <w:color w:val="000000"/>
          <w:sz w:val="24"/>
        </w:rPr>
        <w:tab/>
      </w:r>
      <w:hyperlink w:anchor="report_heading_018" w:history="1">
        <w:r>
          <w:rPr>
            <w:rFonts w:ascii="SimSun" w:hAnsi="SimSun" w:eastAsia="宋体" w:cs="SimSun"/>
            <w:b/>
            <w:color w:val="000000"/>
            <w:sz w:val="24"/>
            <w:u w:val="none"/>
          </w:rPr>
          <w:t>19</w:t>
        </w:r>
      </w:hyperlink>
    </w:p>
    <w:p>
      <w:pPr>
        <w:tabs>
          <w:tab w:pos="8901" w:val="right" w:leader="dot"/>
        </w:tabs>
        <w:spacing w:lineRule="exact" w:line="480" w:before="0" w:after="0"/>
        <w:ind w:firstLine="0" w:left="0" w:right="0"/>
      </w:pPr>
      <w:hyperlink w:anchor="report_heading_027" w:history="1">
        <w:r>
          <w:rPr>
            <w:rFonts w:ascii="SimSun" w:hAnsi="SimSun" w:eastAsia="宋体" w:cs="SimSun"/>
            <w:b/>
            <w:color w:val="000000"/>
            <w:sz w:val="24"/>
            <w:u w:val="none"/>
          </w:rPr>
          <w:t>四、平台总体构建方案</w:t>
        </w:r>
      </w:hyperlink>
      <w:r>
        <w:rPr>
          <w:rFonts w:ascii="SimSun" w:hAnsi="SimSun" w:eastAsia="宋体" w:cs="SimSun"/>
          <w:color w:val="000000"/>
          <w:sz w:val="24"/>
        </w:rPr>
        <w:tab/>
      </w:r>
      <w:hyperlink w:anchor="report_heading_027" w:history="1">
        <w:r>
          <w:rPr>
            <w:rFonts w:ascii="SimSun" w:hAnsi="SimSun" w:eastAsia="宋体" w:cs="SimSun"/>
            <w:b/>
            <w:color w:val="000000"/>
            <w:sz w:val="24"/>
            <w:u w:val="none"/>
          </w:rPr>
          <w:t>27</w:t>
        </w:r>
      </w:hyperlink>
    </w:p>
    <w:p>
      <w:pPr>
        <w:tabs>
          <w:tab w:pos="8901" w:val="right" w:leader="dot"/>
        </w:tabs>
        <w:spacing w:lineRule="exact" w:line="480" w:before="0" w:after="0"/>
        <w:ind w:firstLine="0" w:left="0" w:right="0"/>
      </w:pPr>
      <w:hyperlink w:anchor="report_heading_033" w:history="1">
        <w:r>
          <w:rPr>
            <w:rFonts w:ascii="SimSun" w:hAnsi="SimSun" w:eastAsia="宋体" w:cs="SimSun"/>
            <w:b/>
            <w:color w:val="000000"/>
            <w:sz w:val="24"/>
            <w:u w:val="none"/>
          </w:rPr>
          <w:t>五、平台功能模块与业务衔接</w:t>
        </w:r>
      </w:hyperlink>
      <w:r>
        <w:rPr>
          <w:rFonts w:ascii="SimSun" w:hAnsi="SimSun" w:eastAsia="宋体" w:cs="SimSun"/>
          <w:color w:val="000000"/>
          <w:sz w:val="24"/>
        </w:rPr>
        <w:tab/>
      </w:r>
      <w:hyperlink w:anchor="report_heading_033" w:history="1">
        <w:r>
          <w:rPr>
            <w:rFonts w:ascii="SimSun" w:hAnsi="SimSun" w:eastAsia="宋体" w:cs="SimSun"/>
            <w:b/>
            <w:color w:val="000000"/>
            <w:sz w:val="24"/>
            <w:u w:val="none"/>
          </w:rPr>
          <w:t>32</w:t>
        </w:r>
      </w:hyperlink>
    </w:p>
    <w:p>
      <w:pPr>
        <w:tabs>
          <w:tab w:pos="8901" w:val="right" w:leader="dot"/>
        </w:tabs>
        <w:spacing w:lineRule="exact" w:line="480" w:before="0" w:after="0"/>
        <w:ind w:firstLine="0" w:left="0" w:right="0"/>
      </w:pPr>
      <w:hyperlink w:anchor="report_heading_038" w:history="1">
        <w:r>
          <w:rPr>
            <w:rFonts w:ascii="SimSun" w:hAnsi="SimSun" w:eastAsia="宋体" w:cs="SimSun"/>
            <w:b/>
            <w:color w:val="000000"/>
            <w:sz w:val="24"/>
            <w:u w:val="none"/>
          </w:rPr>
          <w:t>六、数据资源与成果管理</w:t>
        </w:r>
      </w:hyperlink>
      <w:r>
        <w:rPr>
          <w:rFonts w:ascii="SimSun" w:hAnsi="SimSun" w:eastAsia="宋体" w:cs="SimSun"/>
          <w:color w:val="000000"/>
          <w:sz w:val="24"/>
        </w:rPr>
        <w:tab/>
      </w:r>
      <w:hyperlink w:anchor="report_heading_038" w:history="1">
        <w:r>
          <w:rPr>
            <w:rFonts w:ascii="SimSun" w:hAnsi="SimSun" w:eastAsia="宋体" w:cs="SimSun"/>
            <w:b/>
            <w:color w:val="000000"/>
            <w:sz w:val="24"/>
            <w:u w:val="none"/>
          </w:rPr>
          <w:t>35</w:t>
        </w:r>
      </w:hyperlink>
    </w:p>
    <w:p>
      <w:pPr>
        <w:tabs>
          <w:tab w:pos="8901" w:val="right" w:leader="dot"/>
        </w:tabs>
        <w:spacing w:lineRule="exact" w:line="480" w:before="0" w:after="0"/>
        <w:ind w:firstLine="0" w:left="0" w:right="0"/>
      </w:pPr>
      <w:hyperlink w:anchor="report_heading_042" w:history="1">
        <w:r>
          <w:rPr>
            <w:rFonts w:ascii="SimSun" w:hAnsi="SimSun" w:eastAsia="宋体" w:cs="SimSun"/>
            <w:b/>
            <w:color w:val="000000"/>
            <w:sz w:val="24"/>
            <w:u w:val="none"/>
          </w:rPr>
          <w:t>七、既有产品平台接口与系统集成</w:t>
        </w:r>
      </w:hyperlink>
      <w:r>
        <w:rPr>
          <w:rFonts w:ascii="SimSun" w:hAnsi="SimSun" w:eastAsia="宋体" w:cs="SimSun"/>
          <w:color w:val="000000"/>
          <w:sz w:val="24"/>
        </w:rPr>
        <w:tab/>
      </w:r>
      <w:hyperlink w:anchor="report_heading_042" w:history="1">
        <w:r>
          <w:rPr>
            <w:rFonts w:ascii="SimSun" w:hAnsi="SimSun" w:eastAsia="宋体" w:cs="SimSun"/>
            <w:b/>
            <w:color w:val="000000"/>
            <w:sz w:val="24"/>
            <w:u w:val="none"/>
          </w:rPr>
          <w:t>38</w:t>
        </w:r>
      </w:hyperlink>
    </w:p>
    <w:p>
      <w:pPr>
        <w:tabs>
          <w:tab w:pos="8901" w:val="right" w:leader="dot"/>
        </w:tabs>
        <w:spacing w:lineRule="exact" w:line="480" w:before="0" w:after="0"/>
        <w:ind w:firstLine="0" w:left="0" w:right="0"/>
      </w:pPr>
      <w:hyperlink w:anchor="report_heading_046" w:history="1">
        <w:r>
          <w:rPr>
            <w:rFonts w:ascii="SimSun" w:hAnsi="SimSun" w:eastAsia="宋体" w:cs="SimSun"/>
            <w:b/>
            <w:color w:val="000000"/>
            <w:sz w:val="24"/>
            <w:u w:val="none"/>
          </w:rPr>
          <w:t>八、安全与运行保障</w:t>
        </w:r>
      </w:hyperlink>
      <w:r>
        <w:rPr>
          <w:rFonts w:ascii="SimSun" w:hAnsi="SimSun" w:eastAsia="宋体" w:cs="SimSun"/>
          <w:color w:val="000000"/>
          <w:sz w:val="24"/>
        </w:rPr>
        <w:tab/>
      </w:r>
      <w:hyperlink w:anchor="report_heading_046" w:history="1">
        <w:r>
          <w:rPr>
            <w:rFonts w:ascii="SimSun" w:hAnsi="SimSun" w:eastAsia="宋体" w:cs="SimSun"/>
            <w:b/>
            <w:color w:val="000000"/>
            <w:sz w:val="24"/>
            <w:u w:val="none"/>
          </w:rPr>
          <w:t>40</w:t>
        </w:r>
      </w:hyperlink>
    </w:p>
    <w:p>
      <w:pPr>
        <w:tabs>
          <w:tab w:pos="8901" w:val="right" w:leader="dot"/>
        </w:tabs>
        <w:spacing w:lineRule="exact" w:line="480" w:before="0" w:after="0"/>
        <w:ind w:firstLine="0" w:left="0" w:right="0"/>
      </w:pPr>
      <w:hyperlink w:anchor="report_heading_050" w:history="1">
        <w:r>
          <w:rPr>
            <w:rFonts w:ascii="SimSun" w:hAnsi="SimSun" w:eastAsia="宋体" w:cs="SimSun"/>
            <w:b/>
            <w:color w:val="000000"/>
            <w:sz w:val="24"/>
            <w:u w:val="none"/>
          </w:rPr>
          <w:t>九、技术路线与建设进度计划</w:t>
        </w:r>
      </w:hyperlink>
      <w:r>
        <w:rPr>
          <w:rFonts w:ascii="SimSun" w:hAnsi="SimSun" w:eastAsia="宋体" w:cs="SimSun"/>
          <w:color w:val="000000"/>
          <w:sz w:val="24"/>
        </w:rPr>
        <w:tab/>
      </w:r>
      <w:hyperlink w:anchor="report_heading_050" w:history="1">
        <w:r>
          <w:rPr>
            <w:rFonts w:ascii="SimSun" w:hAnsi="SimSun" w:eastAsia="宋体" w:cs="SimSun"/>
            <w:b/>
            <w:color w:val="000000"/>
            <w:sz w:val="24"/>
            <w:u w:val="none"/>
          </w:rPr>
          <w:t>42</w:t>
        </w:r>
      </w:hyperlink>
    </w:p>
    <w:p>
      <w:pPr>
        <w:tabs>
          <w:tab w:pos="8901" w:val="right" w:leader="dot"/>
        </w:tabs>
        <w:spacing w:lineRule="exact" w:line="480" w:before="0" w:after="0"/>
        <w:ind w:firstLine="0" w:left="0" w:right="0"/>
      </w:pPr>
      <w:hyperlink w:anchor="report_heading_054" w:history="1">
        <w:r>
          <w:rPr>
            <w:rFonts w:ascii="SimSun" w:hAnsi="SimSun" w:eastAsia="宋体" w:cs="SimSun"/>
            <w:b/>
            <w:color w:val="000000"/>
            <w:sz w:val="24"/>
            <w:u w:val="none"/>
          </w:rPr>
          <w:t>十、研究验证与合同验收</w:t>
        </w:r>
      </w:hyperlink>
      <w:r>
        <w:rPr>
          <w:rFonts w:ascii="SimSun" w:hAnsi="SimSun" w:eastAsia="宋体" w:cs="SimSun"/>
          <w:color w:val="000000"/>
          <w:sz w:val="24"/>
        </w:rPr>
        <w:tab/>
      </w:r>
      <w:hyperlink w:anchor="report_heading_054" w:history="1">
        <w:r>
          <w:rPr>
            <w:rFonts w:ascii="SimSun" w:hAnsi="SimSun" w:eastAsia="宋体" w:cs="SimSun"/>
            <w:b/>
            <w:color w:val="000000"/>
            <w:sz w:val="24"/>
            <w:u w:val="none"/>
          </w:rPr>
          <w:t>45</w:t>
        </w:r>
      </w:hyperlink>
    </w:p>
    <w:p>
      <w:pPr>
        <w:tabs>
          <w:tab w:pos="8901" w:val="right" w:leader="dot"/>
        </w:tabs>
        <w:spacing w:lineRule="exact" w:line="480" w:before="0" w:after="0"/>
        <w:ind w:firstLine="0" w:left="0" w:right="0"/>
      </w:pPr>
      <w:hyperlink w:anchor="report_heading_059" w:history="1">
        <w:r>
          <w:rPr>
            <w:rFonts w:ascii="SimSun" w:hAnsi="SimSun" w:eastAsia="宋体" w:cs="SimSun"/>
            <w:b/>
            <w:color w:val="000000"/>
            <w:sz w:val="24"/>
            <w:u w:val="none"/>
          </w:rPr>
          <w:t>十一、风险分析与建设建议</w:t>
        </w:r>
      </w:hyperlink>
      <w:r>
        <w:rPr>
          <w:rFonts w:ascii="SimSun" w:hAnsi="SimSun" w:eastAsia="宋体" w:cs="SimSun"/>
          <w:color w:val="000000"/>
          <w:sz w:val="24"/>
        </w:rPr>
        <w:tab/>
      </w:r>
      <w:hyperlink w:anchor="report_heading_059" w:history="1">
        <w:r>
          <w:rPr>
            <w:rFonts w:ascii="SimSun" w:hAnsi="SimSun" w:eastAsia="宋体" w:cs="SimSun"/>
            <w:b/>
            <w:color w:val="000000"/>
            <w:sz w:val="24"/>
            <w:u w:val="none"/>
          </w:rPr>
          <w:t>49</w:t>
        </w:r>
      </w:hyperlink>
    </w:p>
    <w:p>
      <w:pPr>
        <w:tabs>
          <w:tab w:pos="8901" w:val="right" w:leader="dot"/>
        </w:tabs>
        <w:spacing w:lineRule="exact" w:line="480" w:before="0" w:after="0"/>
        <w:ind w:firstLine="0" w:left="0" w:right="0"/>
      </w:pPr>
      <w:hyperlink w:anchor="report_heading_062" w:history="1">
        <w:r>
          <w:rPr>
            <w:rFonts w:ascii="SimSun" w:hAnsi="SimSun" w:eastAsia="宋体" w:cs="SimSun"/>
            <w:b/>
            <w:color w:val="000000"/>
            <w:sz w:val="24"/>
            <w:u w:val="none"/>
          </w:rPr>
          <w:t>十二、研究结论</w:t>
        </w:r>
      </w:hyperlink>
      <w:r>
        <w:rPr>
          <w:rFonts w:ascii="SimSun" w:hAnsi="SimSun" w:eastAsia="宋体" w:cs="SimSun"/>
          <w:color w:val="000000"/>
          <w:sz w:val="24"/>
        </w:rPr>
        <w:tab/>
      </w:r>
      <w:hyperlink w:anchor="report_heading_062" w:history="1">
        <w:r>
          <w:rPr>
            <w:rFonts w:ascii="SimSun" w:hAnsi="SimSun" w:eastAsia="宋体" w:cs="SimSun"/>
            <w:b/>
            <w:color w:val="000000"/>
            <w:sz w:val="24"/>
            <w:u w:val="none"/>
          </w:rPr>
          <w:t>51</w:t>
        </w:r>
      </w:hyperlink>
    </w:p>
    <w:p>
      <w:pPr>
        <w:tabs>
          <w:tab w:pos="8901" w:val="right" w:leader="dot"/>
        </w:tabs>
        <w:spacing w:lineRule="exact" w:line="480" w:before="0" w:after="0"/>
        <w:ind w:firstLine="0" w:left="0" w:right="0"/>
      </w:pPr>
      <w:hyperlink w:anchor="report_heading_063" w:history="1">
        <w:r>
          <w:rPr>
            <w:rFonts w:ascii="SimSun" w:hAnsi="SimSun" w:eastAsia="宋体" w:cs="SimSun"/>
            <w:b/>
            <w:color w:val="000000"/>
            <w:sz w:val="24"/>
            <w:u w:val="none"/>
          </w:rPr>
          <w:t>参考文献</w:t>
        </w:r>
      </w:hyperlink>
      <w:r>
        <w:rPr>
          <w:rFonts w:ascii="SimSun" w:hAnsi="SimSun" w:eastAsia="宋体" w:cs="SimSun"/>
          <w:color w:val="000000"/>
          <w:sz w:val="24"/>
        </w:rPr>
        <w:tab/>
      </w:r>
      <w:hyperlink w:anchor="report_heading_063" w:history="1">
        <w:r>
          <w:rPr>
            <w:rFonts w:ascii="SimSun" w:hAnsi="SimSun" w:eastAsia="宋体" w:cs="SimSun"/>
            <w:b/>
            <w:color w:val="000000"/>
            <w:sz w:val="24"/>
            <w:u w:val="none"/>
          </w:rPr>
          <w:t>52</w:t>
        </w:r>
      </w:hyperlink>
    </w:p>
    <w:p>
      <w:r>
        <w:br w:type="page"/>
      </w:r>
    </w:p>
    <w:p>
      <w:pPr>
        <w:pStyle w:val="Heading1"/>
        <w:pageBreakBefore/>
        <w:spacing w:lineRule="exact" w:line="480" w:before="0" w:after="0"/>
        <w:ind w:firstLine="0"/>
      </w:pPr>
      <w:bookmarkStart w:id="1" w:name="report_heading_001"/>
      <w:r>
        <w:rPr>
          <w:rFonts w:ascii="SimHei" w:hAnsi="SimHei" w:eastAsia="黑体" w:cs="SimHei"/>
          <w:b/>
          <w:color w:val="000000"/>
          <w:sz w:val="28"/>
        </w:rPr>
        <w:t>概述</w:t>
      </w:r>
      <w:bookmarkEnd w:id="1"/>
    </w:p>
    <w:p>
      <w:pPr>
        <w:widowControl/>
        <w:spacing w:lineRule="exact" w:line="480" w:before="0" w:after="0"/>
        <w:ind w:firstLine="480"/>
      </w:pPr>
      <w:commentRangeStart w:id="1"/>
      <w:r>
        <w:rPr>
          <w:rFonts w:ascii="SimSun" w:hAnsi="SimSun" w:eastAsia="宋体" w:cs="SimSun"/>
          <w:b w:val="0"/>
          <w:color w:val="000000"/>
          <w:sz w:val="24"/>
        </w:rPr>
        <w:t>出口客运装备内装设计需要兼顾产品族共性、项目差异和客室整体协调。针对资料复用、局部对象指代及方案修改中的问题，本研究依据项目技术开发合同及技术方案，分析客室模块化划分、图像识别和条件编辑方法，研究分区快速设计流程及平台构建方案。</w:t>
      </w:r>
      <w:commentRangeEnd w:id="1"/>
      <w:r>
        <w:rPr>
          <w:rStyle w:val="CommentReference"/>
        </w:rPr>
        <w:commentReference w:id="1"/>
      </w:r>
    </w:p>
    <w:p>
      <w:pPr>
        <w:widowControl/>
        <w:spacing w:lineRule="exact" w:line="480" w:before="0" w:after="0"/>
        <w:ind w:firstLine="480"/>
      </w:pPr>
      <w:r>
        <w:rPr>
          <w:rFonts w:ascii="SimSun" w:hAnsi="SimSun" w:eastAsia="宋体" w:cs="SimSun"/>
          <w:b w:val="0"/>
          <w:color w:val="000000"/>
          <w:sz w:val="24"/>
        </w:rPr>
        <w:t>研究以功能为模块划分主线，以空间区域组织图像，以接口和维护条件校核模块边界。通过识别方法比较与生成编辑技术分析，形成标记、文字指令和参考图像共同组织设计输入的方法，并对现有客室编号编辑记录开展案例分析。工作流实践用于检验对象指代、局部变化和非目标保持，分析结果为交互确认、成果比较及工程约束的建设提供依据。</w:t>
      </w:r>
    </w:p>
    <w:p>
      <w:pPr>
        <w:widowControl/>
        <w:spacing w:lineRule="exact" w:line="480" w:before="0" w:after="0"/>
        <w:ind w:firstLine="480"/>
      </w:pPr>
      <w:r>
        <w:rPr>
          <w:rFonts w:ascii="SimSun" w:hAnsi="SimSun" w:eastAsia="宋体" w:cs="SimSun"/>
          <w:b w:val="0"/>
          <w:color w:val="000000"/>
          <w:sz w:val="24"/>
        </w:rPr>
        <w:t>在上述需求分析、方法研究和工作流分析基础上，报告提出用户层、应用层、软件支撑层、数据层及基础层的构建方案，明确各层采用的技术、数据关系和任务组织方式。所形成的模块划分思路、技术选择、案例评价方法及分层方案，为后续平台功能完善、企业资料接入和系统验证提供指导。</w:t>
      </w:r>
    </w:p>
    <w:p>
      <w:pPr>
        <w:pStyle w:val="Heading1"/>
        <w:pageBreakBefore/>
        <w:spacing w:lineRule="exact" w:line="480" w:before="0" w:after="0"/>
        <w:ind w:firstLine="0"/>
      </w:pPr>
      <w:bookmarkStart w:id="2" w:name="report_heading_002"/>
      <w:commentRangeStart w:id="0"/>
      <w:r>
        <w:rPr>
          <w:rFonts w:ascii="SimHei" w:hAnsi="SimHei" w:eastAsia="黑体" w:cs="SimHei"/>
          <w:b/>
          <w:color w:val="000000"/>
          <w:sz w:val="28"/>
        </w:rPr>
        <w:t>一、出口客运装备内装设计现状与研究方法</w:t>
      </w:r>
      <w:commentRangeEnd w:id="0"/>
      <w:r>
        <w:rPr>
          <w:rStyle w:val="CommentReference"/>
        </w:rPr>
        <w:commentReference w:id="0"/>
      </w:r>
      <w:bookmarkEnd w:id="2"/>
    </w:p>
    <w:p>
      <w:pPr>
        <w:pStyle w:val="Heading2"/>
        <w:spacing w:lineRule="exact" w:line="480" w:before="80" w:after="0"/>
        <w:ind w:firstLine="0"/>
      </w:pPr>
      <w:bookmarkStart w:id="3" w:name="report_heading_003"/>
      <w:r>
        <w:rPr>
          <w:rFonts w:ascii="KaiTi" w:hAnsi="KaiTi" w:eastAsia="楷体" w:cs="KaiTi"/>
          <w:b w:val="0"/>
          <w:color w:val="000000"/>
          <w:sz w:val="28"/>
        </w:rPr>
        <w:t>（一）出口产品平台与内装模块化需求</w:t>
      </w:r>
      <w:bookmarkEnd w:id="3"/>
    </w:p>
    <w:p>
      <w:pPr>
        <w:widowControl/>
        <w:spacing w:lineRule="exact" w:line="480" w:before="0" w:after="0"/>
        <w:ind w:firstLine="480"/>
      </w:pPr>
      <w:r>
        <w:rPr>
          <w:rFonts w:ascii="SimSun" w:hAnsi="SimSun" w:eastAsia="宋体" w:cs="SimSun"/>
          <w:b w:val="0"/>
          <w:color w:val="000000"/>
          <w:sz w:val="24"/>
        </w:rPr>
        <w:t>本章研究出口车辆与客室的设计对象及需求，说明模块化分区与快速设计的必要性；其分析结果作为第二章方法研究的输入。</w:t>
      </w:r>
    </w:p>
    <w:p>
      <w:pPr>
        <w:widowControl/>
        <w:spacing w:lineRule="exact" w:line="480" w:before="0" w:after="0"/>
        <w:ind w:firstLine="480"/>
      </w:pPr>
      <w:r>
        <w:rPr>
          <w:rFonts w:ascii="SimSun" w:hAnsi="SimSun" w:eastAsia="宋体" w:cs="SimSun"/>
          <w:b w:val="0"/>
          <w:color w:val="000000"/>
          <w:sz w:val="24"/>
        </w:rPr>
        <w:t>出口车辆内装需要针对不同项目组织配置。项目所在地区的使用环境、乘客服务需求和运营方式，可能影响座位布置、材料表现、照明、信息显示及车门过渡等设计内容。同一产品族需保持可复用模块和稳定接口，同时允许项目所需的外观及配置变化。研究应先区分共用对象、可配置对象和专用对象，再确定哪些任务能够复用已有模块，哪些需要局部或整体方案探索。这里按项目技术资料提出的差异维度展开分析，具体车型及配置仍需企业资料确认。</w:t>
      </w:r>
    </w:p>
    <w:p>
      <w:pPr>
        <w:widowControl/>
        <w:spacing w:lineRule="exact" w:line="480" w:before="0" w:after="0"/>
        <w:ind w:firstLine="480"/>
      </w:pPr>
      <w:r>
        <w:rPr>
          <w:rFonts w:ascii="SimSun" w:hAnsi="SimSun" w:eastAsia="宋体" w:cs="SimSun"/>
          <w:b w:val="0"/>
          <w:color w:val="000000"/>
          <w:sz w:val="24"/>
        </w:rPr>
        <w:t>轨道交通客室由围护内装、乘坐设施、通行区域和服务设备共同组成。侧墙、顶部、地板和端墙形成连续空间，座椅及附件形成乘坐单元，门区与通道组织人员流动。设计人员既需要表达单个部件的形态和材质，也需要检查相邻区域的过渡、重复部件的一致性和整体布局。图像中的连续表面与工程模块未必一一对应，因此需要同时建立部件层次与图像区域索引。</w:t>
      </w:r>
    </w:p>
    <w:p>
      <w:pPr>
        <w:widowControl/>
        <w:spacing w:lineRule="exact" w:line="480" w:before="0" w:after="0"/>
        <w:ind w:firstLine="480"/>
      </w:pPr>
      <w:r>
        <w:rPr>
          <w:rFonts w:ascii="SimSun" w:hAnsi="SimSun" w:eastAsia="宋体" w:cs="SimSun"/>
          <w:b w:val="0"/>
          <w:color w:val="A82020"/>
          <w:sz w:val="24"/>
        </w:rPr>
        <w:t>【待补图例 M01：经甲方确认的代表性出口车型及客室现状图。建议提供两类具有配置差异的车型或客室，并附车型、使用场景、主要差异及可公开范围，用于支撑本节现状分析。】</w:t>
      </w:r>
    </w:p>
    <w:p>
      <w:pPr>
        <w:widowControl/>
        <w:spacing w:lineRule="exact" w:line="480" w:before="0" w:after="0"/>
        <w:ind w:firstLine="480"/>
      </w:pPr>
      <w:commentRangeStart w:id="2"/>
      <w:r>
        <w:rPr>
          <w:rFonts w:ascii="SimSun" w:hAnsi="SimSun" w:eastAsia="宋体" w:cs="SimSun"/>
          <w:b w:val="0"/>
          <w:color w:val="000000"/>
          <w:sz w:val="24"/>
        </w:rPr>
        <w:t>项目面向中车出口产品平台开展研究。“产品平台”指支撑系列车型和项目变型的共性产品技术、模块及接口体系，“快速设计平台”指管理设计输入、调用技术能力并保存成果的软件系统。前者决定哪些模块能够复用、哪些条件必须保持，后者负责把这些知识与设计操作组织起来。二者通过产品对象、项目资料和成果关系衔接，不能因建立了文件库便认定已经形成产品平台的全部能力。</w:t>
      </w:r>
      <w:commentRangeEnd w:id="2"/>
      <w:r>
        <w:rPr>
          <w:rStyle w:val="CommentReference"/>
        </w:rPr>
        <w:commentReference w:id="2"/>
      </w:r>
    </w:p>
    <w:p>
      <w:pPr>
        <w:widowControl/>
        <w:spacing w:lineRule="exact" w:line="480" w:before="0" w:after="0"/>
        <w:ind w:firstLine="480"/>
      </w:pPr>
      <w:r>
        <w:rPr>
          <w:rFonts w:ascii="SimSun" w:hAnsi="SimSun" w:eastAsia="宋体" w:cs="SimSun"/>
          <w:b w:val="0"/>
          <w:color w:val="000000"/>
          <w:sz w:val="24"/>
        </w:rPr>
        <w:t>项目技术方案将不同国家、线路和车型的差异，以及零部件资料、材质信息、模型、规则与历史方案分散，作为建设需求的主要背景。由此，本研究将出口内装设计问题分解为共性模块复用、项目差异表达、局部与整体协调、资料和成果追溯四类问题。这是基于现有技术资料的需求分析，企业具体车型覆盖、资料流转方式和瓶颈程度，应由对应业务流程及实际项目记录核实。</w:t>
      </w:r>
    </w:p>
    <w:p>
      <w:pPr>
        <w:widowControl/>
        <w:spacing w:lineRule="exact" w:line="480" w:before="0" w:after="0"/>
        <w:ind w:firstLine="480"/>
      </w:pPr>
      <w:r>
        <w:rPr>
          <w:rFonts w:ascii="SimSun" w:hAnsi="SimSun" w:eastAsia="宋体" w:cs="SimSun"/>
          <w:b w:val="0"/>
          <w:color w:val="000000"/>
          <w:sz w:val="24"/>
        </w:rPr>
        <w:t>产品架构研究关注功能如何分配到物理部件以及部件间如何形成关系[1]。对客室内装而言，视觉上连续的侧墙可以由多个具有不同拆装和维护要求的组件组成；形状相似的座椅也可能因安装条件、附件和使用场景不同而不能直接互换。因此，模块化不能只依据外观相似度。应以功能、接口及适用范围形成复用依据，再以图像区域建立设计操作入口。</w:t>
      </w:r>
    </w:p>
    <w:p>
      <w:pPr>
        <w:widowControl/>
        <w:spacing w:lineRule="exact" w:line="480" w:before="0" w:after="0"/>
        <w:ind w:firstLine="480"/>
      </w:pPr>
      <w:r>
        <w:rPr>
          <w:rFonts w:ascii="SimSun" w:hAnsi="SimSun" w:eastAsia="宋体" w:cs="SimSun"/>
          <w:b w:val="0"/>
          <w:color w:val="000000"/>
          <w:sz w:val="24"/>
        </w:rPr>
        <w:t>本项目关注的设计层次包括客室零部件、大部件模块、整体布置和装配效果，设计变量包括形态、材质、色彩和纹理。快速设计首先作用于概念方案表达、局部修改和方案比较；对安装尺寸、连接结构和专业安全条件，仍需沿用可核查的工程数据与评审。这样可以在利用生成能力扩大方案探索范围的同时，保持概念效果与工程定型之间的清晰分工。</w:t>
      </w:r>
    </w:p>
    <w:p>
      <w:pPr>
        <w:pStyle w:val="Heading2"/>
        <w:spacing w:lineRule="exact" w:line="480" w:before="80" w:after="0"/>
        <w:ind w:firstLine="0"/>
      </w:pPr>
      <w:bookmarkStart w:id="4" w:name="report_heading_004"/>
      <w:r>
        <w:rPr>
          <w:rFonts w:ascii="KaiTi" w:hAnsi="KaiTi" w:eastAsia="楷体" w:cs="KaiTi"/>
          <w:b w:val="0"/>
          <w:color w:val="000000"/>
          <w:sz w:val="28"/>
        </w:rPr>
        <w:t>（二）设计流程问题与设计加速需求</w:t>
      </w:r>
      <w:bookmarkEnd w:id="4"/>
    </w:p>
    <w:p>
      <w:pPr>
        <w:widowControl/>
        <w:spacing w:lineRule="exact" w:line="480" w:before="0" w:after="0"/>
        <w:ind w:firstLine="480"/>
      </w:pPr>
      <w:r>
        <w:rPr>
          <w:rFonts w:ascii="SimSun" w:hAnsi="SimSun" w:eastAsia="宋体" w:cs="SimSun"/>
          <w:b w:val="0"/>
          <w:color w:val="000000"/>
          <w:sz w:val="24"/>
        </w:rPr>
        <w:t>现有设计任务可按需求确认、资料及既有方案查找、模块与配置选择、方案表达、专业校核、评审修改和成果归档组织。这一流程是用于研究问题定位的业务分析框架；企业实际岗位、审批节点和文件流转需依据正式资料落实。快速设计主要用于缩短资料准备、对象定位和概念表达的重复操作，并提高修改记录与成果复用的连续性。工程校核和设计批准仍按既有专业职责执行。</w:t>
      </w:r>
    </w:p>
    <w:p>
      <w:pPr>
        <w:widowControl/>
        <w:spacing w:lineRule="exact" w:line="480" w:before="0" w:after="0"/>
        <w:ind w:firstLine="480"/>
      </w:pPr>
      <w:r>
        <w:rPr>
          <w:rFonts w:ascii="SimSun" w:hAnsi="SimSun" w:eastAsia="宋体" w:cs="SimSun"/>
          <w:b w:val="0"/>
          <w:color w:val="A82020"/>
          <w:sz w:val="24"/>
        </w:rPr>
        <w:t>【待补图例 M02：甲方现行内装设计业务流程图及典型输入输出。需包含需求来源、主要岗位、方案与图纸流转、评审返工及成果归档节点，用于核对下表的问题分析与实际流程。】</w:t>
      </w:r>
    </w:p>
    <w:p>
      <w:pPr>
        <w:widowControl/>
        <w:spacing w:lineRule="exact" w:line="480" w:before="0" w:after="0"/>
        <w:ind w:firstLine="480"/>
      </w:pPr>
      <w:r>
        <w:rPr>
          <w:rFonts w:ascii="SimSun" w:hAnsi="SimSun" w:eastAsia="宋体" w:cs="SimSun"/>
          <w:b w:val="0"/>
          <w:color w:val="000000"/>
          <w:sz w:val="24"/>
        </w:rPr>
        <w:t>从研究任务出发，内装方案设计可分解为需求转换、资料查找、模块选择、方案表达、协调评审和成果整理六个环节。实际项目可以存在并行与回退，这一分解用于确定研究变量，不限定甲方必须采用同一种管理流程。需求转换要明确目标区域、使用场景和保持条件；资料查找要定位适用车型及版本；模块选择要检查功能和接口；方案表达要形成可比较的视觉结果；协调评审要检查关联区域；成果整理要保留设计依据。</w:t>
      </w:r>
    </w:p>
    <w:p>
      <w:pPr>
        <w:widowControl/>
        <w:spacing w:lineRule="exact" w:line="480" w:before="0" w:after="0"/>
        <w:ind w:firstLine="480"/>
      </w:pPr>
      <w:r>
        <w:rPr>
          <w:rFonts w:ascii="SimSun" w:hAnsi="SimSun" w:eastAsia="宋体" w:cs="SimSun"/>
          <w:b w:val="0"/>
          <w:color w:val="000000"/>
          <w:sz w:val="24"/>
        </w:rPr>
        <w:t>文字描述对重复部件的指向往往不够明确，例如同一透视图中的多组座椅、扶手或墙板可能同时符合一句描述。纯整图修改还可能改变无关开口、透视和布置。颜色、编号及遮罩的研究价值在于让修改位置可见、让目标对象可核对，而不是增加输入形式本身。资料来源不清和多轮结果覆盖则会使设计人员难以判断某一结果采用了哪张底图、哪些约束以及何种处理条件。</w:t>
      </w:r>
    </w:p>
    <w:p>
      <w:pPr>
        <w:pStyle w:val="Caption"/>
        <w:keepNext/>
        <w:jc w:val="center"/>
      </w:pPr>
      <w:r>
        <w:rPr>
          <w:rFonts w:ascii="SimSun" w:hAnsi="SimSun" w:eastAsia="宋体" w:cs="SimSun"/>
          <w:color w:val="000000"/>
          <w:sz w:val="24"/>
        </w:rPr>
        <w:t>表 1 设计环节与研究切入点</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12"/>
        <w:gridCol w:w="2830"/>
        <w:gridCol w:w="2697"/>
        <w:gridCol w:w="2133"/>
      </w:tblGrid>
      <w:tr>
        <w:trPr>
          <w:cantSplit w:val="true"/>
          <w:tblHeader w:val="true"/>
        </w:trPr>
        <w:tc>
          <w:tcPr>
            <w:tcW w:type="dxa" w:w="131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设计环节</w:t>
            </w:r>
          </w:p>
        </w:tc>
        <w:tc>
          <w:tcPr>
            <w:tcW w:type="dxa" w:w="283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需要解决的问题</w:t>
            </w:r>
          </w:p>
        </w:tc>
        <w:tc>
          <w:tcPr>
            <w:tcW w:type="dxa" w:w="2697"/>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技术切入点</w:t>
            </w:r>
          </w:p>
        </w:tc>
        <w:tc>
          <w:tcPr>
            <w:tcW w:type="dxa" w:w="213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验证对象</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需求与资料</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对象名称、适用范围和版本不一致</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模块术语、资料索引及来源管理</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找到正确资料所需操作</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对象定位</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文字对重复对象指代不清</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颜色、编号、遮罩及候选分割</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定位时间与人工修订</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方案表达</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重复改图及局部生成偏移</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图文条件编辑与保持条件</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修改达成与非目标变化</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协调评审</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局部调整影响相邻区域</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关联关系与分项检查</w:t>
            </w:r>
          </w:p>
        </w:tc>
        <w:tc>
          <w:tcPr>
            <w:tcW w:type="dxa" w:w="21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遗漏问题及返工</w:t>
            </w:r>
          </w:p>
        </w:tc>
      </w:tr>
      <w:tr>
        <w:trPr>
          <w:cantSplit w:val="true"/>
        </w:trPr>
        <w:tc>
          <w:tcPr>
            <w:tcW w:type="dxa" w:w="131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成果复用</w:t>
            </w:r>
          </w:p>
        </w:tc>
        <w:tc>
          <w:tcPr>
            <w:tcW w:type="dxa" w:w="283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结果缺少输入与版本依据</w:t>
            </w:r>
          </w:p>
        </w:tc>
        <w:tc>
          <w:tcPr>
            <w:tcW w:type="dxa" w:w="269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任务记录与确认资产关联</w:t>
            </w:r>
          </w:p>
        </w:tc>
        <w:tc>
          <w:tcPr>
            <w:tcW w:type="dxa" w:w="213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资料查找和复现完整性</w:t>
            </w:r>
          </w:p>
        </w:tc>
      </w:tr>
    </w:tbl>
    <w:p>
      <w:pPr>
        <w:widowControl/>
        <w:spacing w:lineRule="exact" w:line="480" w:before="0" w:after="0"/>
        <w:ind w:firstLine="480"/>
      </w:pPr>
      <w:r>
        <w:rPr>
          <w:rFonts w:ascii="SimSun" w:hAnsi="SimSun" w:eastAsia="宋体" w:cs="SimSun"/>
          <w:b w:val="0"/>
          <w:color w:val="000000"/>
          <w:sz w:val="24"/>
        </w:rPr>
        <w:t>设计加速应以完整任务过程衡量。准备标记可能增加一次输入操作，却减少反复描述对象的次数；自动候选分割可能缩短初次绘制，却增加修订复杂边界的时间。研究必须把资料查找、输入准备、计算等待、比较和返工纳入同一口径，检验增加技术环节后总过程是否更有效，不能只比较生成按钮到图片返回的时长。</w:t>
      </w:r>
    </w:p>
    <w:p>
      <w:pPr>
        <w:pStyle w:val="Heading2"/>
        <w:spacing w:lineRule="exact" w:line="480" w:before="80" w:after="0"/>
        <w:ind w:firstLine="0"/>
      </w:pPr>
      <w:bookmarkStart w:id="5" w:name="report_heading_005"/>
      <w:r>
        <w:rPr>
          <w:rFonts w:ascii="KaiTi" w:hAnsi="KaiTi" w:eastAsia="楷体" w:cs="KaiTi"/>
          <w:b w:val="0"/>
          <w:color w:val="000000"/>
          <w:sz w:val="28"/>
        </w:rPr>
        <w:t>（三）研究方法选择与证据形成</w:t>
      </w:r>
      <w:bookmarkEnd w:id="5"/>
    </w:p>
    <w:p>
      <w:pPr>
        <w:widowControl/>
        <w:spacing w:lineRule="exact" w:line="480" w:before="0" w:after="0"/>
        <w:ind w:firstLine="480"/>
      </w:pPr>
      <w:r>
        <w:rPr>
          <w:rFonts w:ascii="SimSun" w:hAnsi="SimSun" w:eastAsia="宋体" w:cs="SimSun"/>
          <w:b w:val="0"/>
          <w:color w:val="000000"/>
          <w:sz w:val="24"/>
        </w:rPr>
        <w:t>本研究采用功能拆解、交互任务分析、技术比较、受控对照和系统场景验证相结合的方法。功能拆解用于建立区域及四级模块关系；交互任务分析用于识别用户在“选对象、提要求、判结果”各环节的困难；技术比较依据输出类型、数据需求和平台兼容性筛选方法；受控对照检验标记、遮罩和候选识别的作用；系统验证检查方法从独立试验进入平台后的完整性。</w:t>
      </w:r>
    </w:p>
    <w:p>
      <w:pPr>
        <w:widowControl/>
        <w:spacing w:lineRule="exact" w:line="480" w:before="0" w:after="0"/>
        <w:ind w:firstLine="480"/>
      </w:pPr>
      <w:r>
        <w:rPr>
          <w:rFonts w:ascii="SimSun" w:hAnsi="SimSun" w:eastAsia="宋体" w:cs="SimSun"/>
          <w:b w:val="0"/>
          <w:color w:val="000000"/>
          <w:sz w:val="24"/>
        </w:rPr>
        <w:t>方法选择遵循先确定输出再选择算法的顺序。需要模块名称时评价类别判断，需要可编辑边界时评价区域输出，需要局部效果时评价条件生成，需要工程可用性时检查尺寸及接口。模型能够描述图像，不代表它提供可直接计算的区域边界；模型能够产生区域，也不代表区域自动对应经确认的产品模块。</w:t>
      </w:r>
    </w:p>
    <w:p>
      <w:pPr>
        <w:keepNext/>
        <w:spacing w:before="80" w:after="0" w:line="240" w:lineRule="auto"/>
        <w:ind w:firstLine="0"/>
        <w:jc w:val="center"/>
      </w:pPr>
      <w:r>
        <w:drawing>
          <wp:inline xmlns:a="http://schemas.openxmlformats.org/drawingml/2006/main" xmlns:pic="http://schemas.openxmlformats.org/drawingml/2006/picture">
            <wp:extent cx="5650992" cy="3343504"/>
            <wp:docPr id="1" name="Picture 1" descr="图 1 研究问题与平台构建的对应关系"/>
            <wp:cNvGraphicFramePr>
              <a:graphicFrameLocks noChangeAspect="1"/>
            </wp:cNvGraphicFramePr>
            <a:graphic>
              <a:graphicData uri="http://schemas.openxmlformats.org/drawingml/2006/picture">
                <pic:pic>
                  <pic:nvPicPr>
                    <pic:cNvPr id="0" name="figure-01.png"/>
                    <pic:cNvPicPr/>
                  </pic:nvPicPr>
                  <pic:blipFill>
                    <a:blip r:embed="rId12"/>
                    <a:stretch>
                      <a:fillRect/>
                    </a:stretch>
                  </pic:blipFill>
                  <pic:spPr>
                    <a:xfrm>
                      <a:off x="0" y="0"/>
                      <a:ext cx="5650992" cy="3343504"/>
                    </a:xfrm>
                    <a:prstGeom prst="rect"/>
                  </pic:spPr>
                </pic:pic>
              </a:graphicData>
            </a:graphic>
          </wp:inline>
        </w:drawing>
      </w:r>
    </w:p>
    <w:p>
      <w:pPr>
        <w:pStyle w:val="Caption"/>
        <w:keepNext w:val="0"/>
      </w:pPr>
      <w:r>
        <w:rPr>
          <w:rFonts w:ascii="SimSun" w:hAnsi="SimSun" w:eastAsia="宋体" w:cs="SimSun"/>
          <w:color w:val="000000"/>
          <w:sz w:val="24"/>
        </w:rPr>
        <w:t>图 1 研究问题与平台构建的对应关系</w:t>
      </w:r>
    </w:p>
    <w:p>
      <w:pPr>
        <w:widowControl/>
        <w:spacing w:lineRule="exact" w:line="480" w:before="0" w:after="0"/>
        <w:ind w:firstLine="480"/>
      </w:pPr>
      <w:r>
        <w:rPr>
          <w:rFonts w:ascii="SimSun" w:hAnsi="SimSun" w:eastAsia="宋体" w:cs="SimSun"/>
          <w:b w:val="0"/>
          <w:color w:val="000000"/>
          <w:sz w:val="24"/>
        </w:rPr>
        <w:t>研究资料以同一任务为单位，保存原始输入、对象定义、处理条件、完整输出和人工判断。方法比较采用同源样本、相近任务难度及一致的判断尺度，并分别记录失败和争议。区域术语、模块拆解、对照记录和平台完善决策之间建立关联，使研究结论可以解释为在哪些条件下选择了何种方法，而不只表现为一组效果图。</w:t>
      </w:r>
    </w:p>
    <w:p>
      <w:pPr>
        <w:widowControl/>
        <w:spacing w:lineRule="exact" w:line="480" w:before="0" w:after="0"/>
        <w:ind w:firstLine="480"/>
      </w:pPr>
      <w:r>
        <w:rPr>
          <w:rFonts w:ascii="SimSun" w:hAnsi="SimSun" w:eastAsia="宋体" w:cs="SimSun"/>
          <w:b w:val="0"/>
          <w:color w:val="000000"/>
          <w:sz w:val="24"/>
        </w:rPr>
        <w:t>本章形成的研究需求是：以稳定模块和接口支撑资料复用，以明确区域指代支撑局部修改，以全过程记录支撑比较及协同。第二章据此研究传统模块化方法与人工智能技术，第三章再通过工作流及案例分析检验所选方法的用途。</w:t>
      </w:r>
    </w:p>
    <w:p>
      <w:pPr>
        <w:pStyle w:val="Heading1"/>
        <w:pageBreakBefore/>
        <w:spacing w:lineRule="exact" w:line="480" w:before="0" w:after="0"/>
        <w:ind w:firstLine="0"/>
      </w:pPr>
      <w:bookmarkStart w:id="6" w:name="report_heading_006"/>
      <w:r>
        <w:rPr>
          <w:rFonts w:ascii="SimHei" w:hAnsi="SimHei" w:eastAsia="黑体" w:cs="SimHei"/>
          <w:b/>
          <w:color w:val="000000"/>
          <w:sz w:val="28"/>
        </w:rPr>
        <w:t>二、内装模块划分与分区设计研究</w:t>
      </w:r>
      <w:bookmarkEnd w:id="6"/>
    </w:p>
    <w:p>
      <w:pPr>
        <w:pStyle w:val="Heading2"/>
        <w:spacing w:lineRule="exact" w:line="480" w:before="80" w:after="0"/>
        <w:ind w:firstLine="0"/>
      </w:pPr>
      <w:bookmarkStart w:id="7" w:name="report_heading_007"/>
      <w:r>
        <w:rPr>
          <w:rFonts w:ascii="KaiTi" w:hAnsi="KaiTi" w:eastAsia="楷体" w:cs="KaiTi"/>
          <w:b w:val="0"/>
          <w:color w:val="000000"/>
          <w:sz w:val="28"/>
        </w:rPr>
        <w:t>（一）功能驱动的区域划分</w:t>
      </w:r>
      <w:bookmarkEnd w:id="7"/>
    </w:p>
    <w:p>
      <w:pPr>
        <w:widowControl/>
        <w:spacing w:lineRule="exact" w:line="480" w:before="0" w:after="0"/>
        <w:ind w:firstLine="480"/>
      </w:pPr>
      <w:r>
        <w:rPr>
          <w:rFonts w:ascii="SimSun" w:hAnsi="SimSun" w:eastAsia="宋体" w:cs="SimSun"/>
          <w:b w:val="0"/>
          <w:color w:val="000000"/>
          <w:sz w:val="24"/>
        </w:rPr>
        <w:t>本章先明确客室部件及模块划分对象，再比较传统划分与人工智能方法，形成供第三章工作流实践使用的技术选择。</w:t>
      </w:r>
    </w:p>
    <w:p>
      <w:pPr>
        <w:keepNext/>
        <w:spacing w:before="80" w:after="0" w:line="240" w:lineRule="auto"/>
        <w:ind w:firstLine="0"/>
        <w:jc w:val="center"/>
      </w:pPr>
      <w:r>
        <w:drawing>
          <wp:inline xmlns:a="http://schemas.openxmlformats.org/drawingml/2006/main" xmlns:pic="http://schemas.openxmlformats.org/drawingml/2006/picture">
            <wp:extent cx="5650992" cy="3531870"/>
            <wp:docPr id="2" name="Picture 2" descr="图 2 客室内装主要对象与功能区域示意"/>
            <wp:cNvGraphicFramePr>
              <a:graphicFrameLocks noChangeAspect="1"/>
            </wp:cNvGraphicFramePr>
            <a:graphic>
              <a:graphicData uri="http://schemas.openxmlformats.org/drawingml/2006/picture">
                <pic:pic>
                  <pic:nvPicPr>
                    <pic:cNvPr id="0" name="figure-16.png"/>
                    <pic:cNvPicPr/>
                  </pic:nvPicPr>
                  <pic:blipFill>
                    <a:blip r:embed="rId13"/>
                    <a:stretch>
                      <a:fillRect/>
                    </a:stretch>
                  </pic:blipFill>
                  <pic:spPr>
                    <a:xfrm>
                      <a:off x="0" y="0"/>
                      <a:ext cx="5650992" cy="3531870"/>
                    </a:xfrm>
                    <a:prstGeom prst="rect"/>
                  </pic:spPr>
                </pic:pic>
              </a:graphicData>
            </a:graphic>
          </wp:inline>
        </w:drawing>
      </w:r>
    </w:p>
    <w:p>
      <w:pPr>
        <w:pStyle w:val="Caption"/>
        <w:keepNext w:val="0"/>
      </w:pPr>
      <w:r>
        <w:rPr>
          <w:rFonts w:ascii="SimSun" w:hAnsi="SimSun" w:eastAsia="宋体" w:cs="SimSun"/>
          <w:color w:val="000000"/>
          <w:sz w:val="24"/>
        </w:rPr>
        <w:t>图 2 客室内装主要对象与功能区域示意</w:t>
      </w:r>
    </w:p>
    <w:p>
      <w:pPr>
        <w:widowControl/>
        <w:spacing w:lineRule="exact" w:line="480" w:before="0" w:after="0"/>
        <w:ind w:firstLine="480"/>
      </w:pPr>
      <w:r>
        <w:rPr>
          <w:rFonts w:ascii="SimSun" w:hAnsi="SimSun" w:eastAsia="宋体" w:cs="SimSun"/>
          <w:b w:val="0"/>
          <w:color w:val="000000"/>
          <w:sz w:val="24"/>
        </w:rPr>
        <w:t>图 2 为部件组成的概念示意，显示顶部、侧墙、地板、端墙、座椅之间的空间关系；不按真实尺寸绘制。模块拆解还需依据具体车型的装配与接口资料确认。</w:t>
      </w:r>
    </w:p>
    <w:p>
      <w:pPr>
        <w:widowControl/>
        <w:spacing w:lineRule="exact" w:line="480" w:before="0" w:after="0"/>
        <w:ind w:firstLine="480"/>
      </w:pPr>
      <w:r>
        <w:rPr>
          <w:rFonts w:ascii="SimSun" w:hAnsi="SimSun" w:eastAsia="宋体" w:cs="SimSun"/>
          <w:b w:val="0"/>
          <w:color w:val="A82020"/>
          <w:sz w:val="24"/>
        </w:rPr>
        <w:t>【待补图例 M03：甲方认可的客室部件组成及模块拆解图。需标明主要部件、模块名称、层级和接口关系；本版概念示意用于解释研究对象，正式车型图到位后再补充工程依据。】</w:t>
      </w:r>
    </w:p>
    <w:p>
      <w:pPr>
        <w:widowControl/>
        <w:spacing w:lineRule="exact" w:line="480" w:before="0" w:after="0"/>
        <w:ind w:firstLine="480"/>
      </w:pPr>
      <w:r>
        <w:rPr>
          <w:rFonts w:ascii="SimSun" w:hAnsi="SimSun" w:eastAsia="宋体" w:cs="SimSun"/>
          <w:b w:val="0"/>
          <w:color w:val="000000"/>
          <w:sz w:val="24"/>
        </w:rPr>
        <w:t>区域划分以客室功能和设计任务为出发点，不只依据图像颜色或几何轮廓。侧墙可包含墙板、窗带与检修构件，顶部可包含顶板、照明与风口区域，地板需要考虑铺装与设备固定，端墙涉及显示、设备门和贯通区域，座椅涉及座椅单元及关联附件，车门周边关注门框、过渡和通行区域。上述内容作为研究分类示例，具体对象及边界需由实际车型资料确认。</w:t>
      </w:r>
    </w:p>
    <w:p>
      <w:pPr>
        <w:widowControl/>
        <w:spacing w:lineRule="exact" w:line="480" w:before="0" w:after="0"/>
        <w:ind w:firstLine="480"/>
      </w:pPr>
      <w:r>
        <w:rPr>
          <w:rFonts w:ascii="SimSun" w:hAnsi="SimSun" w:eastAsia="宋体" w:cs="SimSun"/>
          <w:b w:val="0"/>
          <w:color w:val="000000"/>
          <w:sz w:val="24"/>
        </w:rPr>
        <w:t>同一零部件可能在空间上跨越两个区域。研究时应区分主要归属区域与关联区域，例如扶手可按主要功能归入相应模块，同时记录它与顶部、地板或座椅的安装关系。若仅按图像框位置归属，容易造成跨区对象重复登记。区域分类必须说明包括什么、排除什么、边界如何判断，以及无法判断时由谁确认。</w:t>
      </w:r>
    </w:p>
    <w:p>
      <w:pPr>
        <w:pStyle w:val="Caption"/>
        <w:keepNext/>
        <w:jc w:val="center"/>
      </w:pPr>
      <w:r>
        <w:rPr>
          <w:rFonts w:ascii="SimSun" w:hAnsi="SimSun" w:eastAsia="宋体" w:cs="SimSun"/>
          <w:color w:val="000000"/>
          <w:sz w:val="24"/>
        </w:rPr>
        <w:t>表 2 核心区域与设计检查重点</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33"/>
        <w:gridCol w:w="3183"/>
        <w:gridCol w:w="3956"/>
      </w:tblGrid>
      <w:tr>
        <w:trPr>
          <w:cantSplit w:val="true"/>
          <w:tblHeader w:val="true"/>
        </w:trPr>
        <w:tc>
          <w:tcPr>
            <w:tcW w:type="dxa" w:w="183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区域</w:t>
            </w:r>
          </w:p>
        </w:tc>
        <w:tc>
          <w:tcPr>
            <w:tcW w:type="dxa" w:w="318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典型对象</w:t>
            </w:r>
          </w:p>
        </w:tc>
        <w:tc>
          <w:tcPr>
            <w:tcW w:type="dxa" w:w="395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设计检查重点</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侧墙</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墙板、窗带、检修构件</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开口保持、分段衔接、表面连续性</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顶部</w:t>
            </w:r>
          </w:p>
        </w:tc>
        <w:tc>
          <w:tcPr>
            <w:tcW w:type="dxa" w:w="318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顶板、灯带、风口</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设备关系、层次、与侧墙的过渡</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地板</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铺装、通道、固定区域</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纹理方向、拼接、座椅与门区衔接</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端墙</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端墙板、显示与设备区域</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开口和功能区保留、视觉中心</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座椅</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座椅单元、扶手、桌板</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形态一致性、排列关系、固定条件</w:t>
            </w:r>
          </w:p>
        </w:tc>
      </w:tr>
      <w:tr>
        <w:trPr>
          <w:cantSplit w:val="true"/>
        </w:trPr>
        <w:tc>
          <w:tcPr>
            <w:tcW w:type="dxa" w:w="183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车门周边</w:t>
            </w:r>
          </w:p>
        </w:tc>
        <w:tc>
          <w:tcPr>
            <w:tcW w:type="dxa" w:w="31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门框、门套、过渡构件</w:t>
            </w:r>
          </w:p>
        </w:tc>
        <w:tc>
          <w:tcPr>
            <w:tcW w:type="dxa" w:w="395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通行与开启范围、边界和提示信息</w:t>
            </w:r>
          </w:p>
        </w:tc>
      </w:tr>
    </w:tbl>
    <w:p>
      <w:pPr>
        <w:pStyle w:val="Heading2"/>
        <w:spacing w:lineRule="exact" w:line="480" w:before="80" w:after="0"/>
        <w:ind w:firstLine="0"/>
      </w:pPr>
      <w:bookmarkStart w:id="8" w:name="report_heading_008"/>
      <w:r>
        <w:rPr>
          <w:rFonts w:ascii="KaiTi" w:hAnsi="KaiTi" w:eastAsia="楷体" w:cs="KaiTi"/>
          <w:b w:val="0"/>
          <w:color w:val="000000"/>
          <w:sz w:val="28"/>
        </w:rPr>
        <w:t>（二）四级模块拆解方法</w:t>
      </w:r>
      <w:bookmarkEnd w:id="8"/>
    </w:p>
    <w:p>
      <w:pPr>
        <w:widowControl/>
        <w:spacing w:lineRule="exact" w:line="480" w:before="0" w:after="0"/>
        <w:ind w:firstLine="480"/>
      </w:pPr>
      <w:r>
        <w:rPr>
          <w:rFonts w:ascii="SimSun" w:hAnsi="SimSun" w:eastAsia="宋体" w:cs="SimSun"/>
          <w:b w:val="0"/>
          <w:color w:val="000000"/>
          <w:sz w:val="24"/>
        </w:rPr>
        <w:t>技术规格书要求按系统级、子系统级、组件级和零件级开展拆解。研究中以客室内装为系统级，以具有相对完整功能和空间范围的单元为子系统级，以可组合或替换的功能组件为组件级，以具体零件为零件级。图 3 采用侧墙模块的代表性拆解说明层级关系，不作为已批准的产品结构清单。各车型的子系统划分及部件归属仍应由专业资料核实。</w:t>
      </w:r>
    </w:p>
    <w:p>
      <w:pPr>
        <w:keepNext/>
        <w:spacing w:before="80" w:after="0" w:line="240" w:lineRule="auto"/>
        <w:ind w:firstLine="0"/>
        <w:jc w:val="center"/>
      </w:pPr>
      <w:r>
        <w:drawing>
          <wp:inline xmlns:a="http://schemas.openxmlformats.org/drawingml/2006/main" xmlns:pic="http://schemas.openxmlformats.org/drawingml/2006/picture">
            <wp:extent cx="5650992" cy="3673145"/>
            <wp:docPr id="3" name="Picture 3" descr="图 3 四级模块拆解的代表性研究示例"/>
            <wp:cNvGraphicFramePr>
              <a:graphicFrameLocks noChangeAspect="1"/>
            </wp:cNvGraphicFramePr>
            <a:graphic>
              <a:graphicData uri="http://schemas.openxmlformats.org/drawingml/2006/picture">
                <pic:pic>
                  <pic:nvPicPr>
                    <pic:cNvPr id="0" name="figure-04.png"/>
                    <pic:cNvPicPr/>
                  </pic:nvPicPr>
                  <pic:blipFill>
                    <a:blip r:embed="rId14"/>
                    <a:stretch>
                      <a:fillRect/>
                    </a:stretch>
                  </pic:blipFill>
                  <pic:spPr>
                    <a:xfrm>
                      <a:off x="0" y="0"/>
                      <a:ext cx="5650992" cy="3673145"/>
                    </a:xfrm>
                    <a:prstGeom prst="rect"/>
                  </pic:spPr>
                </pic:pic>
              </a:graphicData>
            </a:graphic>
          </wp:inline>
        </w:drawing>
      </w:r>
    </w:p>
    <w:p>
      <w:pPr>
        <w:pStyle w:val="Caption"/>
        <w:keepNext w:val="0"/>
      </w:pPr>
      <w:r>
        <w:rPr>
          <w:rFonts w:ascii="SimSun" w:hAnsi="SimSun" w:eastAsia="宋体" w:cs="SimSun"/>
          <w:color w:val="000000"/>
          <w:sz w:val="24"/>
        </w:rPr>
        <w:t>图 3 四级模块拆解的代表性研究示例</w:t>
      </w:r>
    </w:p>
    <w:p>
      <w:pPr>
        <w:widowControl/>
        <w:spacing w:lineRule="exact" w:line="480" w:before="0" w:after="0"/>
        <w:ind w:firstLine="480"/>
      </w:pPr>
      <w:r>
        <w:rPr>
          <w:rFonts w:ascii="SimSun" w:hAnsi="SimSun" w:eastAsia="宋体" w:cs="SimSun"/>
          <w:b w:val="0"/>
          <w:color w:val="000000"/>
          <w:sz w:val="24"/>
        </w:rPr>
        <w:t>拆解时需要同时检查功能独立性、边界清晰度和接口稳定性。功能独立性用于判断该模块是否承担可描述的任务；边界清晰度用于判断图纸、图像或清单是否能够定位对应对象；接口稳定性用于判断模块替换时是否会改变上级功能和相邻模块。过大的模块粒度会限制组合，过小的粒度则增加资料与约束维护负担，主要设计粒度应结合典型任务确定。</w:t>
      </w:r>
    </w:p>
    <w:p>
      <w:pPr>
        <w:widowControl/>
        <w:spacing w:lineRule="exact" w:line="480" w:before="0" w:after="0"/>
        <w:ind w:firstLine="480"/>
      </w:pPr>
      <w:r>
        <w:rPr>
          <w:rFonts w:ascii="SimSun" w:hAnsi="SimSun" w:eastAsia="宋体" w:cs="SimSun"/>
          <w:b w:val="0"/>
          <w:color w:val="000000"/>
          <w:sz w:val="24"/>
        </w:rPr>
        <w:t>模块研究清单建议记录名称、层级、上级对象、主要区域、关联区域、形态与材料属性、适用车型、接口说明和依据文件。具备真实尺寸时应同时保存单位和测量或图纸来源，不能由效果图比例推算成正式参数。对于同名但接口不同的对象，需要保留区别；对于同一模块在多个项目中的使用，需要标明适用范围和来源，而不是简单复制名称。</w:t>
      </w:r>
    </w:p>
    <w:p>
      <w:pPr>
        <w:widowControl/>
        <w:spacing w:lineRule="exact" w:line="480" w:before="0" w:after="0"/>
        <w:ind w:firstLine="480"/>
      </w:pPr>
      <w:r>
        <w:rPr>
          <w:rFonts w:ascii="SimSun" w:hAnsi="SimSun" w:eastAsia="宋体" w:cs="SimSun"/>
          <w:b w:val="0"/>
          <w:color w:val="000000"/>
          <w:sz w:val="24"/>
        </w:rPr>
        <w:t>现有资产目录与标签能够支撑模块资料的初步分类，但四级模块的结构化维护、关系检查和专门选择界面仍需进一步建设。第一阶段宜先形成可评审的拆解样例和字段定义，利用真实资料检验是否满足零部件、大部件与整体布置任务，再确定后续数据结构和交互方案。</w:t>
      </w:r>
    </w:p>
    <w:p>
      <w:pPr>
        <w:pStyle w:val="Heading2"/>
        <w:spacing w:lineRule="exact" w:line="480" w:before="80" w:after="0"/>
        <w:ind w:firstLine="0"/>
      </w:pPr>
      <w:bookmarkStart w:id="9" w:name="report_heading_009"/>
      <w:r>
        <w:rPr>
          <w:rFonts w:ascii="KaiTi" w:hAnsi="KaiTi" w:eastAsia="楷体" w:cs="KaiTi"/>
          <w:b w:val="0"/>
          <w:color w:val="000000"/>
          <w:sz w:val="28"/>
        </w:rPr>
        <w:t>（三）传统机械设计与模块化划分方法</w:t>
      </w:r>
      <w:bookmarkEnd w:id="9"/>
    </w:p>
    <w:p>
      <w:pPr>
        <w:widowControl/>
        <w:spacing w:lineRule="exact" w:line="480" w:before="0" w:after="0"/>
        <w:ind w:firstLine="480"/>
      </w:pPr>
      <w:commentRangeStart w:id="4"/>
      <w:r>
        <w:rPr>
          <w:rFonts w:ascii="SimSun" w:hAnsi="SimSun" w:eastAsia="宋体" w:cs="SimSun"/>
          <w:b w:val="0"/>
          <w:color w:val="000000"/>
          <w:sz w:val="24"/>
        </w:rPr>
        <w:t>传统模块化划分首先确定功能与物理结构之间的对应关系，再结合装配、维护和变型需求形成模块边界。功能划分把同一任务所需对象组织为单元，例如照明、承载、遮蔽或信息展示；结构划分依据实体连接及装配关系组织零部件；接口划分关注模块间传递的力、空间、能量或信息条件；维护划分关注检修与替换时需要一起处理的对象。不同划分可以产生不同粒度，需要结合具体设计任务选择。</w:t>
      </w:r>
      <w:commentRangeEnd w:id="4"/>
      <w:r>
        <w:rPr>
          <w:rStyle w:val="CommentReference"/>
        </w:rPr>
        <w:commentReference w:id="4"/>
      </w:r>
    </w:p>
    <w:p>
      <w:pPr>
        <w:widowControl/>
        <w:spacing w:lineRule="exact" w:line="480" w:before="0" w:after="0"/>
        <w:ind w:firstLine="480"/>
      </w:pPr>
      <w:r>
        <w:rPr>
          <w:rFonts w:ascii="SimSun" w:hAnsi="SimSun" w:eastAsia="宋体" w:cs="SimSun"/>
          <w:b w:val="0"/>
          <w:color w:val="000000"/>
          <w:sz w:val="24"/>
        </w:rPr>
        <w:t>按功能划分能够保持模块职责清晰，但一个实体可能承担多种功能；按结构装配划分便于衔接工程清单，却可能把跨结构的视觉关系分开；按维护替换划分有利于定义可替换边界，但不一定与概念设计中的局部改图范围一致。产品族分析还需区分共用模块、可配置模块和项目专用对象，共用的判断应依据接口与适用条件，而非文件名称或图像外观一致。</w:t>
      </w:r>
    </w:p>
    <w:p>
      <w:pPr>
        <w:pStyle w:val="Caption"/>
        <w:keepNext/>
        <w:jc w:val="center"/>
      </w:pPr>
      <w:r>
        <w:rPr>
          <w:rFonts w:ascii="SimSun" w:hAnsi="SimSun" w:eastAsia="宋体" w:cs="SimSun"/>
          <w:color w:val="000000"/>
          <w:sz w:val="24"/>
        </w:rPr>
        <w:t>表 3 模块划分方法与项目适用性</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2435"/>
        <w:gridCol w:w="2603"/>
        <w:gridCol w:w="2436"/>
      </w:tblGrid>
      <w:tr>
        <w:trPr>
          <w:cantSplit w:val="true"/>
          <w:tblHeader w:val="true"/>
        </w:trPr>
        <w:tc>
          <w:tcPr>
            <w:tcW w:type="dxa" w:w="149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划分方法</w:t>
            </w:r>
          </w:p>
        </w:tc>
        <w:tc>
          <w:tcPr>
            <w:tcW w:type="dxa" w:w="243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主要依据</w:t>
            </w:r>
          </w:p>
        </w:tc>
        <w:tc>
          <w:tcPr>
            <w:tcW w:type="dxa" w:w="260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对本项目的作用</w:t>
            </w:r>
          </w:p>
        </w:tc>
        <w:tc>
          <w:tcPr>
            <w:tcW w:type="dxa" w:w="243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需要的资料</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功能驱动</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使用任务与功能分解</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确立模块职责与四级层次</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功能说明及专业意见</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空间与结构</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客室位置、实体组成</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建立区域索引及对象定位</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总布置、模型及图像</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接口关联</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连接、安装与相互影响</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检查替换和跨区域影响</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接口、尺寸与连接条件</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维护替换</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检修可达与替换单元</w:t>
            </w:r>
          </w:p>
        </w:tc>
        <w:tc>
          <w:tcPr>
            <w:tcW w:type="dxa" w:w="260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校核实际模块边界</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维护说明与拆装流程</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产品族共性</w:t>
            </w:r>
          </w:p>
        </w:tc>
        <w:tc>
          <w:tcPr>
            <w:tcW w:type="dxa" w:w="24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共用、变型及适用范围</w:t>
            </w:r>
          </w:p>
        </w:tc>
        <w:tc>
          <w:tcPr>
            <w:tcW w:type="dxa" w:w="260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支撑跨项目资料复用</w:t>
            </w:r>
          </w:p>
        </w:tc>
        <w:tc>
          <w:tcPr>
            <w:tcW w:type="dxa" w:w="2436"/>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车型配置及模块清单</w:t>
            </w:r>
          </w:p>
        </w:tc>
      </w:tr>
    </w:tbl>
    <w:p>
      <w:pPr>
        <w:widowControl/>
        <w:spacing w:lineRule="exact" w:line="480" w:before="0" w:after="0"/>
        <w:ind w:firstLine="480"/>
      </w:pPr>
      <w:r>
        <w:rPr>
          <w:rFonts w:ascii="SimSun" w:hAnsi="SimSun" w:eastAsia="宋体" w:cs="SimSun"/>
          <w:b w:val="0"/>
          <w:color w:val="000000"/>
          <w:sz w:val="24"/>
        </w:rPr>
        <w:t>本项目采用“功能主线、空间索引、接口校核”的组合划分。先从客室内装功能形成四级模块框架，再用六类区域组织图像和设计任务，最后检查与相邻模块的连接、维护和适用条件。以侧墙为例，图中可见的连续墙面作为区域索引，具体墙板、窗带及检修构件按各自职责和接口进入模块清单。图像边界与工程拆分不一致时，应保留映射关系，不强行把一个图像区域等同于一个零件。</w:t>
      </w:r>
    </w:p>
    <w:p>
      <w:pPr>
        <w:widowControl/>
        <w:spacing w:lineRule="exact" w:line="480" w:before="0" w:after="0"/>
        <w:ind w:firstLine="480"/>
      </w:pPr>
      <w:r>
        <w:rPr>
          <w:rFonts w:ascii="SimSun" w:hAnsi="SimSun" w:eastAsia="宋体" w:cs="SimSun"/>
          <w:b w:val="0"/>
          <w:color w:val="000000"/>
          <w:sz w:val="24"/>
        </w:rPr>
        <w:t>划分成果包括对象名称、层级、主要区域、关联区域、功能、输入资料和接口说明。可复用对象须附适用条件，跨区对象须注明主要归属与影响范围，暂不能确认的连接关系进入专业核查。其研究检验方式是使用同一组典型设计任务走查分类：能否找到正确对象，是否出现重复归属，替换时能否指出需要复核的相邻对象，而非单纯统计划分数量。</w:t>
      </w:r>
    </w:p>
    <w:p>
      <w:pPr>
        <w:pStyle w:val="Heading2"/>
        <w:spacing w:lineRule="exact" w:line="480" w:before="80" w:after="0"/>
        <w:ind w:firstLine="0"/>
      </w:pPr>
      <w:bookmarkStart w:id="10" w:name="report_heading_010"/>
      <w:commentRangeStart w:id="3"/>
      <w:r>
        <w:rPr>
          <w:rFonts w:ascii="KaiTi" w:hAnsi="KaiTi" w:eastAsia="楷体" w:cs="KaiTi"/>
          <w:b w:val="0"/>
          <w:color w:val="000000"/>
          <w:sz w:val="28"/>
        </w:rPr>
        <w:t>（四）人工智能相关技术原理与方法选择</w:t>
      </w:r>
      <w:commentRangeEnd w:id="3"/>
      <w:r>
        <w:rPr>
          <w:rStyle w:val="CommentReference"/>
        </w:rPr>
        <w:commentReference w:id="3"/>
      </w:r>
      <w:bookmarkEnd w:id="10"/>
    </w:p>
    <w:p>
      <w:pPr>
        <w:widowControl/>
        <w:spacing w:lineRule="exact" w:line="480" w:before="0" w:after="0"/>
        <w:ind w:firstLine="480"/>
      </w:pPr>
      <w:r>
        <w:rPr>
          <w:rFonts w:ascii="SimSun" w:hAnsi="SimSun" w:eastAsia="宋体" w:cs="SimSun"/>
          <w:b w:val="0"/>
          <w:color w:val="000000"/>
          <w:sz w:val="24"/>
        </w:rPr>
        <w:t>本节集中介绍识别、交互和生成相关技术，按技术原理、输出及本项目用途展开。图像识别用于确定对象或候选区域，条件编辑用于表达设计变化，ComfyUI用于组织这些能力的执行流程。</w:t>
      </w:r>
    </w:p>
    <w:p>
      <w:pPr>
        <w:pStyle w:val="Heading3"/>
        <w:spacing w:lineRule="exact" w:line="480" w:before="80" w:after="0"/>
        <w:ind w:firstLine="0"/>
      </w:pPr>
      <w:bookmarkStart w:id="11" w:name="report_heading_011"/>
      <w:r>
        <w:rPr>
          <w:rFonts w:ascii="SimSun" w:hAnsi="SimSun" w:eastAsia="宋体" w:cs="SimSun"/>
          <w:b w:val="0"/>
          <w:color w:val="000000"/>
          <w:sz w:val="28"/>
        </w:rPr>
        <w:t>1．图像识别与提示分割</w:t>
      </w:r>
      <w:bookmarkEnd w:id="11"/>
    </w:p>
    <w:p>
      <w:pPr>
        <w:widowControl/>
        <w:spacing w:lineRule="exact" w:line="480" w:before="0" w:after="0"/>
        <w:ind w:firstLine="480"/>
      </w:pPr>
      <w:r>
        <w:rPr>
          <w:rFonts w:ascii="SimSun" w:hAnsi="SimSun" w:eastAsia="宋体" w:cs="SimSun"/>
          <w:b w:val="0"/>
          <w:color w:val="000000"/>
          <w:sz w:val="24"/>
        </w:rPr>
        <w:t>检测方法以目标框表达对象位置，适合为用户提供粗粒度定位入口；若要直接修改不规则墙板、座椅轮廓或缝隙，矩形框仍会包含背景。语义分割为像素赋予类别，适合连续区域，但同类相邻座椅可能形成同一类别区域。实例分割为各对象输出独立掩膜，更有利于重复部件指代，代价是需要一致的实例定义和相应训练或验证样本。选择方法时应使输出粒度与任务要求对应。</w:t>
      </w:r>
    </w:p>
    <w:p>
      <w:pPr>
        <w:widowControl/>
        <w:spacing w:lineRule="exact" w:line="480" w:before="0" w:after="0"/>
        <w:ind w:firstLine="480"/>
      </w:pPr>
      <w:r>
        <w:rPr>
          <w:rFonts w:ascii="SimSun" w:hAnsi="SimSun" w:eastAsia="宋体" w:cs="SimSun"/>
          <w:b w:val="0"/>
          <w:color w:val="000000"/>
          <w:sz w:val="24"/>
        </w:rPr>
        <w:t>以 U-Net 为代表的编码—解码结构利用不同空间尺度的特征恢复像素输出[3]。其在本项目中的候选用途是学习固定区域标签；标签之间的边界、跨车型外观变化及小部件样本不足都需要专门处理。Mask R-CNN 在检测分支之外预测实例掩膜[4]，可作为重复对象识别的比较方法，但“一个座椅实例”究竟按座椅单元还是座椅组定义，仍由研究标注规范决定。</w:t>
      </w:r>
    </w:p>
    <w:p>
      <w:pPr>
        <w:widowControl/>
        <w:spacing w:lineRule="exact" w:line="480" w:before="0" w:after="0"/>
        <w:ind w:firstLine="480"/>
      </w:pPr>
      <w:r>
        <w:rPr>
          <w:rFonts w:ascii="SimSun" w:hAnsi="SimSun" w:eastAsia="宋体" w:cs="SimSun"/>
          <w:b w:val="0"/>
          <w:color w:val="000000"/>
          <w:sz w:val="24"/>
        </w:rPr>
        <w:t>提示分割通过用户提供点、框或已有掩膜获得候选区域。SAM 的方法将图像编码、提示编码和掩膜解码结合[5]。这一形式与设计人员先指定对象再编辑的行为较为接近，可用于减少轮廓绘制操作。候选掩膜不直接给出本项目确认的区域类别，错误边界也可能存在，因而仍需人工确认或结合专用分类。选择提示分割是对交互条件的阶段性判断，并非未经试验的精度结论。</w:t>
      </w:r>
    </w:p>
    <w:p>
      <w:pPr>
        <w:widowControl/>
        <w:spacing w:lineRule="exact" w:line="480" w:before="0" w:after="0"/>
        <w:ind w:firstLine="480"/>
      </w:pPr>
      <w:r>
        <w:rPr>
          <w:rFonts w:ascii="SimSun" w:hAnsi="SimSun" w:eastAsia="宋体" w:cs="SimSun"/>
          <w:b w:val="0"/>
          <w:color w:val="000000"/>
          <w:sz w:val="24"/>
        </w:rPr>
        <w:t>图文条件编辑关注“在什么位置作何变化”。颜色标记提供位置线索，编号补充重复对象的指代，文字说明变化目标及保持要求。模型以这些条件生成新图像，其结果属于设计表达，不是分割标注。遮罩进一步限定允许修改的图像范围，与仅表达对象位置的颜色笔画不同。结构条件生成可作为保持轮廓和布局的比较方向[6]，但须在对应工作流真正接入后评价，不因理论可行便写成当前配置。</w:t>
      </w:r>
    </w:p>
    <w:p>
      <w:pPr>
        <w:keepNext/>
        <w:spacing w:before="80" w:after="0" w:line="240" w:lineRule="auto"/>
        <w:ind w:firstLine="0"/>
        <w:jc w:val="center"/>
      </w:pPr>
      <w:r>
        <w:drawing>
          <wp:inline xmlns:a="http://schemas.openxmlformats.org/drawingml/2006/main" xmlns:pic="http://schemas.openxmlformats.org/drawingml/2006/picture">
            <wp:extent cx="5650992" cy="3296412"/>
            <wp:docPr id="4" name="Picture 4" descr="图 4 提示分割与人工区域确认的原理"/>
            <wp:cNvGraphicFramePr>
              <a:graphicFrameLocks noChangeAspect="1"/>
            </wp:cNvGraphicFramePr>
            <a:graphic>
              <a:graphicData uri="http://schemas.openxmlformats.org/drawingml/2006/picture">
                <pic:pic>
                  <pic:nvPicPr>
                    <pic:cNvPr id="0" name="figure-17.png"/>
                    <pic:cNvPicPr/>
                  </pic:nvPicPr>
                  <pic:blipFill>
                    <a:blip r:embed="rId15"/>
                    <a:stretch>
                      <a:fillRect/>
                    </a:stretch>
                  </pic:blipFill>
                  <pic:spPr>
                    <a:xfrm>
                      <a:off x="0" y="0"/>
                      <a:ext cx="5650992" cy="3296412"/>
                    </a:xfrm>
                    <a:prstGeom prst="rect"/>
                  </pic:spPr>
                </pic:pic>
              </a:graphicData>
            </a:graphic>
          </wp:inline>
        </w:drawing>
      </w:r>
    </w:p>
    <w:p>
      <w:pPr>
        <w:pStyle w:val="Caption"/>
        <w:keepNext w:val="0"/>
      </w:pPr>
      <w:r>
        <w:rPr>
          <w:rFonts w:ascii="SimSun" w:hAnsi="SimSun" w:eastAsia="宋体" w:cs="SimSun"/>
          <w:color w:val="000000"/>
          <w:sz w:val="24"/>
        </w:rPr>
        <w:t>图 4 提示分割与人工区域确认的原理</w:t>
      </w:r>
    </w:p>
    <w:p>
      <w:pPr>
        <w:widowControl/>
        <w:spacing w:lineRule="exact" w:line="480" w:before="0" w:after="0"/>
        <w:ind w:firstLine="480"/>
      </w:pPr>
      <w:r>
        <w:rPr>
          <w:rFonts w:ascii="SimSun" w:hAnsi="SimSun" w:eastAsia="宋体" w:cs="SimSun"/>
          <w:b w:val="0"/>
          <w:color w:val="000000"/>
          <w:sz w:val="24"/>
        </w:rPr>
        <w:t>图 4 将图像编码与交互提示分开表示。掩膜解码器根据两类输入生成候选范围，再由使用者修订边界和确认区域名称。这种方式适合指定墙板或重复座椅后再编辑的任务；反光、遮挡和跨车型外观变化仍需专项样本检验。图中的人工语义确认是项目设计步骤，不能由候选掩膜自动代替。</w:t>
      </w:r>
    </w:p>
    <w:p>
      <w:pPr>
        <w:pStyle w:val="Heading3"/>
        <w:spacing w:lineRule="exact" w:line="480" w:before="80" w:after="0"/>
        <w:ind w:firstLine="0"/>
      </w:pPr>
      <w:bookmarkStart w:id="12" w:name="report_heading_012"/>
      <w:r>
        <w:rPr>
          <w:rFonts w:ascii="SimSun" w:hAnsi="SimSun" w:eastAsia="宋体" w:cs="SimSun"/>
          <w:b w:val="0"/>
          <w:color w:val="000000"/>
          <w:sz w:val="28"/>
        </w:rPr>
        <w:t>2．ComfyUI工作流组织</w:t>
      </w:r>
      <w:bookmarkEnd w:id="12"/>
    </w:p>
    <w:p>
      <w:pPr>
        <w:widowControl/>
        <w:spacing w:lineRule="exact" w:line="480" w:before="0" w:after="0"/>
        <w:ind w:firstLine="480"/>
      </w:pPr>
      <w:r>
        <w:rPr>
          <w:rFonts w:ascii="SimSun" w:hAnsi="SimSun" w:eastAsia="宋体" w:cs="SimSun"/>
          <w:b w:val="0"/>
          <w:color w:val="000000"/>
          <w:sz w:val="24"/>
        </w:rPr>
        <w:t>ComfyUI通过节点及连接组织模型加载、输入处理、条件构造、采样和输出[8]。节点承担具体操作，连线传递图像、文本、模型或潜变量等类型的数据。工作流将一次设计处理拆成可检查的环节，使输入错误、条件组织错误和生成结果偏差能够分别定位。相同执行结构可以更换输入、指令或兼容模型，便于对照不同条件下的结果。</w:t>
      </w:r>
    </w:p>
    <w:p>
      <w:pPr>
        <w:widowControl/>
        <w:spacing w:lineRule="exact" w:line="480" w:before="0" w:after="0"/>
        <w:ind w:firstLine="480"/>
      </w:pPr>
      <w:r>
        <w:rPr>
          <w:rFonts w:ascii="SimSun" w:hAnsi="SimSun" w:eastAsia="宋体" w:cs="SimSun"/>
          <w:b w:val="0"/>
          <w:color w:val="000000"/>
          <w:sz w:val="24"/>
        </w:rPr>
        <w:t>本项目已采用的标记编辑链路包括EasyMark、图像尺寸处理、FLUX.2 Klein条件组织、采样和结果输出。图 10在第三章按实际连接说明该链路。本章研究各节点的职责和方法选择，第三章进一步分析输入如何进入流程、输出暴露哪些问题，再据此确定平台需要保存的条件与评价记录。</w:t>
      </w:r>
    </w:p>
    <w:p>
      <w:pPr>
        <w:pStyle w:val="Heading3"/>
        <w:spacing w:lineRule="exact" w:line="480" w:before="80" w:after="0"/>
        <w:ind w:firstLine="0"/>
      </w:pPr>
      <w:bookmarkStart w:id="13" w:name="report_heading_013"/>
      <w:r>
        <w:rPr>
          <w:rFonts w:ascii="SimSun" w:hAnsi="SimSun" w:eastAsia="宋体" w:cs="SimSun"/>
          <w:b w:val="0"/>
          <w:color w:val="000000"/>
          <w:sz w:val="28"/>
        </w:rPr>
        <w:t>3．ControlNet空间条件控制</w:t>
      </w:r>
      <w:bookmarkEnd w:id="13"/>
    </w:p>
    <w:p>
      <w:pPr>
        <w:widowControl/>
        <w:spacing w:lineRule="exact" w:line="480" w:before="0" w:after="0"/>
        <w:ind w:firstLine="480"/>
      </w:pPr>
      <w:r>
        <w:rPr>
          <w:rFonts w:ascii="SimSun" w:hAnsi="SimSun" w:eastAsia="宋体" w:cs="SimSun"/>
          <w:b w:val="0"/>
          <w:color w:val="000000"/>
          <w:sz w:val="24"/>
        </w:rPr>
        <w:t>ControlNet在预训练扩散模型基础上增加可训练的条件分支，将边缘、深度或分割等空间信息引入生成过程；其零初始化卷积用于连接新增分支与原有模型[6]。条件图表达空间结构，文字描述目标内容，两者共同影响生成。图 5 为依据原始研究整理的原理示意，不代表现有标记工作流已经接入ControlNet。</w:t>
      </w:r>
    </w:p>
    <w:p>
      <w:pPr>
        <w:keepNext/>
        <w:spacing w:before="80" w:after="0" w:line="240" w:lineRule="auto"/>
        <w:ind w:firstLine="0"/>
        <w:jc w:val="center"/>
      </w:pPr>
      <w:r>
        <w:drawing>
          <wp:inline xmlns:a="http://schemas.openxmlformats.org/drawingml/2006/main" xmlns:pic="http://schemas.openxmlformats.org/drawingml/2006/picture">
            <wp:extent cx="5650992" cy="3296412"/>
            <wp:docPr id="5" name="Picture 5" descr="图 5 ControlNet空间条件控制的原理示意"/>
            <wp:cNvGraphicFramePr>
              <a:graphicFrameLocks noChangeAspect="1"/>
            </wp:cNvGraphicFramePr>
            <a:graphic>
              <a:graphicData uri="http://schemas.openxmlformats.org/drawingml/2006/picture">
                <pic:pic>
                  <pic:nvPicPr>
                    <pic:cNvPr id="0" name="figure-18.png"/>
                    <pic:cNvPicPr/>
                  </pic:nvPicPr>
                  <pic:blipFill>
                    <a:blip r:embed="rId16"/>
                    <a:stretch>
                      <a:fillRect/>
                    </a:stretch>
                  </pic:blipFill>
                  <pic:spPr>
                    <a:xfrm>
                      <a:off x="0" y="0"/>
                      <a:ext cx="5650992" cy="3296412"/>
                    </a:xfrm>
                    <a:prstGeom prst="rect"/>
                  </pic:spPr>
                </pic:pic>
              </a:graphicData>
            </a:graphic>
          </wp:inline>
        </w:drawing>
      </w:r>
    </w:p>
    <w:p>
      <w:pPr>
        <w:pStyle w:val="Caption"/>
        <w:keepNext w:val="0"/>
      </w:pPr>
      <w:r>
        <w:rPr>
          <w:rFonts w:ascii="SimSun" w:hAnsi="SimSun" w:eastAsia="宋体" w:cs="SimSun"/>
          <w:color w:val="000000"/>
          <w:sz w:val="24"/>
        </w:rPr>
        <w:t>图 5 ControlNet空间条件控制的原理示意</w:t>
      </w:r>
    </w:p>
    <w:p>
      <w:pPr>
        <w:widowControl/>
        <w:spacing w:lineRule="exact" w:line="480" w:before="0" w:after="0"/>
        <w:ind w:firstLine="480"/>
      </w:pPr>
      <w:r>
        <w:rPr>
          <w:rFonts w:ascii="SimSun" w:hAnsi="SimSun" w:eastAsia="宋体" w:cs="SimSun"/>
          <w:b w:val="0"/>
          <w:color w:val="000000"/>
          <w:sz w:val="24"/>
        </w:rPr>
        <w:t>对客室快速设计而言，空间条件可用于研究窗带、座椅排列和主要轮廓的保持。采用前需核对基础模型及控制权重的兼容性、条件图预处理和参数范围，并用相同底图比较结构保持与修改达成。颜色笔画或编号仅用于指代对象，不能直接当作已生效的ControlNet空间约束。当前将该方法保留为结构保持的比较路线，验证后再决定是否接入。</w:t>
      </w:r>
    </w:p>
    <w:p>
      <w:pPr>
        <w:pStyle w:val="Heading3"/>
        <w:spacing w:lineRule="exact" w:line="480" w:before="80" w:after="0"/>
        <w:ind w:firstLine="0"/>
      </w:pPr>
      <w:bookmarkStart w:id="14" w:name="report_heading_014"/>
      <w:r>
        <w:rPr>
          <w:rFonts w:ascii="SimSun" w:hAnsi="SimSun" w:eastAsia="宋体" w:cs="SimSun"/>
          <w:b w:val="0"/>
          <w:color w:val="000000"/>
          <w:sz w:val="28"/>
        </w:rPr>
        <w:t>4．FLUX.2参考图像编辑</w:t>
      </w:r>
      <w:bookmarkEnd w:id="14"/>
    </w:p>
    <w:p>
      <w:pPr>
        <w:widowControl/>
        <w:spacing w:lineRule="exact" w:line="480" w:before="0" w:after="0"/>
        <w:ind w:firstLine="480"/>
      </w:pPr>
      <w:r>
        <w:rPr>
          <w:rFonts w:ascii="SimSun" w:hAnsi="SimSun" w:eastAsia="宋体" w:cs="SimSun"/>
          <w:b w:val="0"/>
          <w:color w:val="000000"/>
          <w:sz w:val="24"/>
        </w:rPr>
        <w:t>FLUX.2的图像编辑将参考图像与文字指令共同作为生成条件[7]。在现有Klein工作流中，原图与标记形成图像参考，文本说明对象及变化目标，模型加载与条件组织节点将参考和指令传递给采样过程，最后解码得到设计图像。其主要输出是修改后的视觉表达，可用于材料、颜色和局部形态探索。</w:t>
      </w:r>
    </w:p>
    <w:p>
      <w:pPr>
        <w:keepNext/>
        <w:spacing w:before="80" w:after="0" w:line="240" w:lineRule="auto"/>
        <w:ind w:firstLine="0"/>
        <w:jc w:val="center"/>
      </w:pPr>
      <w:r>
        <w:drawing>
          <wp:inline xmlns:a="http://schemas.openxmlformats.org/drawingml/2006/main" xmlns:pic="http://schemas.openxmlformats.org/drawingml/2006/picture">
            <wp:extent cx="5650992" cy="3108046"/>
            <wp:docPr id="6" name="Picture 6" descr="图 6 参考图像与文字指令的条件编辑过程"/>
            <wp:cNvGraphicFramePr>
              <a:graphicFrameLocks noChangeAspect="1"/>
            </wp:cNvGraphicFramePr>
            <a:graphic>
              <a:graphicData uri="http://schemas.openxmlformats.org/drawingml/2006/picture">
                <pic:pic>
                  <pic:nvPicPr>
                    <pic:cNvPr id="0" name="figure-19.png"/>
                    <pic:cNvPicPr/>
                  </pic:nvPicPr>
                  <pic:blipFill>
                    <a:blip r:embed="rId17"/>
                    <a:stretch>
                      <a:fillRect/>
                    </a:stretch>
                  </pic:blipFill>
                  <pic:spPr>
                    <a:xfrm>
                      <a:off x="0" y="0"/>
                      <a:ext cx="5650992" cy="3108046"/>
                    </a:xfrm>
                    <a:prstGeom prst="rect"/>
                  </pic:spPr>
                </pic:pic>
              </a:graphicData>
            </a:graphic>
          </wp:inline>
        </w:drawing>
      </w:r>
    </w:p>
    <w:p>
      <w:pPr>
        <w:pStyle w:val="Caption"/>
        <w:keepNext w:val="0"/>
      </w:pPr>
      <w:r>
        <w:rPr>
          <w:rFonts w:ascii="SimSun" w:hAnsi="SimSun" w:eastAsia="宋体" w:cs="SimSun"/>
          <w:color w:val="000000"/>
          <w:sz w:val="24"/>
        </w:rPr>
        <w:t>图 6 参考图像与文字指令的条件编辑过程</w:t>
      </w:r>
    </w:p>
    <w:p>
      <w:pPr>
        <w:widowControl/>
        <w:spacing w:lineRule="exact" w:line="480" w:before="0" w:after="0"/>
        <w:ind w:firstLine="480"/>
      </w:pPr>
      <w:r>
        <w:rPr>
          <w:rFonts w:ascii="SimSun" w:hAnsi="SimSun" w:eastAsia="宋体" w:cs="SimSun"/>
          <w:b w:val="0"/>
          <w:color w:val="000000"/>
          <w:sz w:val="24"/>
        </w:rPr>
        <w:t>标记编辑依赖模型理解视觉位置与指令之间的对应关系。编号可以区分相近对象，保持指令可以说明不希望变化的内容，但这类条件并不构成逐像素的强制边界。第三章的同源案例显示，编辑仍可能扩展到非目标部位或保留编号，因此需要原图比较、失败分析及更明确的输入约束。对需要精确边界的任务，可研究遮罩路径或兼容的结构控制方法。</w:t>
      </w:r>
    </w:p>
    <w:p>
      <w:pPr>
        <w:pStyle w:val="Heading3"/>
        <w:spacing w:lineRule="exact" w:line="480" w:before="80" w:after="0"/>
        <w:ind w:firstLine="0"/>
      </w:pPr>
      <w:bookmarkStart w:id="15" w:name="report_heading_015"/>
      <w:r>
        <w:rPr>
          <w:rFonts w:ascii="SimSun" w:hAnsi="SimSun" w:eastAsia="宋体" w:cs="SimSun"/>
          <w:b w:val="0"/>
          <w:color w:val="000000"/>
          <w:sz w:val="28"/>
        </w:rPr>
        <w:t>5．图文理解与方法选择结论</w:t>
      </w:r>
      <w:bookmarkEnd w:id="15"/>
    </w:p>
    <w:p>
      <w:pPr>
        <w:widowControl/>
        <w:spacing w:lineRule="exact" w:line="480" w:before="0" w:after="0"/>
        <w:ind w:firstLine="480"/>
      </w:pPr>
      <w:r>
        <w:rPr>
          <w:rFonts w:ascii="SimSun" w:hAnsi="SimSun" w:eastAsia="宋体" w:cs="SimSun"/>
          <w:b w:val="0"/>
          <w:color w:val="000000"/>
          <w:sz w:val="24"/>
        </w:rPr>
        <w:t>图文表征通过图像与文字之间的关联学习支持语义匹配。CLIP展示了图文监督学习视觉表示的方法[2]；图像理解工作流则可把图片和问题交给支持视觉输入的语言模型，获得文字描述。现有独立图像理解链路采用图像加载、模型加载、TextGenerate和文字预览节点。其输出可辅助整理对象名称与提示词，仍需人工核对，不能直接当作像素分区、真实尺寸或模块接口结果。</w:t>
      </w:r>
    </w:p>
    <w:p>
      <w:pPr>
        <w:widowControl/>
        <w:spacing w:lineRule="exact" w:line="480" w:before="0" w:after="0"/>
        <w:ind w:firstLine="480"/>
      </w:pPr>
      <w:r>
        <w:rPr>
          <w:rFonts w:ascii="SimSun" w:hAnsi="SimSun" w:eastAsia="宋体" w:cs="SimSun"/>
          <w:b w:val="0"/>
          <w:color w:val="A82020"/>
          <w:sz w:val="24"/>
        </w:rPr>
        <w:t>【待补图例 M04：同一真实客室的图文理解输入、原始文字输出及人工核对结果。需展示识别对象、遗漏和误判，并附所用模型与问题；当前只有工作流定义，尚无本次报告可核验的完整案例输出。】</w:t>
      </w:r>
    </w:p>
    <w:p>
      <w:pPr>
        <w:pStyle w:val="Caption"/>
        <w:keepNext/>
        <w:jc w:val="center"/>
      </w:pPr>
      <w:r>
        <w:rPr>
          <w:rFonts w:ascii="SimSun" w:hAnsi="SimSun" w:eastAsia="宋体" w:cs="SimSun"/>
          <w:color w:val="000000"/>
          <w:sz w:val="24"/>
        </w:rPr>
        <w:t>表 4 识别与设计方法比较及阶段选择</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61"/>
        <w:gridCol w:w="2338"/>
        <w:gridCol w:w="2517"/>
        <w:gridCol w:w="2156"/>
      </w:tblGrid>
      <w:tr>
        <w:trPr>
          <w:cantSplit w:val="true"/>
          <w:tblHeader w:val="true"/>
        </w:trPr>
        <w:tc>
          <w:tcPr>
            <w:tcW w:type="dxa" w:w="196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方法</w:t>
            </w:r>
          </w:p>
        </w:tc>
        <w:tc>
          <w:tcPr>
            <w:tcW w:type="dxa" w:w="233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主要输出</w:t>
            </w:r>
          </w:p>
        </w:tc>
        <w:tc>
          <w:tcPr>
            <w:tcW w:type="dxa" w:w="2517"/>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适用问题</w:t>
            </w:r>
          </w:p>
        </w:tc>
        <w:tc>
          <w:tcPr>
            <w:tcW w:type="dxa" w:w="215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本项目处理</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目标检测</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类别与目标框</w:t>
            </w:r>
          </w:p>
        </w:tc>
        <w:tc>
          <w:tcPr>
            <w:tcW w:type="dxa" w:w="251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粗定位、重复对象候选</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作为候选定位对照</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语义分割</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像素类别区域</w:t>
            </w:r>
          </w:p>
        </w:tc>
        <w:tc>
          <w:tcPr>
            <w:tcW w:type="dxa" w:w="2517"/>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固定功能区域划分</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有标注条件后验证</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实例分割</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逐对象掩膜</w:t>
            </w:r>
          </w:p>
        </w:tc>
        <w:tc>
          <w:tcPr>
            <w:tcW w:type="dxa" w:w="2517"/>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同类部件单独指代</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对照重复构件场景</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提示分割</w:t>
            </w:r>
          </w:p>
        </w:tc>
        <w:tc>
          <w:tcPr>
            <w:tcW w:type="dxa" w:w="233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提示驱动的候选掩膜</w:t>
            </w:r>
          </w:p>
        </w:tc>
        <w:tc>
          <w:tcPr>
            <w:tcW w:type="dxa" w:w="251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辅助勾选和边界修订</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下一阶段优先验证</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颜色或编号编辑</w:t>
            </w:r>
          </w:p>
        </w:tc>
        <w:tc>
          <w:tcPr>
            <w:tcW w:type="dxa" w:w="233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条件生成图像</w:t>
            </w:r>
          </w:p>
        </w:tc>
        <w:tc>
          <w:tcPr>
            <w:tcW w:type="dxa" w:w="2517"/>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指定局部设计变化</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当前实施主路径</w:t>
            </w:r>
          </w:p>
        </w:tc>
      </w:tr>
      <w:tr>
        <w:trPr>
          <w:cantSplit w:val="true"/>
        </w:trPr>
        <w:tc>
          <w:tcPr>
            <w:tcW w:type="dxa" w:w="196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遮罩局部重绘</w:t>
            </w:r>
          </w:p>
        </w:tc>
        <w:tc>
          <w:tcPr>
            <w:tcW w:type="dxa" w:w="233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限定范围的设计图像</w:t>
            </w:r>
          </w:p>
        </w:tc>
        <w:tc>
          <w:tcPr>
            <w:tcW w:type="dxa" w:w="251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局部材质及形态修改</w:t>
            </w:r>
          </w:p>
        </w:tc>
        <w:tc>
          <w:tcPr>
            <w:tcW w:type="dxa" w:w="2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当前补充交互路径</w:t>
            </w:r>
          </w:p>
        </w:tc>
      </w:tr>
    </w:tbl>
    <w:p>
      <w:pPr>
        <w:widowControl/>
        <w:spacing w:lineRule="exact" w:line="480" w:before="0" w:after="0"/>
        <w:ind w:firstLine="480"/>
      </w:pPr>
      <w:r>
        <w:rPr>
          <w:rFonts w:ascii="SimSun" w:hAnsi="SimSun" w:eastAsia="宋体" w:cs="SimSun"/>
          <w:b w:val="0"/>
          <w:color w:val="000000"/>
          <w:sz w:val="24"/>
        </w:rPr>
        <w:t>比较试验分为“是否找到正确对象”“边界是否可用”和“生成变化是否符合要求”三个任务，分别采用对象判断、区域重叠及设计评价。分类或掩膜结果可以成为生成输入，生成图却不能反推为识别准确的证据。这样能够判断失败来自定位、边界、条件理解还是生成保持能力，便于选择正确的改进环节。</w:t>
      </w:r>
    </w:p>
    <w:p>
      <w:pPr>
        <w:pStyle w:val="Heading2"/>
        <w:spacing w:lineRule="exact" w:line="480" w:before="80" w:after="0"/>
        <w:ind w:firstLine="0"/>
      </w:pPr>
      <w:bookmarkStart w:id="16" w:name="report_heading_016"/>
      <w:r>
        <w:rPr>
          <w:rFonts w:ascii="KaiTi" w:hAnsi="KaiTi" w:eastAsia="楷体" w:cs="KaiTi"/>
          <w:b w:val="0"/>
          <w:color w:val="000000"/>
          <w:sz w:val="28"/>
        </w:rPr>
        <w:t>（五）项目方法选择与平台集成</w:t>
      </w:r>
      <w:bookmarkEnd w:id="16"/>
    </w:p>
    <w:p>
      <w:pPr>
        <w:widowControl/>
        <w:spacing w:lineRule="exact" w:line="480" w:before="0" w:after="0"/>
        <w:ind w:firstLine="480"/>
      </w:pPr>
      <w:r>
        <w:rPr>
          <w:rFonts w:ascii="SimSun" w:hAnsi="SimSun" w:eastAsia="宋体" w:cs="SimSun"/>
          <w:b w:val="0"/>
          <w:color w:val="000000"/>
          <w:sz w:val="24"/>
        </w:rPr>
        <w:t>前述方法比较形成的选择是：以人工标记结合参考图编辑开展现阶段实践，以提示分割作为对象选择辅助的候选路线，以专用分割及空间条件控制作为对照方向。ComfyUI承担方法组合，图文理解辅助描述整理，各方法经过对应输出的评价后再进入平台。本节说明这一选择如何衔接设计输入，第三章给出具体工作流和案例。</w:t>
      </w:r>
    </w:p>
    <w:p>
      <w:pPr>
        <w:widowControl/>
        <w:spacing w:lineRule="exact" w:line="480" w:before="0" w:after="0"/>
        <w:ind w:firstLine="480"/>
      </w:pPr>
      <w:r>
        <w:rPr>
          <w:rFonts w:ascii="SimSun" w:hAnsi="SimSun" w:eastAsia="宋体" w:cs="SimSun"/>
          <w:b w:val="0"/>
          <w:color w:val="000000"/>
          <w:sz w:val="24"/>
        </w:rPr>
        <w:t>当前采用人工颜色或编号标记与文字指令结合的路线，以遮罩编辑补充范围控制。选择依据是平台已有标记输入、原图关联、任务参数、工作流适配和结果比较基础，设计人员能够直接确认修改对象，适合开展可追溯的概念方案探索。该选择不以已建立完整自动分区数据集为前提，能够先积累真实任务及失败类型，再据此决定自动辅助的优先位置。</w:t>
      </w:r>
    </w:p>
    <w:p>
      <w:pPr>
        <w:widowControl/>
        <w:spacing w:lineRule="exact" w:line="480" w:before="0" w:after="0"/>
        <w:ind w:firstLine="480"/>
      </w:pPr>
      <w:r>
        <w:rPr>
          <w:rFonts w:ascii="SimSun" w:hAnsi="SimSun" w:eastAsia="宋体" w:cs="SimSun"/>
          <w:b w:val="0"/>
          <w:color w:val="000000"/>
          <w:sz w:val="24"/>
        </w:rPr>
        <w:t>现有颜色分区和编号分区都使用 EasyMark 处理原图及笔画，在工作流内部形成带标记的参考图，再交给 FLUX.2 Klein 编辑链路。平台保存原图与历史标记快照，工作流按笔画重新合成用于模型输入的图像；历史快照与模型实际条件图承担不同用途。标记中的颜色和编号是对设计对象的约定，不是模型自动识别出的部件类别。</w:t>
      </w:r>
    </w:p>
    <w:p>
      <w:pPr>
        <w:keepNext/>
        <w:spacing w:before="80" w:after="0" w:line="240" w:lineRule="auto"/>
        <w:ind w:firstLine="0"/>
        <w:jc w:val="center"/>
      </w:pPr>
      <w:r>
        <w:drawing>
          <wp:inline xmlns:a="http://schemas.openxmlformats.org/drawingml/2006/main" xmlns:pic="http://schemas.openxmlformats.org/drawingml/2006/picture">
            <wp:extent cx="5650992" cy="3108046"/>
            <wp:docPr id="7" name="Picture 7" descr="图 7 颜色与编号分区设计的实际交互流程"/>
            <wp:cNvGraphicFramePr>
              <a:graphicFrameLocks noChangeAspect="1"/>
            </wp:cNvGraphicFramePr>
            <a:graphic>
              <a:graphicData uri="http://schemas.openxmlformats.org/drawingml/2006/picture">
                <pic:pic>
                  <pic:nvPicPr>
                    <pic:cNvPr id="0" name="figure-05.png"/>
                    <pic:cNvPicPr/>
                  </pic:nvPicPr>
                  <pic:blipFill>
                    <a:blip r:embed="rId18"/>
                    <a:stretch>
                      <a:fillRect/>
                    </a:stretch>
                  </pic:blipFill>
                  <pic:spPr>
                    <a:xfrm>
                      <a:off x="0" y="0"/>
                      <a:ext cx="5650992" cy="3108046"/>
                    </a:xfrm>
                    <a:prstGeom prst="rect"/>
                  </pic:spPr>
                </pic:pic>
              </a:graphicData>
            </a:graphic>
          </wp:inline>
        </w:drawing>
      </w:r>
    </w:p>
    <w:p>
      <w:pPr>
        <w:pStyle w:val="Caption"/>
        <w:keepNext w:val="0"/>
      </w:pPr>
      <w:r>
        <w:rPr>
          <w:rFonts w:ascii="SimSun" w:hAnsi="SimSun" w:eastAsia="宋体" w:cs="SimSun"/>
          <w:color w:val="000000"/>
          <w:sz w:val="24"/>
        </w:rPr>
        <w:t>图 7 颜色与编号分区设计的实际交互流程</w:t>
      </w:r>
    </w:p>
    <w:p>
      <w:pPr>
        <w:widowControl/>
        <w:spacing w:lineRule="exact" w:line="480" w:before="0" w:after="0"/>
        <w:ind w:firstLine="480"/>
      </w:pPr>
      <w:r>
        <w:rPr>
          <w:rFonts w:ascii="SimSun" w:hAnsi="SimSun" w:eastAsia="宋体" w:cs="SimSun"/>
          <w:b w:val="0"/>
          <w:color w:val="000000"/>
          <w:sz w:val="24"/>
        </w:rPr>
        <w:t>下一阶段优先验证“提示分割获取候选范围—人工修订并赋予区域语义—转换为设计输入”的辅助路线。其目标是减少绘制与修订操作，不改变设计人员确认对象和成果的责任。监督式语义或实例分割作为对照，在样本类别稳定、标注充分时评价其自动化收益。只有在边界质量、人工修订时间和任务成功方面获得证据后，才确定正式接入的模型与版本。</w:t>
      </w:r>
    </w:p>
    <w:p>
      <w:pPr>
        <w:keepNext/>
        <w:spacing w:before="80" w:after="0" w:line="240" w:lineRule="auto"/>
        <w:ind w:firstLine="0"/>
        <w:jc w:val="center"/>
      </w:pPr>
      <w:r>
        <w:drawing>
          <wp:inline xmlns:a="http://schemas.openxmlformats.org/drawingml/2006/main" xmlns:pic="http://schemas.openxmlformats.org/drawingml/2006/picture">
            <wp:extent cx="5650992" cy="2119122"/>
            <wp:docPr id="8" name="Picture 8" descr="图 8 区域识别研究与现有设计入口的衔接"/>
            <wp:cNvGraphicFramePr>
              <a:graphicFrameLocks noChangeAspect="1"/>
            </wp:cNvGraphicFramePr>
            <a:graphic>
              <a:graphicData uri="http://schemas.openxmlformats.org/drawingml/2006/picture">
                <pic:pic>
                  <pic:nvPicPr>
                    <pic:cNvPr id="0" name="figure-06.png"/>
                    <pic:cNvPicPr/>
                  </pic:nvPicPr>
                  <pic:blipFill>
                    <a:blip r:embed="rId19"/>
                    <a:stretch>
                      <a:fillRect/>
                    </a:stretch>
                  </pic:blipFill>
                  <pic:spPr>
                    <a:xfrm>
                      <a:off x="0" y="0"/>
                      <a:ext cx="5650992" cy="2119122"/>
                    </a:xfrm>
                    <a:prstGeom prst="rect"/>
                  </pic:spPr>
                </pic:pic>
              </a:graphicData>
            </a:graphic>
          </wp:inline>
        </w:drawing>
      </w:r>
    </w:p>
    <w:p>
      <w:pPr>
        <w:pStyle w:val="Caption"/>
        <w:keepNext w:val="0"/>
      </w:pPr>
      <w:r>
        <w:rPr>
          <w:rFonts w:ascii="SimSun" w:hAnsi="SimSun" w:eastAsia="宋体" w:cs="SimSun"/>
          <w:color w:val="000000"/>
          <w:sz w:val="24"/>
        </w:rPr>
        <w:t>图 8 区域识别研究与现有设计入口的衔接</w:t>
      </w:r>
    </w:p>
    <w:p>
      <w:pPr>
        <w:widowControl/>
        <w:spacing w:lineRule="exact" w:line="480" w:before="0" w:after="0"/>
        <w:ind w:firstLine="480"/>
      </w:pPr>
      <w:r>
        <w:rPr>
          <w:rFonts w:ascii="SimSun" w:hAnsi="SimSun" w:eastAsia="宋体" w:cs="SimSun"/>
          <w:b w:val="0"/>
          <w:color w:val="000000"/>
          <w:sz w:val="24"/>
        </w:rPr>
        <w:t>平台集成宜保持输入原图、候选区域、人工确认结果和设计输出的来源关系。候选算法通过后端适配运行；确认界面展示区域及修订状态；设计入口接收经确认且兼容的标记或遮罩；任务保留方法配置和输入快照。当前已有后半段的设计任务与资产基础，候选算法及确认信息结构需在验证后补充，不让前端直接访问模型内部资源或跳过项目权限。</w:t>
      </w:r>
    </w:p>
    <w:p>
      <w:pPr>
        <w:pStyle w:val="Heading2"/>
        <w:spacing w:lineRule="exact" w:line="480" w:before="80" w:after="0"/>
        <w:ind w:firstLine="0"/>
      </w:pPr>
      <w:bookmarkStart w:id="17" w:name="report_heading_017"/>
      <w:r>
        <w:rPr>
          <w:rFonts w:ascii="KaiTi" w:hAnsi="KaiTi" w:eastAsia="楷体" w:cs="KaiTi"/>
          <w:b w:val="0"/>
          <w:color w:val="000000"/>
          <w:sz w:val="28"/>
        </w:rPr>
        <w:t>（六）样本与标注质量控制</w:t>
      </w:r>
      <w:bookmarkEnd w:id="17"/>
    </w:p>
    <w:p>
      <w:pPr>
        <w:widowControl/>
        <w:spacing w:lineRule="exact" w:line="480" w:before="0" w:after="0"/>
        <w:ind w:firstLine="480"/>
      </w:pPr>
      <w:r>
        <w:rPr>
          <w:rFonts w:ascii="SimSun" w:hAnsi="SimSun" w:eastAsia="宋体" w:cs="SimSun"/>
          <w:b w:val="0"/>
          <w:color w:val="000000"/>
          <w:sz w:val="24"/>
        </w:rPr>
        <w:t>样本应覆盖核心区域、不同视角、重复部件、遮挡、反光、低对比度和材质纹理变化等条件。样本规模由可用资料和评测方案确定，并在研究实施前形成清单。每个样本应能关联原始资料、授权范围、车型或场景、区域类别及标注版本。缺少来源或无法解释的样本不得直接用来形成正式评测结论。</w:t>
      </w:r>
    </w:p>
    <w:p>
      <w:pPr>
        <w:widowControl/>
        <w:spacing w:lineRule="exact" w:line="480" w:before="0" w:after="0"/>
        <w:ind w:firstLine="480"/>
      </w:pPr>
      <w:r>
        <w:rPr>
          <w:rFonts w:ascii="SimSun" w:hAnsi="SimSun" w:eastAsia="宋体" w:cs="SimSun"/>
          <w:b w:val="0"/>
          <w:color w:val="000000"/>
          <w:sz w:val="24"/>
        </w:rPr>
        <w:t>同一原始图像的裁切、缩放或连续视角具有较强关联，应作为同源组管理，避免同时进入训练集与测试集造成数据泄漏。标注规范需要约定可见范围、遮挡区域、边界归属和无法判断对象的处理方式。争议样本应保留原始意见并由业务人员复核，而不是为了统一结果随意修改参考标注。</w:t>
      </w:r>
    </w:p>
    <w:p>
      <w:pPr>
        <w:widowControl/>
        <w:spacing w:lineRule="exact" w:line="480" w:before="0" w:after="0"/>
        <w:ind w:firstLine="480"/>
      </w:pPr>
      <w:r>
        <w:rPr>
          <w:rFonts w:ascii="SimSun" w:hAnsi="SimSun" w:eastAsia="宋体" w:cs="SimSun"/>
          <w:b w:val="0"/>
          <w:color w:val="000000"/>
          <w:sz w:val="24"/>
        </w:rPr>
        <w:t>区域识别研究可使用交并比、类别召回率和边界偏差等指标，同时报告各区域的差异。只有输出为像素区域时才评价分割质量，只有提供类别时才评价类别识别，不能对不具备对应输出的现有分区编辑功能直接计算自动识别准确率。研究应另行记录人工确认时间和修订程度，以判断算法辅助是否真正减少工作，而不只是增加了一次模型调用。</w:t>
      </w:r>
    </w:p>
    <w:p>
      <w:pPr>
        <w:pStyle w:val="Heading1"/>
        <w:pageBreakBefore/>
        <w:spacing w:lineRule="exact" w:line="480" w:before="0" w:after="0"/>
        <w:ind w:firstLine="0"/>
      </w:pPr>
      <w:bookmarkStart w:id="18" w:name="report_heading_018"/>
      <w:r>
        <w:rPr>
          <w:rFonts w:ascii="SimHei" w:hAnsi="SimHei" w:eastAsia="黑体" w:cs="SimHei"/>
          <w:b/>
          <w:color w:val="000000"/>
          <w:sz w:val="28"/>
        </w:rPr>
        <w:t>三、快速设计与跨区域优化研究</w:t>
      </w:r>
      <w:bookmarkEnd w:id="18"/>
    </w:p>
    <w:p>
      <w:pPr>
        <w:pStyle w:val="Heading2"/>
        <w:spacing w:lineRule="exact" w:line="480" w:before="80" w:after="0"/>
        <w:ind w:firstLine="0"/>
      </w:pPr>
      <w:bookmarkStart w:id="19" w:name="report_heading_019"/>
      <w:r>
        <w:rPr>
          <w:rFonts w:ascii="KaiTi" w:hAnsi="KaiTi" w:eastAsia="楷体" w:cs="KaiTi"/>
          <w:b w:val="0"/>
          <w:color w:val="000000"/>
          <w:sz w:val="28"/>
        </w:rPr>
        <w:t>（一）快速设计任务的基本组织</w:t>
      </w:r>
      <w:bookmarkEnd w:id="19"/>
    </w:p>
    <w:p>
      <w:pPr>
        <w:widowControl/>
        <w:spacing w:lineRule="exact" w:line="480" w:before="0" w:after="0"/>
        <w:ind w:firstLine="480"/>
      </w:pPr>
      <w:r>
        <w:rPr>
          <w:rFonts w:ascii="SimSun" w:hAnsi="SimSun" w:eastAsia="宋体" w:cs="SimSun"/>
          <w:b w:val="0"/>
          <w:color w:val="000000"/>
          <w:sz w:val="24"/>
        </w:rPr>
        <w:t>本章将第二章的技术选择落实到独立工作流，重点分析输入组织、节点连接和结果评价，并据此提出平台应承载的任务和成果关系。快速设计任务按原图、目标对象、变化要求、保持条件、执行配置和输出组织；客室零部件任务关注局部形态与多视角表达，CMF任务关注颜色、材料及纹理，客室整体任务关注布局和区域协调。</w:t>
      </w:r>
    </w:p>
    <w:p>
      <w:pPr>
        <w:widowControl/>
        <w:spacing w:lineRule="exact" w:line="480" w:before="0" w:after="0"/>
        <w:ind w:firstLine="480"/>
      </w:pPr>
      <w:r>
        <w:rPr>
          <w:rFonts w:ascii="SimSun" w:hAnsi="SimSun" w:eastAsia="宋体" w:cs="SimSun"/>
          <w:b w:val="0"/>
          <w:color w:val="000000"/>
          <w:sz w:val="24"/>
        </w:rPr>
        <w:t>同一技术流程可用于不同设计任务，前提是输入类型、数量和参数符合所用工作流。典型实践按“确定目标—组织条件—执行工作流—比较效果—保存记录”展开。图 9体现输入与结果继续复用的关系，具体案例采用ComfyUI节点及输入输出说明，平台业务入口在第四章及以后介绍。</w:t>
      </w:r>
    </w:p>
    <w:p>
      <w:pPr>
        <w:keepNext/>
        <w:spacing w:before="80" w:after="0" w:line="240" w:lineRule="auto"/>
        <w:ind w:firstLine="0"/>
        <w:jc w:val="center"/>
      </w:pPr>
      <w:r>
        <w:drawing>
          <wp:inline xmlns:a="http://schemas.openxmlformats.org/drawingml/2006/main" xmlns:pic="http://schemas.openxmlformats.org/drawingml/2006/picture">
            <wp:extent cx="5650992" cy="2542946"/>
            <wp:docPr id="9" name="Picture 9" descr="图 9 独立工作流实践与设计结果复用"/>
            <wp:cNvGraphicFramePr>
              <a:graphicFrameLocks noChangeAspect="1"/>
            </wp:cNvGraphicFramePr>
            <a:graphic>
              <a:graphicData uri="http://schemas.openxmlformats.org/drawingml/2006/picture">
                <pic:pic>
                  <pic:nvPicPr>
                    <pic:cNvPr id="0" name="figure-20.png"/>
                    <pic:cNvPicPr/>
                  </pic:nvPicPr>
                  <pic:blipFill>
                    <a:blip r:embed="rId20"/>
                    <a:stretch>
                      <a:fillRect/>
                    </a:stretch>
                  </pic:blipFill>
                  <pic:spPr>
                    <a:xfrm>
                      <a:off x="0" y="0"/>
                      <a:ext cx="5650992" cy="2542946"/>
                    </a:xfrm>
                    <a:prstGeom prst="rect"/>
                  </pic:spPr>
                </pic:pic>
              </a:graphicData>
            </a:graphic>
          </wp:inline>
        </w:drawing>
      </w:r>
    </w:p>
    <w:p>
      <w:pPr>
        <w:pStyle w:val="Caption"/>
        <w:keepNext w:val="0"/>
      </w:pPr>
      <w:r>
        <w:rPr>
          <w:rFonts w:ascii="SimSun" w:hAnsi="SimSun" w:eastAsia="宋体" w:cs="SimSun"/>
          <w:color w:val="000000"/>
          <w:sz w:val="24"/>
        </w:rPr>
        <w:t>图 9 独立工作流实践与设计结果复用</w:t>
      </w:r>
    </w:p>
    <w:p>
      <w:pPr>
        <w:pStyle w:val="Heading2"/>
        <w:spacing w:lineRule="exact" w:line="480" w:before="80" w:after="0"/>
        <w:ind w:firstLine="0"/>
      </w:pPr>
      <w:bookmarkStart w:id="20" w:name="report_heading_020"/>
      <w:r>
        <w:rPr>
          <w:rFonts w:ascii="KaiTi" w:hAnsi="KaiTi" w:eastAsia="楷体" w:cs="KaiTi"/>
          <w:b w:val="0"/>
          <w:color w:val="000000"/>
          <w:sz w:val="28"/>
        </w:rPr>
        <w:t>（二）标记驱动设计的实际技术流程</w:t>
      </w:r>
      <w:bookmarkEnd w:id="20"/>
    </w:p>
    <w:p>
      <w:pPr>
        <w:widowControl/>
        <w:spacing w:lineRule="exact" w:line="480" w:before="0" w:after="0"/>
        <w:ind w:firstLine="480"/>
      </w:pPr>
      <w:commentRangeStart w:id="5"/>
      <w:r>
        <w:rPr>
          <w:rFonts w:ascii="SimSun" w:hAnsi="SimSun" w:eastAsia="宋体" w:cs="SimSun"/>
          <w:b w:val="0"/>
          <w:color w:val="000000"/>
          <w:sz w:val="24"/>
        </w:rPr>
        <w:t>颜色分区设计从客室原图开始。使用者用不同颜色绘制目标位置，输入与颜色对应的修改要求，将原图与笔画分别组织为工作流输入。EasyMark生成合成参考图，随后进行图像尺寸处理、参考图与文本条件组织及采样输出。这里的区域指代由人建立，编辑模型负责解释图文条件并生成变化；它与自动预测六类客室区域的识别任务不同。</w:t>
      </w:r>
      <w:commentRangeEnd w:id="5"/>
      <w:r>
        <w:rPr>
          <w:rStyle w:val="CommentReference"/>
        </w:rPr>
        <w:commentReference w:id="5"/>
      </w:r>
    </w:p>
    <w:p>
      <w:pPr>
        <w:widowControl/>
        <w:spacing w:lineRule="exact" w:line="480" w:before="0" w:after="0"/>
        <w:ind w:firstLine="480"/>
      </w:pPr>
      <w:r>
        <w:rPr>
          <w:rFonts w:ascii="SimSun" w:hAnsi="SimSun" w:eastAsia="宋体" w:cs="SimSun"/>
          <w:b w:val="0"/>
          <w:color w:val="000000"/>
          <w:sz w:val="24"/>
        </w:rPr>
        <w:t>编号分区采用相同的原图与笔画组织方式，但将编号加入视觉提示，使相同颜色或相近部件能够进一步区分。文字应明确每个编号的变化，避免把“一号座椅”写成所有座椅。标记的大小、位置和遮挡程度会改变输入条件，需要保留原始笔画和最终显示状态。两条分区工作流均以带标记的合成图作为编辑参考，而不是直接将 EasyMark 可输出的各色掩膜接成独立区域约束。</w:t>
      </w:r>
    </w:p>
    <w:p>
      <w:pPr>
        <w:keepNext/>
        <w:spacing w:before="80" w:after="0" w:line="240" w:lineRule="auto"/>
        <w:ind w:firstLine="0"/>
        <w:jc w:val="center"/>
      </w:pPr>
      <w:r>
        <w:drawing>
          <wp:inline xmlns:a="http://schemas.openxmlformats.org/drawingml/2006/main" xmlns:pic="http://schemas.openxmlformats.org/drawingml/2006/picture">
            <wp:extent cx="5650992" cy="3343504"/>
            <wp:docPr id="10" name="Picture 10" descr="图 10 标记参考图与文本指令的实际编辑链路"/>
            <wp:cNvGraphicFramePr>
              <a:graphicFrameLocks noChangeAspect="1"/>
            </wp:cNvGraphicFramePr>
            <a:graphic>
              <a:graphicData uri="http://schemas.openxmlformats.org/drawingml/2006/picture">
                <pic:pic>
                  <pic:nvPicPr>
                    <pic:cNvPr id="0" name="figure-15.png"/>
                    <pic:cNvPicPr/>
                  </pic:nvPicPr>
                  <pic:blipFill>
                    <a:blip r:embed="rId21"/>
                    <a:stretch>
                      <a:fillRect/>
                    </a:stretch>
                  </pic:blipFill>
                  <pic:spPr>
                    <a:xfrm>
                      <a:off x="0" y="0"/>
                      <a:ext cx="5650992" cy="3343504"/>
                    </a:xfrm>
                    <a:prstGeom prst="rect"/>
                  </pic:spPr>
                </pic:pic>
              </a:graphicData>
            </a:graphic>
          </wp:inline>
        </w:drawing>
      </w:r>
    </w:p>
    <w:p>
      <w:pPr>
        <w:pStyle w:val="Caption"/>
        <w:keepNext w:val="0"/>
      </w:pPr>
      <w:r>
        <w:rPr>
          <w:rFonts w:ascii="SimSun" w:hAnsi="SimSun" w:eastAsia="宋体" w:cs="SimSun"/>
          <w:color w:val="000000"/>
          <w:sz w:val="24"/>
        </w:rPr>
        <w:t>图 10 标记参考图与文本指令的实际编辑链路</w:t>
      </w:r>
    </w:p>
    <w:p>
      <w:pPr>
        <w:widowControl/>
        <w:spacing w:lineRule="exact" w:line="480" w:before="0" w:after="0"/>
        <w:ind w:firstLine="480"/>
      </w:pPr>
      <w:r>
        <w:rPr>
          <w:rFonts w:ascii="SimSun" w:hAnsi="SimSun" w:eastAsia="宋体" w:cs="SimSun"/>
          <w:b w:val="0"/>
          <w:color w:val="000000"/>
          <w:sz w:val="24"/>
        </w:rPr>
        <w:t>工作流输出后，以未加标记的原图作为比较基准，逐项观察目标变化、标记残留、非目标区域保持及整体协调。标记消失是输入提示被去除的现象，不构成设计质量提高的独立证据。发现窗带、座椅排列或视角偏移时，应记录失败并调整标记或使用遮罩路径，不把多次筛选后的最好结果代表全部任务表现。</w:t>
      </w:r>
    </w:p>
    <w:p>
      <w:pPr>
        <w:widowControl/>
        <w:spacing w:lineRule="exact" w:line="480" w:before="0" w:after="0"/>
        <w:ind w:firstLine="480"/>
      </w:pPr>
      <w:r>
        <w:rPr>
          <w:rFonts w:ascii="SimSun" w:hAnsi="SimSun" w:eastAsia="宋体" w:cs="SimSun"/>
          <w:b w:val="0"/>
          <w:color w:val="000000"/>
          <w:sz w:val="24"/>
        </w:rPr>
        <w:t>上述过程体现了图像、文字与视觉标记共同约束的设计编辑，是合同多模态识别与分区设计研究的一个实际切入点。这里的“辨识”强调模型对指定对象及编辑意图的条件理解，其业务正确性通过人工比较验证；个人 AI 助手的图文问答仍是另一条链路，不负责下发这些工作流，也不能替代设计任务和资产管理。</w:t>
      </w:r>
    </w:p>
    <w:p>
      <w:pPr>
        <w:pStyle w:val="Heading3"/>
        <w:spacing w:lineRule="exact" w:line="480" w:before="80" w:after="0"/>
        <w:ind w:firstLine="0"/>
      </w:pPr>
      <w:bookmarkStart w:id="21" w:name="report_heading_021"/>
      <w:r>
        <w:rPr>
          <w:rFonts w:ascii="SimSun" w:hAnsi="SimSun" w:eastAsia="宋体" w:cs="SimSun"/>
          <w:b w:val="0"/>
          <w:color w:val="000000"/>
          <w:sz w:val="28"/>
        </w:rPr>
        <w:t>1．典型任务组织与案例记录</w:t>
      </w:r>
      <w:bookmarkEnd w:id="21"/>
    </w:p>
    <w:p>
      <w:pPr>
        <w:widowControl/>
        <w:spacing w:lineRule="exact" w:line="480" w:before="0" w:after="0"/>
        <w:ind w:firstLine="480"/>
      </w:pPr>
      <w:r>
        <w:rPr>
          <w:rFonts w:ascii="SimSun" w:hAnsi="SimSun" w:eastAsia="宋体" w:cs="SimSun"/>
          <w:b w:val="0"/>
          <w:color w:val="000000"/>
          <w:sz w:val="24"/>
        </w:rPr>
        <w:t>本版选择已有客室座椅编号编辑记录开展案例分析。两次记录使用相同客室输入、相同两处编号笔画及相同种子，变化在于文字指令。原图显示两张深色座椅及红、白头枕巾，编号笔画分别指向两处头枕附近。图 11 给出从原始执行记录恢复的输入；结果图也来自原有输出，保持像素内容，不以重新生成的图代替。</w:t>
      </w:r>
    </w:p>
    <w:p>
      <w:pPr>
        <w:keepNext/>
        <w:spacing w:before="80" w:after="0" w:line="240" w:lineRule="auto"/>
        <w:ind w:firstLine="0"/>
        <w:jc w:val="center"/>
      </w:pPr>
      <w:r>
        <w:drawing>
          <wp:inline xmlns:a="http://schemas.openxmlformats.org/drawingml/2006/main" xmlns:pic="http://schemas.openxmlformats.org/drawingml/2006/picture">
            <wp:extent cx="5650992" cy="1812582"/>
            <wp:docPr id="11" name="Picture 11" descr="图 11 客室座椅编号编辑案例的输入图像"/>
            <wp:cNvGraphicFramePr>
              <a:graphicFrameLocks noChangeAspect="1"/>
            </wp:cNvGraphicFramePr>
            <a:graphic>
              <a:graphicData uri="http://schemas.openxmlformats.org/drawingml/2006/picture">
                <pic:pic>
                  <pic:nvPicPr>
                    <pic:cNvPr id="0" name="input.png"/>
                    <pic:cNvPicPr/>
                  </pic:nvPicPr>
                  <pic:blipFill>
                    <a:blip r:embed="rId22"/>
                    <a:stretch>
                      <a:fillRect/>
                    </a:stretch>
                  </pic:blipFill>
                  <pic:spPr>
                    <a:xfrm>
                      <a:off x="0" y="0"/>
                      <a:ext cx="5650992" cy="1812582"/>
                    </a:xfrm>
                    <a:prstGeom prst="rect"/>
                  </pic:spPr>
                </pic:pic>
              </a:graphicData>
            </a:graphic>
          </wp:inline>
        </w:drawing>
      </w:r>
    </w:p>
    <w:p>
      <w:pPr>
        <w:pStyle w:val="Caption"/>
        <w:keepNext w:val="0"/>
      </w:pPr>
      <w:r>
        <w:rPr>
          <w:rFonts w:ascii="SimSun" w:hAnsi="SimSun" w:eastAsia="宋体" w:cs="SimSun"/>
          <w:color w:val="000000"/>
          <w:sz w:val="24"/>
        </w:rPr>
        <w:t>图 11 客室座椅编号编辑案例的输入图像</w:t>
      </w:r>
    </w:p>
    <w:p>
      <w:pPr>
        <w:widowControl/>
        <w:spacing w:lineRule="exact" w:line="480" w:before="0" w:after="0"/>
        <w:ind w:firstLine="480"/>
      </w:pPr>
      <w:r>
        <w:rPr>
          <w:rFonts w:ascii="SimSun" w:hAnsi="SimSun" w:eastAsia="宋体" w:cs="SimSun"/>
          <w:b w:val="0"/>
          <w:color w:val="000000"/>
          <w:sz w:val="24"/>
        </w:rPr>
        <w:t>案例工作流包含模型加载、EasyMark、尺寸处理、FLUX.2 Klein条件组织、采样和保存六类节点。图 12 根据该案例保留的实际执行图整理，显示模型条件与图像输入在条件组织节点汇合。实际笔画记录为两个红色编号方框；合成参考图未单独留存，输出中的黄色编号不能当作输入标记图。</w:t>
      </w:r>
    </w:p>
    <w:p>
      <w:pPr>
        <w:keepNext/>
        <w:spacing w:before="80" w:after="0" w:line="240" w:lineRule="auto"/>
        <w:ind w:firstLine="0"/>
        <w:jc w:val="center"/>
      </w:pPr>
      <w:r>
        <w:drawing>
          <wp:inline xmlns:a="http://schemas.openxmlformats.org/drawingml/2006/main" xmlns:pic="http://schemas.openxmlformats.org/drawingml/2006/picture">
            <wp:extent cx="5650992" cy="3296412"/>
            <wp:docPr id="12" name="Picture 12" descr="图 12 客室编号编辑案例的实际工作流节点关系"/>
            <wp:cNvGraphicFramePr>
              <a:graphicFrameLocks noChangeAspect="1"/>
            </wp:cNvGraphicFramePr>
            <a:graphic>
              <a:graphicData uri="http://schemas.openxmlformats.org/drawingml/2006/picture">
                <pic:pic>
                  <pic:nvPicPr>
                    <pic:cNvPr id="0" name="figure-21.png"/>
                    <pic:cNvPicPr/>
                  </pic:nvPicPr>
                  <pic:blipFill>
                    <a:blip r:embed="rId23"/>
                    <a:stretch>
                      <a:fillRect/>
                    </a:stretch>
                  </pic:blipFill>
                  <pic:spPr>
                    <a:xfrm>
                      <a:off x="0" y="0"/>
                      <a:ext cx="5650992" cy="3296412"/>
                    </a:xfrm>
                    <a:prstGeom prst="rect"/>
                  </pic:spPr>
                </pic:pic>
              </a:graphicData>
            </a:graphic>
          </wp:inline>
        </w:drawing>
      </w:r>
    </w:p>
    <w:p>
      <w:pPr>
        <w:pStyle w:val="Caption"/>
        <w:keepNext w:val="0"/>
      </w:pPr>
      <w:r>
        <w:rPr>
          <w:rFonts w:ascii="SimSun" w:hAnsi="SimSun" w:eastAsia="宋体" w:cs="SimSun"/>
          <w:color w:val="000000"/>
          <w:sz w:val="24"/>
        </w:rPr>
        <w:t>图 12 客室编号编辑案例的实际工作流节点关系</w:t>
      </w:r>
    </w:p>
    <w:p>
      <w:pPr>
        <w:widowControl/>
        <w:spacing w:lineRule="exact" w:line="480" w:before="0" w:after="0"/>
        <w:ind w:firstLine="480"/>
      </w:pPr>
      <w:r>
        <w:rPr>
          <w:rFonts w:ascii="SimSun" w:hAnsi="SimSun" w:eastAsia="宋体" w:cs="SimSun"/>
          <w:b w:val="0"/>
          <w:color w:val="A82020"/>
          <w:sz w:val="24"/>
        </w:rPr>
        <w:t>【待补图例 M05：本案例EasyMark原生界面及实际合成标记参考图。需与上述原图、两处编号笔画和执行记录对应；当前只恢复到原图、笔画和结果，尚缺当时合成图与界面截图。图 12为执行图整理，不替代原生界面证据。】</w:t>
      </w:r>
    </w:p>
    <w:p>
      <w:pPr>
        <w:widowControl/>
        <w:spacing w:lineRule="exact" w:line="480" w:before="0" w:after="0"/>
        <w:ind w:firstLine="480"/>
      </w:pPr>
      <w:r>
        <w:rPr>
          <w:rFonts w:ascii="SimSun" w:hAnsi="SimSun" w:eastAsia="宋体" w:cs="SimSun"/>
          <w:b w:val="0"/>
          <w:color w:val="000000"/>
          <w:sz w:val="24"/>
        </w:rPr>
        <w:t>第一条指令为“1号区域替换成黄色布料材质，2号区域替换为绿色皮革材质”。图 13 中左、右座椅主要呈黄、绿色，显示模型对编号与颜色变化建立了对应，但变化扩展到整个座椅；两处编号仍在图中，头枕巾也未严格按指定材质分别呈现。该记录说明简短区域指令能够驱动变化，同时暴露目标范围不明确和标记残留问题。</w:t>
      </w:r>
    </w:p>
    <w:p>
      <w:pPr>
        <w:keepNext/>
        <w:spacing w:before="80" w:after="0" w:line="240" w:lineRule="auto"/>
        <w:ind w:firstLine="0"/>
        <w:jc w:val="center"/>
      </w:pPr>
      <w:r>
        <w:drawing>
          <wp:inline xmlns:a="http://schemas.openxmlformats.org/drawingml/2006/main" xmlns:pic="http://schemas.openxmlformats.org/drawingml/2006/picture">
            <wp:extent cx="5650992" cy="1812582"/>
            <wp:docPr id="13" name="Picture 13" descr="图 13 简短编号指令的客室编辑输出"/>
            <wp:cNvGraphicFramePr>
              <a:graphicFrameLocks noChangeAspect="1"/>
            </wp:cNvGraphicFramePr>
            <a:graphic>
              <a:graphicData uri="http://schemas.openxmlformats.org/drawingml/2006/picture">
                <pic:pic>
                  <pic:nvPicPr>
                    <pic:cNvPr id="0" name="result-196.png"/>
                    <pic:cNvPicPr/>
                  </pic:nvPicPr>
                  <pic:blipFill>
                    <a:blip r:embed="rId24"/>
                    <a:stretch>
                      <a:fillRect/>
                    </a:stretch>
                  </pic:blipFill>
                  <pic:spPr>
                    <a:xfrm>
                      <a:off x="0" y="0"/>
                      <a:ext cx="5650992" cy="1812582"/>
                    </a:xfrm>
                    <a:prstGeom prst="rect"/>
                  </pic:spPr>
                </pic:pic>
              </a:graphicData>
            </a:graphic>
          </wp:inline>
        </w:drawing>
      </w:r>
    </w:p>
    <w:p>
      <w:pPr>
        <w:pStyle w:val="Caption"/>
        <w:keepNext w:val="0"/>
      </w:pPr>
      <w:r>
        <w:rPr>
          <w:rFonts w:ascii="SimSun" w:hAnsi="SimSun" w:eastAsia="宋体" w:cs="SimSun"/>
          <w:color w:val="000000"/>
          <w:sz w:val="24"/>
        </w:rPr>
        <w:t>图 13 简短编号指令的客室编辑输出</w:t>
      </w:r>
    </w:p>
    <w:p>
      <w:pPr>
        <w:widowControl/>
        <w:spacing w:lineRule="exact" w:line="480" w:before="0" w:after="0"/>
        <w:ind w:firstLine="480"/>
      </w:pPr>
      <w:r>
        <w:rPr>
          <w:rFonts w:ascii="SimSun" w:hAnsi="SimSun" w:eastAsia="宋体" w:cs="SimSun"/>
          <w:b w:val="0"/>
          <w:color w:val="000000"/>
          <w:sz w:val="24"/>
        </w:rPr>
        <w:t>第二条指令进一步说明“1号区域头枕巾，替换成黄色布料材质，2号区域头枕巾，替换为绿色皮革材质；注意仅仅替换布料区域，座椅的相关区域不要修改”。图 14 中两张座椅的主要表面仍发生变化，编号仍然保留，目标与保持要求没有完整落实。补充文字没有在该记录中形成可接受的局部修改；材料外观是否符合工程要求，也不能只凭颜色判断。</w:t>
      </w:r>
    </w:p>
    <w:p>
      <w:pPr>
        <w:keepNext/>
        <w:spacing w:before="80" w:after="0" w:line="240" w:lineRule="auto"/>
        <w:ind w:firstLine="0"/>
        <w:jc w:val="center"/>
      </w:pPr>
      <w:r>
        <w:drawing>
          <wp:inline xmlns:a="http://schemas.openxmlformats.org/drawingml/2006/main" xmlns:pic="http://schemas.openxmlformats.org/drawingml/2006/picture">
            <wp:extent cx="5650992" cy="1812582"/>
            <wp:docPr id="14" name="Picture 14" descr="图 14 补充目标与保持要求后的客室编辑输出"/>
            <wp:cNvGraphicFramePr>
              <a:graphicFrameLocks noChangeAspect="1"/>
            </wp:cNvGraphicFramePr>
            <a:graphic>
              <a:graphicData uri="http://schemas.openxmlformats.org/drawingml/2006/picture">
                <pic:pic>
                  <pic:nvPicPr>
                    <pic:cNvPr id="0" name="result-198.png"/>
                    <pic:cNvPicPr/>
                  </pic:nvPicPr>
                  <pic:blipFill>
                    <a:blip r:embed="rId25"/>
                    <a:stretch>
                      <a:fillRect/>
                    </a:stretch>
                  </pic:blipFill>
                  <pic:spPr>
                    <a:xfrm>
                      <a:off x="0" y="0"/>
                      <a:ext cx="5650992" cy="1812582"/>
                    </a:xfrm>
                    <a:prstGeom prst="rect"/>
                  </pic:spPr>
                </pic:pic>
              </a:graphicData>
            </a:graphic>
          </wp:inline>
        </w:drawing>
      </w:r>
    </w:p>
    <w:p>
      <w:pPr>
        <w:pStyle w:val="Caption"/>
        <w:keepNext w:val="0"/>
      </w:pPr>
      <w:r>
        <w:rPr>
          <w:rFonts w:ascii="SimSun" w:hAnsi="SimSun" w:eastAsia="宋体" w:cs="SimSun"/>
          <w:color w:val="000000"/>
          <w:sz w:val="24"/>
        </w:rPr>
        <w:t>图 14 补充目标与保持要求后的客室编辑输出</w:t>
      </w:r>
    </w:p>
    <w:p>
      <w:pPr>
        <w:widowControl/>
        <w:spacing w:lineRule="exact" w:line="480" w:before="0" w:after="0"/>
        <w:ind w:firstLine="480"/>
      </w:pPr>
      <w:r>
        <w:rPr>
          <w:rFonts w:ascii="SimSun" w:hAnsi="SimSun" w:eastAsia="宋体" w:cs="SimSun"/>
          <w:b w:val="0"/>
          <w:color w:val="000000"/>
          <w:sz w:val="24"/>
        </w:rPr>
        <w:t>这组记录为工作流可以完成图文条件编辑提供实际依据，但其主要研究价值是揭示局部设计的控制问题。后续应比较不同标记范围、遮罩及兼容结构条件，记录目标达成、非目标保持和标记残留。当前记录没有完整准备耗时、人工评价或重复试验统计，因而不用于证明设计提速幅度或自动识别精度。平台方案据此需要保留原图、标记、指令、完整输出和失败原因，并支持并列比较及确认后复用。</w:t>
      </w:r>
    </w:p>
    <w:p>
      <w:pPr>
        <w:widowControl/>
        <w:spacing w:lineRule="exact" w:line="480" w:before="0" w:after="0"/>
        <w:ind w:firstLine="480"/>
      </w:pPr>
      <w:r>
        <w:rPr>
          <w:rFonts w:ascii="SimSun" w:hAnsi="SimSun" w:eastAsia="宋体" w:cs="SimSun"/>
          <w:b w:val="0"/>
          <w:color w:val="000000"/>
          <w:sz w:val="24"/>
        </w:rPr>
        <w:t>真实案例采用同源资料组管理：原图、实际标记图、文字指令、生成结果和评价记录应对应同一任务。图片可以作并列排版，但保留相同视角和可比较范围，不用不同来源图像拼接出效果提升。案例评价记录目标达成、边界保持、残留标记和失败原因，耗时记录包含准备、等待和返工；没有完整任务依据时，不据单张结果图形成定量结论。</w:t>
      </w:r>
    </w:p>
    <w:p>
      <w:pPr>
        <w:pStyle w:val="Heading2"/>
        <w:spacing w:lineRule="exact" w:line="480" w:before="80" w:after="0"/>
        <w:ind w:firstLine="0"/>
      </w:pPr>
      <w:bookmarkStart w:id="22" w:name="report_heading_022"/>
      <w:r>
        <w:rPr>
          <w:rFonts w:ascii="KaiTi" w:hAnsi="KaiTi" w:eastAsia="楷体" w:cs="KaiTi"/>
          <w:b w:val="0"/>
          <w:color w:val="000000"/>
          <w:sz w:val="28"/>
        </w:rPr>
        <w:t>（三）设计输入与参数配置</w:t>
      </w:r>
      <w:bookmarkEnd w:id="22"/>
    </w:p>
    <w:p>
      <w:pPr>
        <w:widowControl/>
        <w:spacing w:lineRule="exact" w:line="480" w:before="0" w:after="0"/>
        <w:ind w:firstLine="480"/>
      </w:pPr>
      <w:r>
        <w:rPr>
          <w:rFonts w:ascii="SimSun" w:hAnsi="SimSun" w:eastAsia="宋体" w:cs="SimSun"/>
          <w:b w:val="0"/>
          <w:color w:val="000000"/>
          <w:sz w:val="24"/>
        </w:rPr>
        <w:t>有效的设计输入包括目标对象、预期变化、需要保持的内容和参考素材。目标对象可由文字配合标记或遮罩定位；预期变化应尽量具体，例如某区域的材料表现或颜色关系；保持条件说明不希望改变的开口、排列、视角和背景。输入中存在冲突时应先由设计人员整理，不能假设生成模型会自动解决相互矛盾的要求。</w:t>
      </w:r>
    </w:p>
    <w:p>
      <w:pPr>
        <w:widowControl/>
        <w:spacing w:lineRule="exact" w:line="480" w:before="0" w:after="0"/>
        <w:ind w:firstLine="480"/>
      </w:pPr>
      <w:r>
        <w:rPr>
          <w:rFonts w:ascii="SimSun" w:hAnsi="SimSun" w:eastAsia="宋体" w:cs="SimSun"/>
          <w:b w:val="0"/>
          <w:color w:val="000000"/>
          <w:sz w:val="24"/>
        </w:rPr>
        <w:t>当前平台按能力契约组织参数与素材槽位。需要多张图片的能力必须检查数量和顺序，素材不足时不得提交；三维生成所需的前、左、后、右四视图与单图多角度生成是不同输入条件。已登记素材才能成为后续任务的输入。相关控制保证任务输入可解释，但不代表多张参考图在语义、尺寸和视角上已经由系统自动对齐。</w:t>
      </w:r>
    </w:p>
    <w:p>
      <w:pPr>
        <w:widowControl/>
        <w:spacing w:lineRule="exact" w:line="480" w:before="0" w:after="0"/>
        <w:ind w:firstLine="480"/>
      </w:pPr>
      <w:r>
        <w:rPr>
          <w:rFonts w:ascii="SimSun" w:hAnsi="SimSun" w:eastAsia="宋体" w:cs="SimSun"/>
          <w:b w:val="0"/>
          <w:color w:val="000000"/>
          <w:sz w:val="24"/>
        </w:rPr>
        <w:t>提示词模板可按业务模式维护分类和选项，帮助用户组合常用颜色、材质、纹样及环境描述。模板的作用是统一输入表达、减少重复录入，不是工程参数计算器。管理员维护模板内容，普通用户选择并调整具体描述；研究阶段应比较模板与自由输入的目标明确程度和重复使用效果，并保留不适用样例。</w:t>
      </w:r>
    </w:p>
    <w:p>
      <w:pPr>
        <w:widowControl/>
        <w:spacing w:lineRule="exact" w:line="480" w:before="0" w:after="0"/>
        <w:ind w:firstLine="480"/>
      </w:pPr>
      <w:r>
        <w:rPr>
          <w:rFonts w:ascii="SimSun" w:hAnsi="SimSun" w:eastAsia="宋体" w:cs="SimSun"/>
          <w:b w:val="0"/>
          <w:color w:val="000000"/>
          <w:sz w:val="24"/>
        </w:rPr>
        <w:t>工程参数化是后续需要深入的研究内容。尺寸、位置、接口和适用范围要形成明确字段、单位、取值约束和依据；参数之间存在依赖时，需要定义驱动顺序和异常处理。只有将这些内容落实为可操作、可计算和可验证的功能，才可以认定形成工程参数化能力。现有提示词和生成参数不应承担未经实现的尺寸联动或装配求解功能。</w:t>
      </w:r>
    </w:p>
    <w:p>
      <w:pPr>
        <w:pStyle w:val="Heading2"/>
        <w:spacing w:lineRule="exact" w:line="480" w:before="80" w:after="0"/>
        <w:ind w:firstLine="0"/>
      </w:pPr>
      <w:bookmarkStart w:id="23" w:name="report_heading_023"/>
      <w:r>
        <w:rPr>
          <w:rFonts w:ascii="KaiTi" w:hAnsi="KaiTi" w:eastAsia="楷体" w:cs="KaiTi"/>
          <w:b w:val="0"/>
          <w:color w:val="000000"/>
          <w:sz w:val="28"/>
        </w:rPr>
        <w:t>（四）局部修改与结果比较</w:t>
      </w:r>
      <w:bookmarkEnd w:id="23"/>
    </w:p>
    <w:p>
      <w:pPr>
        <w:widowControl/>
        <w:spacing w:lineRule="exact" w:line="480" w:before="0" w:after="0"/>
        <w:ind w:firstLine="480"/>
      </w:pPr>
      <w:r>
        <w:rPr>
          <w:rFonts w:ascii="SimSun" w:hAnsi="SimSun" w:eastAsia="宋体" w:cs="SimSun"/>
          <w:b w:val="0"/>
          <w:color w:val="000000"/>
          <w:sz w:val="24"/>
        </w:rPr>
        <w:t>快速设计应保持一轮任务对应一组清晰的输入条件。对于同一底图的材质、形态或色彩探索，宜采用多个独立轮次保留差异，而不是覆盖原图和历史任务。当前历史输入修改重发会形成新轮次，原记录保留；结果可以继续作为素材深化，但应保留来源关系。研究时可沿这条关系检查变更是否只发生在目标区域，以及多轮修改是否逐步偏离初始要求。</w:t>
      </w:r>
    </w:p>
    <w:p>
      <w:pPr>
        <w:widowControl/>
        <w:spacing w:lineRule="exact" w:line="480" w:before="0" w:after="0"/>
        <w:ind w:firstLine="480"/>
      </w:pPr>
      <w:r>
        <w:rPr>
          <w:rFonts w:ascii="SimSun" w:hAnsi="SimSun" w:eastAsia="宋体" w:cs="SimSun"/>
          <w:b w:val="0"/>
          <w:color w:val="000000"/>
          <w:sz w:val="24"/>
        </w:rPr>
        <w:t>比较应至少包括目标达成、非目标保持和整体协调三个方面。目标达成关注是否完成指定变化，非目标保持关注其他区域是否出现非预期改变，整体协调关注修改后与周边视觉关系是否合理。图像对比滑块和多图查看提供观察手段，最终判断仍由设计人员完成。系统不应将“生成成功”或“已下载”解释为方案质量通过。</w:t>
      </w:r>
    </w:p>
    <w:p>
      <w:pPr>
        <w:widowControl/>
        <w:spacing w:lineRule="exact" w:line="480" w:before="0" w:after="0"/>
        <w:ind w:firstLine="480"/>
      </w:pPr>
      <w:r>
        <w:rPr>
          <w:rFonts w:ascii="SimSun" w:hAnsi="SimSun" w:eastAsia="宋体" w:cs="SimSun"/>
          <w:b w:val="0"/>
          <w:color w:val="000000"/>
          <w:sz w:val="24"/>
        </w:rPr>
        <w:t>重复试验需要固定底图与基本要求，并记录随机因素和参数配置。在同一配置下结果可能仍有变化，应保存全部试验结果而非只保留最好的一张。评价可以记录可接受结果占比、需要重做的原因和人工调整轮次。对于无法稳定保持关键结构的任务，应缩小修改范围或调整方法，不应仅增加生成次数后宣称问题已经解决。</w:t>
      </w:r>
    </w:p>
    <w:p>
      <w:pPr>
        <w:pStyle w:val="Heading2"/>
        <w:spacing w:lineRule="exact" w:line="480" w:before="80" w:after="0"/>
        <w:ind w:firstLine="0"/>
      </w:pPr>
      <w:bookmarkStart w:id="24" w:name="report_heading_024"/>
      <w:r>
        <w:rPr>
          <w:rFonts w:ascii="KaiTi" w:hAnsi="KaiTi" w:eastAsia="楷体" w:cs="KaiTi"/>
          <w:b w:val="0"/>
          <w:color w:val="000000"/>
          <w:sz w:val="28"/>
        </w:rPr>
        <w:t>（五）规则与工程约束的建设方法</w:t>
      </w:r>
      <w:bookmarkEnd w:id="24"/>
    </w:p>
    <w:p>
      <w:pPr>
        <w:widowControl/>
        <w:spacing w:lineRule="exact" w:line="480" w:before="0" w:after="0"/>
        <w:ind w:firstLine="480"/>
      </w:pPr>
      <w:r>
        <w:rPr>
          <w:rFonts w:ascii="SimSun" w:hAnsi="SimSun" w:eastAsia="宋体" w:cs="SimSun"/>
          <w:b w:val="0"/>
          <w:color w:val="000000"/>
          <w:sz w:val="24"/>
        </w:rPr>
        <w:t>合同要求对尺寸、位置、接口、区域边界和适用范围开展校验。当前平台已具备身份、输入类型、数量和参数合法性等业务校验，但这与工程规则校核不同。后续应从真实设计资料中提取可验证的约束，先形成规则清单和手工判定样例，再研究哪些规则能够自动化，哪些需要专业计算或人工评审。</w:t>
      </w:r>
    </w:p>
    <w:p>
      <w:pPr>
        <w:widowControl/>
        <w:spacing w:lineRule="exact" w:line="480" w:before="0" w:after="0"/>
        <w:ind w:firstLine="480"/>
      </w:pPr>
      <w:r>
        <w:rPr>
          <w:rFonts w:ascii="SimSun" w:hAnsi="SimSun" w:eastAsia="宋体" w:cs="SimSun"/>
          <w:b w:val="0"/>
          <w:color w:val="000000"/>
          <w:sz w:val="24"/>
        </w:rPr>
        <w:t>规则条目建议包含适用对象、依据文件、触发条件、判断方式、结果等级和处置要求。能够直接由结构化参数判断的规则可优先实现；只依赖效果图、无法获得真实尺寸的规则应保持人工检查；涉及工程安全或标准适用性的判断应由责任专业确认。规则范围不得由通用模型自行编造，也不能把经验性建议包装为强制规范。</w:t>
      </w:r>
    </w:p>
    <w:p>
      <w:pPr>
        <w:pStyle w:val="Caption"/>
        <w:keepNext/>
        <w:jc w:val="center"/>
      </w:pPr>
      <w:r>
        <w:rPr>
          <w:rFonts w:ascii="SimSun" w:hAnsi="SimSun" w:eastAsia="宋体" w:cs="SimSun"/>
          <w:color w:val="000000"/>
          <w:sz w:val="24"/>
        </w:rPr>
        <w:t>表 5 设计约束的研究与实现分工</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188"/>
        <w:gridCol w:w="3074"/>
        <w:gridCol w:w="3710"/>
      </w:tblGrid>
      <w:tr>
        <w:trPr>
          <w:cantSplit w:val="true"/>
          <w:tblHeader w:val="true"/>
        </w:trPr>
        <w:tc>
          <w:tcPr>
            <w:tcW w:type="dxa" w:w="218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约束类别</w:t>
            </w:r>
          </w:p>
        </w:tc>
        <w:tc>
          <w:tcPr>
            <w:tcW w:type="dxa" w:w="307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数据前提</w:t>
            </w:r>
          </w:p>
        </w:tc>
        <w:tc>
          <w:tcPr>
            <w:tcW w:type="dxa" w:w="371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处理方法及当前边界</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输入合法性</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用户、项目、素材及能力契约</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平台已有校验链路，继续测试异常输入</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区域修改范围</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原图、标记或遮罩、设计要求</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现有交互支撑表达，结果由人工复核</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尺寸与安装接口</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真实尺寸、单位及批准资料</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拟研究结构化校核，不能由效果图判定</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车型与材料适用性</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适用条件、材料资料与规则</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先整理清单，再确认自动检查范围</w:t>
            </w:r>
          </w:p>
        </w:tc>
      </w:tr>
      <w:tr>
        <w:trPr>
          <w:cantSplit w:val="true"/>
        </w:trPr>
        <w:tc>
          <w:tcPr>
            <w:tcW w:type="dxa" w:w="218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美观与整体协调</w:t>
            </w:r>
          </w:p>
        </w:tc>
        <w:tc>
          <w:tcPr>
            <w:tcW w:type="dxa" w:w="307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对比方案及评价口径</w:t>
            </w:r>
          </w:p>
        </w:tc>
        <w:tc>
          <w:tcPr>
            <w:tcW w:type="dxa" w:w="37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设计人员评价，可研究辅助评分</w:t>
            </w:r>
          </w:p>
        </w:tc>
      </w:tr>
    </w:tbl>
    <w:p>
      <w:pPr>
        <w:widowControl/>
        <w:spacing w:lineRule="exact" w:line="480" w:before="0" w:after="0"/>
        <w:ind w:firstLine="480"/>
      </w:pPr>
      <w:r>
        <w:rPr>
          <w:rFonts w:ascii="SimSun" w:hAnsi="SimSun" w:eastAsia="宋体" w:cs="SimSun"/>
          <w:b w:val="0"/>
          <w:color w:val="000000"/>
          <w:sz w:val="24"/>
        </w:rPr>
        <w:t>规则测试应覆盖符合、不符合、边界值、信息缺失和多条规则冲突。信息缺失不能默认通过；不同来源相互冲突时应返回待确认问题。规则更新后需要检查原有典型方案的判定是否改变，并保存变更理由。规则编辑、例外审批和影响分析尚需根据上述方法开展详细设计与验证。</w:t>
      </w:r>
    </w:p>
    <w:p>
      <w:pPr>
        <w:pStyle w:val="Heading2"/>
        <w:spacing w:lineRule="exact" w:line="480" w:before="80" w:after="0"/>
        <w:ind w:firstLine="0"/>
      </w:pPr>
      <w:bookmarkStart w:id="25" w:name="report_heading_025"/>
      <w:r>
        <w:rPr>
          <w:rFonts w:ascii="KaiTi" w:hAnsi="KaiTi" w:eastAsia="楷体" w:cs="KaiTi"/>
          <w:b w:val="0"/>
          <w:color w:val="000000"/>
          <w:sz w:val="28"/>
        </w:rPr>
        <w:t>（六）跨区域协同优化</w:t>
      </w:r>
      <w:bookmarkEnd w:id="25"/>
    </w:p>
    <w:p>
      <w:pPr>
        <w:widowControl/>
        <w:spacing w:lineRule="exact" w:line="480" w:before="0" w:after="0"/>
        <w:ind w:firstLine="480"/>
      </w:pPr>
      <w:r>
        <w:rPr>
          <w:rFonts w:ascii="SimSun" w:hAnsi="SimSun" w:eastAsia="宋体" w:cs="SimSun"/>
          <w:b w:val="0"/>
          <w:color w:val="000000"/>
          <w:sz w:val="24"/>
        </w:rPr>
        <w:t>跨区域优化的研究对象是局部变化对相邻空间、功能和视觉表达的影响。侧墙调整可能影响顶部过渡和座椅背景，地板变化可能影响门区和座椅区域的视觉分隔，端墙变化可能影响设备开口及整体视觉中心。首先应由设计人员识别真实关联，再决定是否需要同步修改，不能对所有区域无差别连线或自动重绘。</w:t>
      </w:r>
    </w:p>
    <w:p>
      <w:pPr>
        <w:widowControl/>
        <w:spacing w:lineRule="exact" w:line="480" w:before="0" w:after="0"/>
        <w:ind w:firstLine="480"/>
      </w:pPr>
      <w:r>
        <w:rPr>
          <w:rFonts w:ascii="SimSun" w:hAnsi="SimSun" w:eastAsia="宋体" w:cs="SimSun"/>
          <w:b w:val="0"/>
          <w:color w:val="000000"/>
          <w:sz w:val="24"/>
        </w:rPr>
        <w:t>研究建议使用“变化对象、关联区域、影响内容、检查依据、处置结果”的记录方式。图 15 以一个侧墙修改任务展示方法：先确定修改范围，再分别检查顶部衔接、座椅背景和门区过渡，最后合并为是否需要补充修改的判断。图中的关系是研究检查路径，不表示当前系统会自动识别全部邻接对象或执行全局优化。</w:t>
      </w:r>
    </w:p>
    <w:p>
      <w:pPr>
        <w:keepNext/>
        <w:spacing w:before="80" w:after="0" w:line="240" w:lineRule="auto"/>
        <w:ind w:firstLine="0"/>
        <w:jc w:val="center"/>
      </w:pPr>
      <w:r>
        <w:drawing>
          <wp:inline xmlns:a="http://schemas.openxmlformats.org/drawingml/2006/main" xmlns:pic="http://schemas.openxmlformats.org/drawingml/2006/picture">
            <wp:extent cx="5650992" cy="3202229"/>
            <wp:docPr id="15" name="Picture 15" descr="图 15 局部修改后的跨区域检查方法"/>
            <wp:cNvGraphicFramePr>
              <a:graphicFrameLocks noChangeAspect="1"/>
            </wp:cNvGraphicFramePr>
            <a:graphic>
              <a:graphicData uri="http://schemas.openxmlformats.org/drawingml/2006/picture">
                <pic:pic>
                  <pic:nvPicPr>
                    <pic:cNvPr id="0" name="figure-08.png"/>
                    <pic:cNvPicPr/>
                  </pic:nvPicPr>
                  <pic:blipFill>
                    <a:blip r:embed="rId26"/>
                    <a:stretch>
                      <a:fillRect/>
                    </a:stretch>
                  </pic:blipFill>
                  <pic:spPr>
                    <a:xfrm>
                      <a:off x="0" y="0"/>
                      <a:ext cx="5650992" cy="3202229"/>
                    </a:xfrm>
                    <a:prstGeom prst="rect"/>
                  </pic:spPr>
                </pic:pic>
              </a:graphicData>
            </a:graphic>
          </wp:inline>
        </w:drawing>
      </w:r>
    </w:p>
    <w:p>
      <w:pPr>
        <w:pStyle w:val="Caption"/>
        <w:keepNext w:val="0"/>
      </w:pPr>
      <w:r>
        <w:rPr>
          <w:rFonts w:ascii="SimSun" w:hAnsi="SimSun" w:eastAsia="宋体" w:cs="SimSun"/>
          <w:color w:val="000000"/>
          <w:sz w:val="24"/>
        </w:rPr>
        <w:t>图 15 局部修改后的跨区域检查方法</w:t>
      </w:r>
    </w:p>
    <w:p>
      <w:pPr>
        <w:widowControl/>
        <w:spacing w:lineRule="exact" w:line="480" w:before="0" w:after="0"/>
        <w:ind w:firstLine="480"/>
      </w:pPr>
      <w:r>
        <w:rPr>
          <w:rFonts w:ascii="SimSun" w:hAnsi="SimSun" w:eastAsia="宋体" w:cs="SimSun"/>
          <w:b w:val="0"/>
          <w:color w:val="000000"/>
          <w:sz w:val="24"/>
        </w:rPr>
        <w:t>优化过程可先人工检查，再逐步结构化。对于有明确尺寸和接口条件的关联，可研究规则判断；对于色彩、纹理方向和视觉连续性，可研究局部对比与专业评分；对于多个可行方案，应保留分项评价而不是只给出综合分。这样可以看出某方案在整体协调方面较好、但需要更多人工调整的实际差异。</w:t>
      </w:r>
    </w:p>
    <w:p>
      <w:pPr>
        <w:widowControl/>
        <w:spacing w:lineRule="exact" w:line="480" w:before="0" w:after="0"/>
        <w:ind w:firstLine="480"/>
      </w:pPr>
      <w:r>
        <w:rPr>
          <w:rFonts w:ascii="SimSun" w:hAnsi="SimSun" w:eastAsia="宋体" w:cs="SimSun"/>
          <w:b w:val="0"/>
          <w:color w:val="000000"/>
          <w:sz w:val="24"/>
        </w:rPr>
        <w:t>跨区域研究的对照任务应固定相同整体底图和修改目标，比较单区域独立修改与按照关联检查清单调整后的结果。记录被影响区域、新增调整次数、视觉一致性评价和未决问题。若评价人员意见分歧较大，应分析判断口径和样本特征，不能通过任意设置权重强行形成一致排序。</w:t>
      </w:r>
    </w:p>
    <w:p>
      <w:pPr>
        <w:pStyle w:val="Heading2"/>
        <w:spacing w:lineRule="exact" w:line="480" w:before="80" w:after="0"/>
        <w:ind w:firstLine="0"/>
      </w:pPr>
      <w:bookmarkStart w:id="26" w:name="report_heading_026"/>
      <w:r>
        <w:rPr>
          <w:rFonts w:ascii="KaiTi" w:hAnsi="KaiTi" w:eastAsia="楷体" w:cs="KaiTi"/>
          <w:b w:val="0"/>
          <w:color w:val="000000"/>
          <w:sz w:val="28"/>
        </w:rPr>
        <w:t>（七）成果检索与复用</w:t>
      </w:r>
      <w:bookmarkEnd w:id="26"/>
    </w:p>
    <w:p>
      <w:pPr>
        <w:widowControl/>
        <w:spacing w:lineRule="exact" w:line="480" w:before="0" w:after="0"/>
        <w:ind w:firstLine="480"/>
      </w:pPr>
      <w:r>
        <w:rPr>
          <w:rFonts w:ascii="SimSun" w:hAnsi="SimSun" w:eastAsia="宋体" w:cs="SimSun"/>
          <w:b w:val="0"/>
          <w:color w:val="000000"/>
          <w:sz w:val="24"/>
        </w:rPr>
        <w:t>现有资产中心提供项目范围内的目录、标签、名称及编号搜索、类型筛选和排序，为设计资料与结果查找提供基础。颜色、材料、区域和模块信息可以先按约定命名、目录和标签组织，但专门的结构化字段查询、视觉相似检索、向量召回和评价排序仍需进一步建设。报告不将普通关键词搜索表述为已经形成智能知识检索。</w:t>
      </w:r>
    </w:p>
    <w:p>
      <w:pPr>
        <w:widowControl/>
        <w:spacing w:lineRule="exact" w:line="480" w:before="0" w:after="0"/>
        <w:ind w:firstLine="480"/>
      </w:pPr>
      <w:r>
        <w:rPr>
          <w:rFonts w:ascii="SimSun" w:hAnsi="SimSun" w:eastAsia="宋体" w:cs="SimSun"/>
          <w:b w:val="0"/>
          <w:color w:val="000000"/>
          <w:sz w:val="24"/>
        </w:rPr>
        <w:t>后续检索研究可先建立有明确相关性判断的查询任务，比较现有关键词方式与候选增强方式。评价应关注目标资料是否找到、前列结果是否相关、检索时间以及用户能否判断适用范围。无论采用何种检索方法，都必须先遵守项目权限和资料授权，不能为提高召回范围直接向用户暴露其他项目的内容。</w:t>
      </w:r>
    </w:p>
    <w:p>
      <w:pPr>
        <w:widowControl/>
        <w:spacing w:lineRule="exact" w:line="480" w:before="0" w:after="0"/>
        <w:ind w:firstLine="480"/>
      </w:pPr>
      <w:r>
        <w:rPr>
          <w:rFonts w:ascii="SimSun" w:hAnsi="SimSun" w:eastAsia="宋体" w:cs="SimSun"/>
          <w:b w:val="0"/>
          <w:color w:val="000000"/>
          <w:sz w:val="24"/>
        </w:rPr>
        <w:t>复用需要保存来源素材、原任务与新任务的关系。当前会话内的深化设计已经要求素材登记后再进入兼容能力；跨项目的正式方案共享与模块复用则需要另行明确权限和适用范围。可以查到文件不等于允许用于其他项目，已登记资产也不等于其材料、接口或品牌表达适用于新的车型。</w:t>
      </w:r>
    </w:p>
    <w:p>
      <w:pPr>
        <w:pStyle w:val="Heading1"/>
        <w:pageBreakBefore/>
        <w:spacing w:lineRule="exact" w:line="480" w:before="0" w:after="0"/>
        <w:ind w:firstLine="0"/>
      </w:pPr>
      <w:bookmarkStart w:id="27" w:name="report_heading_027"/>
      <w:r>
        <w:rPr>
          <w:rFonts w:ascii="SimHei" w:hAnsi="SimHei" w:eastAsia="黑体" w:cs="SimHei"/>
          <w:b/>
          <w:color w:val="000000"/>
          <w:sz w:val="28"/>
        </w:rPr>
        <w:t>四、平台总体构建方案</w:t>
      </w:r>
      <w:bookmarkEnd w:id="27"/>
    </w:p>
    <w:p>
      <w:pPr>
        <w:pStyle w:val="Heading2"/>
        <w:spacing w:lineRule="exact" w:line="480" w:before="80" w:after="0"/>
        <w:ind w:firstLine="0"/>
      </w:pPr>
      <w:bookmarkStart w:id="28" w:name="report_heading_028"/>
      <w:r>
        <w:rPr>
          <w:rFonts w:ascii="KaiTi" w:hAnsi="KaiTi" w:eastAsia="楷体" w:cs="KaiTi"/>
          <w:b w:val="0"/>
          <w:color w:val="000000"/>
          <w:sz w:val="28"/>
        </w:rPr>
        <w:t>（一）分层总体架构</w:t>
      </w:r>
      <w:bookmarkEnd w:id="28"/>
    </w:p>
    <w:p>
      <w:pPr>
        <w:widowControl/>
        <w:spacing w:lineRule="exact" w:line="480" w:before="0" w:after="0"/>
        <w:ind w:firstLine="480"/>
      </w:pPr>
      <w:r>
        <w:rPr>
          <w:rFonts w:ascii="SimSun" w:hAnsi="SimSun" w:eastAsia="宋体" w:cs="SimSun"/>
          <w:b w:val="0"/>
          <w:color w:val="000000"/>
          <w:sz w:val="24"/>
        </w:rPr>
        <w:t>本章依据前文提出的资料复用需求、方法输出和工作流评价结果，落实用户操作、能力执行、数据保存及运行环境。编号案例中出现的对象范围和保持问题，转化为应用层的输入确认及结果比较要求；原始条件与输出的追溯要求，转化为软件支撑层的任务记录及数据层的来源关系。</w:t>
      </w:r>
    </w:p>
    <w:p>
      <w:pPr>
        <w:widowControl/>
        <w:spacing w:lineRule="exact" w:line="480" w:before="0" w:after="0"/>
        <w:ind w:firstLine="480"/>
      </w:pPr>
      <w:commentRangeStart w:id="6"/>
      <w:r>
        <w:rPr>
          <w:rFonts w:ascii="SimSun" w:hAnsi="SimSun" w:eastAsia="宋体" w:cs="SimSun"/>
          <w:b w:val="0"/>
          <w:color w:val="000000"/>
          <w:sz w:val="24"/>
        </w:rPr>
        <w:t>平台架构承接前文的模块划分、条件编辑、候选识别及跨区域检查方法，采用稳定业务框架与可替换能力适配器分离的结构。研究方法通过明确的输入、确认、任务和输出关系进入平台，平台再用身份权限、资料管理、过程记录和失败处理保证方法可持续使用。系统整体能力由数据、业务和外部模型共同构成，不能仅以模型可调用判断平台构建完成。</w:t>
      </w:r>
      <w:commentRangeEnd w:id="6"/>
      <w:r>
        <w:rPr>
          <w:rStyle w:val="CommentReference"/>
        </w:rPr>
        <w:commentReference w:id="6"/>
      </w:r>
    </w:p>
    <w:p>
      <w:pPr>
        <w:widowControl/>
        <w:spacing w:lineRule="exact" w:line="480" w:before="0" w:after="0"/>
        <w:ind w:firstLine="480"/>
      </w:pPr>
      <w:r>
        <w:rPr>
          <w:rFonts w:ascii="SimSun" w:hAnsi="SimSun" w:eastAsia="宋体" w:cs="SimSun"/>
          <w:b w:val="0"/>
          <w:color w:val="000000"/>
          <w:sz w:val="24"/>
        </w:rPr>
        <w:t>技术方案中的基础层、软件支撑层、数据层和应用层提供总体分工。本报告在其上显式展开用户层，形成图 16 的五层逻辑架构：用户层明确操作及专业确认责任，应用层承载设计任务，软件支撑层组织权限、任务与能力适配，数据层保存对象与过程，基础层提供计算、存储和运行环境。它是职责分层，不要求每层部署成独立服务；现有功能与拟建研究能力分别标识。</w:t>
      </w:r>
    </w:p>
    <w:p>
      <w:pPr>
        <w:keepNext/>
        <w:spacing w:before="80" w:after="0" w:line="240" w:lineRule="auto"/>
        <w:ind w:firstLine="0"/>
        <w:jc w:val="center"/>
      </w:pPr>
      <w:r>
        <w:drawing>
          <wp:inline xmlns:a="http://schemas.openxmlformats.org/drawingml/2006/main" xmlns:pic="http://schemas.openxmlformats.org/drawingml/2006/picture">
            <wp:extent cx="5650992" cy="5085893"/>
            <wp:docPr id="16" name="Picture 16" descr="图 16 平台五层逻辑架构与实际技术对应"/>
            <wp:cNvGraphicFramePr>
              <a:graphicFrameLocks noChangeAspect="1"/>
            </wp:cNvGraphicFramePr>
            <a:graphic>
              <a:graphicData uri="http://schemas.openxmlformats.org/drawingml/2006/picture">
                <pic:pic>
                  <pic:nvPicPr>
                    <pic:cNvPr id="0" name="figure-22.png"/>
                    <pic:cNvPicPr/>
                  </pic:nvPicPr>
                  <pic:blipFill>
                    <a:blip r:embed="rId27"/>
                    <a:stretch>
                      <a:fillRect/>
                    </a:stretch>
                  </pic:blipFill>
                  <pic:spPr>
                    <a:xfrm>
                      <a:off x="0" y="0"/>
                      <a:ext cx="5650992" cy="5085893"/>
                    </a:xfrm>
                    <a:prstGeom prst="rect"/>
                  </pic:spPr>
                </pic:pic>
              </a:graphicData>
            </a:graphic>
          </wp:inline>
        </w:drawing>
      </w:r>
    </w:p>
    <w:p>
      <w:pPr>
        <w:pStyle w:val="Caption"/>
        <w:keepNext w:val="0"/>
      </w:pPr>
      <w:r>
        <w:rPr>
          <w:rFonts w:ascii="SimSun" w:hAnsi="SimSun" w:eastAsia="宋体" w:cs="SimSun"/>
          <w:color w:val="000000"/>
          <w:sz w:val="24"/>
        </w:rPr>
        <w:t>图 16 平台五层逻辑架构与实际技术对应</w:t>
      </w:r>
    </w:p>
    <w:p>
      <w:pPr>
        <w:widowControl/>
        <w:spacing w:lineRule="exact" w:line="480" w:before="0" w:after="0"/>
        <w:ind w:firstLine="480"/>
      </w:pPr>
      <w:commentRangeStart w:id="7"/>
      <w:r>
        <w:rPr>
          <w:rFonts w:ascii="SimSun" w:hAnsi="SimSun" w:eastAsia="宋体" w:cs="SimSun"/>
          <w:b w:val="0"/>
          <w:color w:val="000000"/>
          <w:sz w:val="24"/>
        </w:rPr>
        <w:t>应用交互采用Vue 3、TypeScript与Vite组织页面，界面组件采用Ant Design Vue及既有Vben体系；后端采用Node.js运行环境及Nitro/H3组织业务服务，独立执行进程处理设计任务。关系数据采用PostgreSQL，私有文件采用MinIO兼容S3接口存储。ComfyUI承载图像设计工作流，模型运行与业务服务分别配置。图 16按职责标明这些技术的位置，各层详细方案沿用下述小节展开。</w:t>
      </w:r>
      <w:commentRangeEnd w:id="7"/>
      <w:r>
        <w:rPr>
          <w:rStyle w:val="CommentReference"/>
        </w:rPr>
        <w:commentReference w:id="7"/>
      </w:r>
    </w:p>
    <w:p>
      <w:pPr>
        <w:pStyle w:val="Heading2"/>
        <w:spacing w:lineRule="exact" w:line="480" w:before="80" w:after="0"/>
        <w:ind w:firstLine="0"/>
      </w:pPr>
      <w:bookmarkStart w:id="29" w:name="report_heading_029"/>
      <w:r>
        <w:rPr>
          <w:rFonts w:ascii="KaiTi" w:hAnsi="KaiTi" w:eastAsia="楷体" w:cs="KaiTi"/>
          <w:b w:val="0"/>
          <w:color w:val="000000"/>
          <w:sz w:val="28"/>
        </w:rPr>
        <w:t>（二）用户层与应用层</w:t>
      </w:r>
      <w:bookmarkEnd w:id="29"/>
    </w:p>
    <w:p>
      <w:pPr>
        <w:widowControl/>
        <w:spacing w:lineRule="exact" w:line="480" w:before="0" w:after="0"/>
        <w:ind w:firstLine="480"/>
      </w:pPr>
      <w:r>
        <w:rPr>
          <w:rFonts w:ascii="SimSun" w:hAnsi="SimSun" w:eastAsia="宋体" w:cs="SimSun"/>
          <w:b w:val="0"/>
          <w:color w:val="000000"/>
          <w:sz w:val="24"/>
        </w:rPr>
        <w:t>用户层包含设计使用、项目协作和平台管理等职责。专业复核是业务活动，不据此增加现有系统之外的账号角色。设计人员确认原图与对象、组织标记和指令并判断结果；项目协作负责资料范围和成果组织；平台管理负责账号、能力配置和运行管理。界面应让用户知道当前项目、输入来源及操作后果，减少跨项目误用和历史记录混淆。</w:t>
      </w:r>
    </w:p>
    <w:p>
      <w:pPr>
        <w:widowControl/>
        <w:spacing w:lineRule="exact" w:line="480" w:before="0" w:after="0"/>
        <w:ind w:firstLine="480"/>
      </w:pPr>
      <w:r>
        <w:rPr>
          <w:rFonts w:ascii="SimSun" w:hAnsi="SimSun" w:eastAsia="宋体" w:cs="SimSun"/>
          <w:b w:val="0"/>
          <w:color w:val="000000"/>
          <w:sz w:val="24"/>
        </w:rPr>
        <w:t>应用层以设计生成、资产中心、设计工作台、模型训练、报告生成及首页为现有入口。设计页面保留会话、素材、参数及多轮结果，各业务模式共享工作流能力并保持各自提示和参数上下文。内装模块对象选择、候选分割确认和规则检查按研究结果扩展到相应业务位置，不另建相互隔离的账号、资料和任务系统。</w:t>
      </w:r>
    </w:p>
    <w:p>
      <w:pPr>
        <w:widowControl/>
        <w:spacing w:lineRule="exact" w:line="480" w:before="0" w:after="0"/>
        <w:ind w:firstLine="480"/>
      </w:pPr>
      <w:r>
        <w:rPr>
          <w:rFonts w:ascii="SimSun" w:hAnsi="SimSun" w:eastAsia="宋体" w:cs="SimSun"/>
          <w:b w:val="0"/>
          <w:color w:val="000000"/>
          <w:sz w:val="24"/>
        </w:rPr>
        <w:t>个人图文助手在用户自己的会话范围内组织问答，不经由项目设计任务执行。其文字与图片输入可用于交流设计问题，但不会自动触发 ComfyUI、训练或报告任务。把个人会话与项目设计分开，有利于同时保持交流便利与成果权限清晰；共享基础存储并不意味着二者可以相互读取全部内容。</w:t>
      </w:r>
    </w:p>
    <w:p>
      <w:pPr>
        <w:pStyle w:val="Heading2"/>
        <w:spacing w:lineRule="exact" w:line="480" w:before="80" w:after="0"/>
        <w:ind w:firstLine="0"/>
      </w:pPr>
      <w:bookmarkStart w:id="30" w:name="report_heading_030"/>
      <w:r>
        <w:rPr>
          <w:rFonts w:ascii="KaiTi" w:hAnsi="KaiTi" w:eastAsia="楷体" w:cs="KaiTi"/>
          <w:b w:val="0"/>
          <w:color w:val="000000"/>
          <w:sz w:val="28"/>
        </w:rPr>
        <w:t>（三）软件支撑层与执行机制</w:t>
      </w:r>
      <w:bookmarkEnd w:id="30"/>
    </w:p>
    <w:p>
      <w:pPr>
        <w:widowControl/>
        <w:spacing w:lineRule="exact" w:line="480" w:before="0" w:after="0"/>
        <w:ind w:firstLine="480"/>
      </w:pPr>
      <w:r>
        <w:rPr>
          <w:rFonts w:ascii="SimSun" w:hAnsi="SimSun" w:eastAsia="宋体" w:cs="SimSun"/>
          <w:b w:val="0"/>
          <w:color w:val="000000"/>
          <w:sz w:val="24"/>
        </w:rPr>
        <w:t>平台服务先核对身份、项目范围、输入资产状态及能力契约，再创建可持久化的任务。输入素材数量和顺序、参数合法性及版本均需在服务端检查，前端隐藏按钮或禁用操作只用于减少误操作。外部模型地址和凭据由后端管理，模型接入变化不要求普通用户修改底层配置。</w:t>
      </w:r>
    </w:p>
    <w:p>
      <w:pPr>
        <w:widowControl/>
        <w:spacing w:lineRule="exact" w:line="480" w:before="0" w:after="0"/>
        <w:ind w:firstLine="480"/>
      </w:pPr>
      <w:r>
        <w:rPr>
          <w:rFonts w:ascii="SimSun" w:hAnsi="SimSun" w:eastAsia="宋体" w:cs="SimSun"/>
          <w:b w:val="0"/>
          <w:color w:val="000000"/>
          <w:sz w:val="24"/>
        </w:rPr>
        <w:t>设计任务由独立执行进程领取，完成输入准备、外部提交、状态查询和结果回收。当前以关系数据库和租约管理队列，工作流目录组织不同能力及输入输出约定；目录项数量不作为合同功能完成率。任务固定执行版本，保留取消和失败状态，使页面关闭或网络短时中断不丢失本轮输入及执行关系。</w:t>
      </w:r>
    </w:p>
    <w:p>
      <w:pPr>
        <w:widowControl/>
        <w:spacing w:lineRule="exact" w:line="480" w:before="0" w:after="0"/>
        <w:ind w:firstLine="480"/>
      </w:pPr>
      <w:r>
        <w:rPr>
          <w:rFonts w:ascii="SimSun" w:hAnsi="SimSun" w:eastAsia="宋体" w:cs="SimSun"/>
          <w:b w:val="0"/>
          <w:color w:val="000000"/>
          <w:sz w:val="24"/>
        </w:rPr>
        <w:t>颜色和编号分区通过既有适配器将图像与笔画映射为外部条件；后续候选识别也应使用受控的输入输出约定。设计输出先形成任务结果，由用户确认登记为可复用资产；训练模型及报告文件按各自流程登记。外部能力返回成功之后，还须验证文件可读、格式有效并完成登记，不能用空文件或示例结果替代真实失败。</w:t>
      </w:r>
    </w:p>
    <w:p>
      <w:pPr>
        <w:pStyle w:val="Heading2"/>
        <w:spacing w:lineRule="exact" w:line="480" w:before="80" w:after="0"/>
        <w:ind w:firstLine="0"/>
      </w:pPr>
      <w:bookmarkStart w:id="31" w:name="report_heading_031"/>
      <w:r>
        <w:rPr>
          <w:rFonts w:ascii="KaiTi" w:hAnsi="KaiTi" w:eastAsia="楷体" w:cs="KaiTi"/>
          <w:b w:val="0"/>
          <w:color w:val="000000"/>
          <w:sz w:val="28"/>
        </w:rPr>
        <w:t>（四）数据层与知识资源建设</w:t>
      </w:r>
      <w:bookmarkEnd w:id="31"/>
    </w:p>
    <w:p>
      <w:pPr>
        <w:widowControl/>
        <w:spacing w:lineRule="exact" w:line="480" w:before="0" w:after="0"/>
        <w:ind w:firstLine="480"/>
      </w:pPr>
      <w:r>
        <w:rPr>
          <w:rFonts w:ascii="SimSun" w:hAnsi="SimSun" w:eastAsia="宋体" w:cs="SimSun"/>
          <w:b w:val="0"/>
          <w:color w:val="000000"/>
          <w:sz w:val="24"/>
        </w:rPr>
        <w:t>数据层分开保存业务关系与文件内容。关系数据包括用户、项目、资产元数据、会话、任务和审计；对象存储保存图像、模型、文档和个人附件；可直接保存的小型文本按业务类型管理。原图、标记快照、参数及输出由来源关系连接，使同一任务的设计依据能够回溯。资产目录与标签提供初步分类，但不能替代完整模块属性和工程知识结构。</w:t>
      </w:r>
    </w:p>
    <w:p>
      <w:pPr>
        <w:widowControl/>
        <w:spacing w:lineRule="exact" w:line="480" w:before="0" w:after="0"/>
        <w:ind w:firstLine="480"/>
      </w:pPr>
      <w:r>
        <w:rPr>
          <w:rFonts w:ascii="SimSun" w:hAnsi="SimSun" w:eastAsia="宋体" w:cs="SimSun"/>
          <w:b w:val="0"/>
          <w:color w:val="000000"/>
          <w:sz w:val="24"/>
        </w:rPr>
        <w:t>后续知识资源以研究确认的模块清单、区域语义、接口条件和评价资料为输入。先定义字段及维护责任，再建立结构化对象和检索关系；已有资料文件继续作为依据留存。规则与参数数据需关联来源和版本，方法评价需关联同源样本及执行条件。通过逐步增加对象关系，避免把现有通用文件库一次性描述为已完成的模块、规则与向量知识库。</w:t>
      </w:r>
    </w:p>
    <w:p>
      <w:pPr>
        <w:pStyle w:val="Heading2"/>
        <w:spacing w:lineRule="exact" w:line="480" w:before="80" w:after="0"/>
        <w:ind w:firstLine="0"/>
      </w:pPr>
      <w:bookmarkStart w:id="32" w:name="report_heading_032"/>
      <w:r>
        <w:rPr>
          <w:rFonts w:ascii="KaiTi" w:hAnsi="KaiTi" w:eastAsia="楷体" w:cs="KaiTi"/>
          <w:b w:val="0"/>
          <w:color w:val="000000"/>
          <w:sz w:val="28"/>
        </w:rPr>
        <w:t>（五）基础层与部署结构</w:t>
      </w:r>
      <w:bookmarkEnd w:id="32"/>
    </w:p>
    <w:p>
      <w:pPr>
        <w:widowControl/>
        <w:spacing w:lineRule="exact" w:line="480" w:before="0" w:after="0"/>
        <w:ind w:firstLine="480"/>
      </w:pPr>
      <w:r>
        <w:rPr>
          <w:rFonts w:ascii="SimSun" w:hAnsi="SimSun" w:eastAsia="宋体" w:cs="SimSun"/>
          <w:b w:val="0"/>
          <w:color w:val="000000"/>
          <w:sz w:val="24"/>
        </w:rPr>
        <w:t>基础层提供网络、计算、数据库、私有文件存储及备份恢复条件。现有生产方案包含前端入口、平台服务、独立执行进程、关系数据库和对象存储，外部模型、工作流、训练和企业邮件按环境接入。计算密集能力可与平台业务分别配置；是否引入独立消息中间件或集群，应根据任务量和运维条件论证，不作为当前已部署组件。</w:t>
      </w:r>
    </w:p>
    <w:p>
      <w:pPr>
        <w:keepNext/>
        <w:spacing w:before="80" w:after="0" w:line="240" w:lineRule="auto"/>
        <w:ind w:firstLine="0"/>
        <w:jc w:val="center"/>
      </w:pPr>
      <w:r>
        <w:drawing>
          <wp:inline xmlns:a="http://schemas.openxmlformats.org/drawingml/2006/main" xmlns:pic="http://schemas.openxmlformats.org/drawingml/2006/picture">
            <wp:extent cx="5650992" cy="2919679"/>
            <wp:docPr id="17" name="Picture 17" descr="图 17 平台部署组成与受控访问路径"/>
            <wp:cNvGraphicFramePr>
              <a:graphicFrameLocks noChangeAspect="1"/>
            </wp:cNvGraphicFramePr>
            <a:graphic>
              <a:graphicData uri="http://schemas.openxmlformats.org/drawingml/2006/picture">
                <pic:pic>
                  <pic:nvPicPr>
                    <pic:cNvPr id="0" name="figure-03.png"/>
                    <pic:cNvPicPr/>
                  </pic:nvPicPr>
                  <pic:blipFill>
                    <a:blip r:embed="rId28"/>
                    <a:stretch>
                      <a:fillRect/>
                    </a:stretch>
                  </pic:blipFill>
                  <pic:spPr>
                    <a:xfrm>
                      <a:off x="0" y="0"/>
                      <a:ext cx="5650992" cy="2919679"/>
                    </a:xfrm>
                    <a:prstGeom prst="rect"/>
                  </pic:spPr>
                </pic:pic>
              </a:graphicData>
            </a:graphic>
          </wp:inline>
        </w:drawing>
      </w:r>
    </w:p>
    <w:p>
      <w:pPr>
        <w:pStyle w:val="Caption"/>
        <w:keepNext w:val="0"/>
      </w:pPr>
      <w:r>
        <w:rPr>
          <w:rFonts w:ascii="SimSun" w:hAnsi="SimSun" w:eastAsia="宋体" w:cs="SimSun"/>
          <w:color w:val="000000"/>
          <w:sz w:val="24"/>
        </w:rPr>
        <w:t>图 17 平台部署组成与受控访问路径</w:t>
      </w:r>
    </w:p>
    <w:p>
      <w:pPr>
        <w:widowControl/>
        <w:spacing w:lineRule="exact" w:line="480" w:before="0" w:after="0"/>
        <w:ind w:firstLine="480"/>
      </w:pPr>
      <w:r>
        <w:rPr>
          <w:rFonts w:ascii="SimSun" w:hAnsi="SimSun" w:eastAsia="宋体" w:cs="SimSun"/>
          <w:b w:val="0"/>
          <w:color w:val="000000"/>
          <w:sz w:val="24"/>
        </w:rPr>
        <w:t>浏览器上传或读取文件前，由平台完成身份与资源范围校验并签发短时地址，再直接传输私有对象。受控预签名传输不等于开放对象存储，也不同于浏览器直接调用模型服务。上传完成后仍须核验对象并登记资产。部署验证应分别检查网页、文件传输、任务执行、结果获取和邮件等路径，不能用一个入口可访问代替整个业务可运行。</w:t>
      </w:r>
    </w:p>
    <w:p>
      <w:pPr>
        <w:pStyle w:val="Caption"/>
        <w:keepNext/>
        <w:jc w:val="center"/>
      </w:pPr>
      <w:r>
        <w:rPr>
          <w:rFonts w:ascii="SimSun" w:hAnsi="SimSun" w:eastAsia="宋体" w:cs="SimSun"/>
          <w:color w:val="000000"/>
          <w:sz w:val="24"/>
        </w:rPr>
        <w:t>表 6 各逻辑层的建设落实方式</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156"/>
        <w:gridCol w:w="4052"/>
        <w:gridCol w:w="3764"/>
      </w:tblGrid>
      <w:tr>
        <w:trPr>
          <w:cantSplit w:val="true"/>
          <w:tblHeader w:val="true"/>
        </w:trPr>
        <w:tc>
          <w:tcPr>
            <w:tcW w:type="dxa" w:w="1156"/>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层次</w:t>
            </w:r>
          </w:p>
        </w:tc>
        <w:tc>
          <w:tcPr>
            <w:tcW w:type="dxa" w:w="405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实际软件或技术</w:t>
            </w:r>
          </w:p>
        </w:tc>
        <w:tc>
          <w:tcPr>
            <w:tcW w:type="dxa" w:w="376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当前承载基础与研究落地重点</w:t>
            </w:r>
          </w:p>
        </w:tc>
      </w:tr>
      <w:tr>
        <w:trPr>
          <w:cantSplit w:val="true"/>
        </w:trPr>
        <w:tc>
          <w:tcPr>
            <w:tcW w:type="dxa" w:w="1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用户层</w:t>
            </w:r>
          </w:p>
        </w:tc>
        <w:tc>
          <w:tcPr>
            <w:tcW w:type="dxa" w:w="405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浏览器、账号与项目成员机制</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设计使用、专业确认和资料协作</w:t>
            </w:r>
          </w:p>
        </w:tc>
      </w:tr>
      <w:tr>
        <w:trPr>
          <w:cantSplit w:val="true"/>
        </w:trPr>
        <w:tc>
          <w:tcPr>
            <w:tcW w:type="dxa" w:w="1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应用层</w:t>
            </w:r>
          </w:p>
        </w:tc>
        <w:tc>
          <w:tcPr>
            <w:tcW w:type="dxa" w:w="405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Vue 3、TypeScript、Vite、Ant Design Vue</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设计、资产、项目、训练与报告；接入区域确认和评价</w:t>
            </w:r>
          </w:p>
        </w:tc>
      </w:tr>
      <w:tr>
        <w:trPr>
          <w:cantSplit w:val="true"/>
        </w:trPr>
        <w:tc>
          <w:tcPr>
            <w:tcW w:type="dxa" w:w="1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软件支撑层</w:t>
            </w:r>
          </w:p>
        </w:tc>
        <w:tc>
          <w:tcPr>
            <w:tcW w:type="dxa" w:w="405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Node.js、Nitro/H3、独立执行进程及能力适配器</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权限、任务版本和审计；统一方法的输入输出及异常处理</w:t>
            </w:r>
          </w:p>
        </w:tc>
      </w:tr>
      <w:tr>
        <w:trPr>
          <w:cantSplit w:val="true"/>
        </w:trPr>
        <w:tc>
          <w:tcPr>
            <w:tcW w:type="dxa" w:w="1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数据层</w:t>
            </w:r>
          </w:p>
        </w:tc>
        <w:tc>
          <w:tcPr>
            <w:tcW w:type="dxa" w:w="405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PostgreSQL、MinIO及S3兼容接口</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业务关系、文件及来源关联；建设经确认的模块、规则和样本</w:t>
            </w:r>
          </w:p>
        </w:tc>
      </w:tr>
      <w:tr>
        <w:trPr>
          <w:cantSplit w:val="true"/>
        </w:trPr>
        <w:tc>
          <w:tcPr>
            <w:tcW w:type="dxa" w:w="1156"/>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基础层</w:t>
            </w:r>
          </w:p>
        </w:tc>
        <w:tc>
          <w:tcPr>
            <w:tcW w:type="dxa" w:w="405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容器运行、网络、计算设备及外部模型环境</w:t>
            </w:r>
          </w:p>
        </w:tc>
        <w:tc>
          <w:tcPr>
            <w:tcW w:type="dxa" w:w="376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支撑上述组件及ComfyUI运行，验证容量、安全和恢复</w:t>
            </w:r>
          </w:p>
        </w:tc>
      </w:tr>
    </w:tbl>
    <w:p>
      <w:pPr>
        <w:pStyle w:val="Heading1"/>
        <w:pageBreakBefore/>
        <w:spacing w:lineRule="exact" w:line="480" w:before="0" w:after="0"/>
        <w:ind w:firstLine="0"/>
      </w:pPr>
      <w:bookmarkStart w:id="33" w:name="report_heading_033"/>
      <w:commentRangeStart w:id="8"/>
      <w:r>
        <w:rPr>
          <w:rFonts w:ascii="SimHei" w:hAnsi="SimHei" w:eastAsia="黑体" w:cs="SimHei"/>
          <w:b/>
          <w:color w:val="000000"/>
          <w:sz w:val="28"/>
        </w:rPr>
        <w:t>五、平台功能模块与业务衔接</w:t>
      </w:r>
      <w:commentRangeEnd w:id="8"/>
      <w:r>
        <w:rPr>
          <w:rStyle w:val="CommentReference"/>
        </w:rPr>
        <w:commentReference w:id="8"/>
      </w:r>
      <w:bookmarkEnd w:id="33"/>
    </w:p>
    <w:p>
      <w:pPr>
        <w:pStyle w:val="Heading2"/>
        <w:spacing w:lineRule="exact" w:line="480" w:before="80" w:after="0"/>
        <w:ind w:firstLine="0"/>
      </w:pPr>
      <w:bookmarkStart w:id="34" w:name="report_heading_034"/>
      <w:r>
        <w:rPr>
          <w:rFonts w:ascii="KaiTi" w:hAnsi="KaiTi" w:eastAsia="楷体" w:cs="KaiTi"/>
          <w:b w:val="0"/>
          <w:color w:val="000000"/>
          <w:sz w:val="28"/>
        </w:rPr>
        <w:t>（一）功能布局</w:t>
      </w:r>
      <w:bookmarkEnd w:id="34"/>
    </w:p>
    <w:p>
      <w:pPr>
        <w:widowControl/>
        <w:spacing w:lineRule="exact" w:line="480" w:before="0" w:after="0"/>
        <w:ind w:firstLine="480"/>
      </w:pPr>
      <w:r>
        <w:rPr>
          <w:rFonts w:ascii="SimSun" w:hAnsi="SimSun" w:eastAsia="宋体" w:cs="SimSun"/>
          <w:b w:val="0"/>
          <w:color w:val="000000"/>
          <w:sz w:val="24"/>
        </w:rPr>
        <w:t>平台功能以当前业务组织为基础，按首页、设计生成、模型训练、资产中心、报告生成和设计工作台设置主要入口。设计工作台管理项目并提供按权限开放的管理入口；任务通过项目进入，操作日志区分普通用户与管理员可见范围。图 18 表达这些功能与共用支撑服务的关系，不额外虚构独立的工程装配、自动审批或规则管理门户。</w:t>
      </w:r>
    </w:p>
    <w:p>
      <w:pPr>
        <w:keepNext/>
        <w:spacing w:before="80" w:after="0" w:line="240" w:lineRule="auto"/>
        <w:ind w:firstLine="0"/>
        <w:jc w:val="center"/>
      </w:pPr>
      <w:r>
        <w:drawing>
          <wp:inline xmlns:a="http://schemas.openxmlformats.org/drawingml/2006/main" xmlns:pic="http://schemas.openxmlformats.org/drawingml/2006/picture">
            <wp:extent cx="5650992" cy="3013862"/>
            <wp:docPr id="18" name="Picture 18" descr="图 18 主要功能入口与共用业务支撑"/>
            <wp:cNvGraphicFramePr>
              <a:graphicFrameLocks noChangeAspect="1"/>
            </wp:cNvGraphicFramePr>
            <a:graphic>
              <a:graphicData uri="http://schemas.openxmlformats.org/drawingml/2006/picture">
                <pic:pic>
                  <pic:nvPicPr>
                    <pic:cNvPr id="0" name="figure-09.png"/>
                    <pic:cNvPicPr/>
                  </pic:nvPicPr>
                  <pic:blipFill>
                    <a:blip r:embed="rId29"/>
                    <a:stretch>
                      <a:fillRect/>
                    </a:stretch>
                  </pic:blipFill>
                  <pic:spPr>
                    <a:xfrm>
                      <a:off x="0" y="0"/>
                      <a:ext cx="5650992" cy="3013862"/>
                    </a:xfrm>
                    <a:prstGeom prst="rect"/>
                  </pic:spPr>
                </pic:pic>
              </a:graphicData>
            </a:graphic>
          </wp:inline>
        </w:drawing>
      </w:r>
    </w:p>
    <w:p>
      <w:pPr>
        <w:pStyle w:val="Caption"/>
        <w:keepNext w:val="0"/>
      </w:pPr>
      <w:r>
        <w:rPr>
          <w:rFonts w:ascii="SimSun" w:hAnsi="SimSun" w:eastAsia="宋体" w:cs="SimSun"/>
          <w:color w:val="000000"/>
          <w:sz w:val="24"/>
        </w:rPr>
        <w:t>图 18 主要功能入口与共用业务支撑</w:t>
      </w:r>
    </w:p>
    <w:p>
      <w:pPr>
        <w:pStyle w:val="Caption"/>
        <w:keepNext/>
        <w:jc w:val="center"/>
      </w:pPr>
      <w:r>
        <w:rPr>
          <w:rFonts w:ascii="SimSun" w:hAnsi="SimSun" w:eastAsia="宋体" w:cs="SimSun"/>
          <w:color w:val="000000"/>
          <w:sz w:val="24"/>
        </w:rPr>
        <w:t>表 7 功能模块与合同任务的关联</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4091"/>
        <w:gridCol w:w="3383"/>
      </w:tblGrid>
      <w:tr>
        <w:trPr>
          <w:cantSplit w:val="true"/>
          <w:tblHeader w:val="true"/>
        </w:trPr>
        <w:tc>
          <w:tcPr>
            <w:tcW w:type="dxa" w:w="149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功能模块</w:t>
            </w:r>
          </w:p>
        </w:tc>
        <w:tc>
          <w:tcPr>
            <w:tcW w:type="dxa" w:w="409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当前承担的工作</w:t>
            </w:r>
          </w:p>
        </w:tc>
        <w:tc>
          <w:tcPr>
            <w:tcW w:type="dxa" w:w="338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与本研究的关系</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设计生成</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分模式输入、标记与遮罩、生成编辑、多轮结果</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分区交互与快速设计的主要载体</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资产中心</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资料入库、目录标签、预览下载、查找复用</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成果存储检索的现有基础</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设计工作台</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项目、成员、管理入口及项目任务</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组织资料范围与设计协作</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首页</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真实数据概览与快捷入口</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提供统一访问和进度观察入口</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模型训练</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图片与说明组织、训练任务和模型产物</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支撑需要时开展专项模型适配</w:t>
            </w:r>
          </w:p>
        </w:tc>
      </w:tr>
      <w:tr>
        <w:trPr>
          <w:cantSplit w:val="true"/>
        </w:trPr>
        <w:tc>
          <w:tcPr>
            <w:tcW w:type="dxa" w:w="149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报告生成</w:t>
            </w:r>
          </w:p>
        </w:tc>
        <w:tc>
          <w:tcPr>
            <w:tcW w:type="dxa" w:w="409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章节与项目图片编排、文档输出</w:t>
            </w:r>
          </w:p>
        </w:tc>
        <w:tc>
          <w:tcPr>
            <w:tcW w:type="dxa" w:w="338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支撑设计成果整理，不代替研究评审</w:t>
            </w:r>
          </w:p>
        </w:tc>
      </w:tr>
    </w:tbl>
    <w:p>
      <w:pPr>
        <w:pStyle w:val="Heading2"/>
        <w:spacing w:lineRule="exact" w:line="480" w:before="80" w:after="0"/>
        <w:ind w:firstLine="0"/>
      </w:pPr>
      <w:bookmarkStart w:id="35" w:name="report_heading_035"/>
      <w:r>
        <w:rPr>
          <w:rFonts w:ascii="KaiTi" w:hAnsi="KaiTi" w:eastAsia="楷体" w:cs="KaiTi"/>
          <w:b w:val="0"/>
          <w:color w:val="000000"/>
          <w:sz w:val="28"/>
        </w:rPr>
        <w:t>（二）典型设计业务流程</w:t>
      </w:r>
      <w:bookmarkEnd w:id="35"/>
    </w:p>
    <w:p>
      <w:pPr>
        <w:widowControl/>
        <w:spacing w:lineRule="exact" w:line="480" w:before="0" w:after="0"/>
        <w:ind w:firstLine="480"/>
      </w:pPr>
      <w:r>
        <w:rPr>
          <w:rFonts w:ascii="SimSun" w:hAnsi="SimSun" w:eastAsia="宋体" w:cs="SimSun"/>
          <w:b w:val="0"/>
          <w:color w:val="000000"/>
          <w:sz w:val="24"/>
        </w:rPr>
        <w:t>典型业务从确认项目和资料范围开始。设计人员上传或选择已登记图像，根据任务选择客室零部件、CMF 或客室效果模式；需要局部修改时，先进行标记或遮罩处理，并写明修改目标与保持条件。提交后查看任务状态，结果返回后先比较原图与输出，再决定保存、重新生成或进入下一轮深化。被选用的结果通过资产中心形成可再次使用的项目素材。</w:t>
      </w:r>
    </w:p>
    <w:p>
      <w:pPr>
        <w:widowControl/>
        <w:spacing w:lineRule="exact" w:line="480" w:before="0" w:after="0"/>
        <w:ind w:firstLine="480"/>
      </w:pPr>
      <w:r>
        <w:rPr>
          <w:rFonts w:ascii="SimSun" w:hAnsi="SimSun" w:eastAsia="宋体" w:cs="SimSun"/>
          <w:b w:val="0"/>
          <w:color w:val="000000"/>
          <w:sz w:val="24"/>
        </w:rPr>
        <w:t>同一设计会话只允许一个活动任务，不同会话可以并行。该约束用于保持轮次与输入输出关系清晰，不表示平台具有无限并发能力。历史记录用于回溯和修改重发，不应在重新设计时覆盖旧任务。对于资料失效、类型不兼容、权限变化或外部服务失败，流程应明确停留位置和后续处置，不将异常简单隐藏为无结果。</w:t>
      </w:r>
    </w:p>
    <w:p>
      <w:pPr>
        <w:widowControl/>
        <w:spacing w:lineRule="exact" w:line="480" w:before="0" w:after="0"/>
        <w:ind w:firstLine="480"/>
      </w:pPr>
      <w:r>
        <w:rPr>
          <w:rFonts w:ascii="SimSun" w:hAnsi="SimSun" w:eastAsia="宋体" w:cs="SimSun"/>
          <w:b w:val="0"/>
          <w:color w:val="000000"/>
          <w:sz w:val="24"/>
        </w:rPr>
        <w:t>以座椅表面材质探索为例，用户选择已有座椅图作为输入，使用 CMF 描述或局部遮罩限定变化，提交后比较纹理、色彩与非目标区域保持情况。若准备继续进行整体客室效果表达，先将所选结果登记为项目资产，再按目标能力要求补齐整体底图或其他素材。平台保证资料与任务关联，座椅实际材料选择、固定关系和制造条件仍需工程资料确认。</w:t>
      </w:r>
    </w:p>
    <w:p>
      <w:pPr>
        <w:pStyle w:val="Heading2"/>
        <w:spacing w:lineRule="exact" w:line="480" w:before="80" w:after="0"/>
        <w:ind w:firstLine="0"/>
      </w:pPr>
      <w:bookmarkStart w:id="36" w:name="report_heading_036"/>
      <w:r>
        <w:rPr>
          <w:rFonts w:ascii="KaiTi" w:hAnsi="KaiTi" w:eastAsia="楷体" w:cs="KaiTi"/>
          <w:b w:val="0"/>
          <w:color w:val="000000"/>
          <w:sz w:val="28"/>
        </w:rPr>
        <w:t>（三）AI 聊天助手的图文辅助</w:t>
      </w:r>
      <w:bookmarkEnd w:id="36"/>
    </w:p>
    <w:p>
      <w:pPr>
        <w:widowControl/>
        <w:spacing w:lineRule="exact" w:line="480" w:before="0" w:after="0"/>
        <w:ind w:firstLine="480"/>
      </w:pPr>
      <w:r>
        <w:rPr>
          <w:rFonts w:ascii="SimSun" w:hAnsi="SimSun" w:eastAsia="宋体" w:cs="SimSun"/>
          <w:b w:val="0"/>
          <w:color w:val="000000"/>
          <w:sz w:val="24"/>
        </w:rPr>
        <w:t>AI 聊天助手仅作为辅助交流入口。用户可在一条消息中输入文字并附加一张或多张图片，后端在数量和容量限制内组织当前个人会话的近期上下文，向已配置的模型服务请求文字答复。适用任务包括询问图片中的视觉差异、讨论设计表达和整理需要进一步确认的问题。答复质量受所用模型与输入图片影响，不能作为自动分区、工程校核或合同验收结论。</w:t>
      </w:r>
    </w:p>
    <w:p>
      <w:pPr>
        <w:widowControl/>
        <w:spacing w:lineRule="exact" w:line="480" w:before="0" w:after="0"/>
        <w:ind w:firstLine="480"/>
      </w:pPr>
      <w:r>
        <w:rPr>
          <w:rFonts w:ascii="SimSun" w:hAnsi="SimSun" w:eastAsia="宋体" w:cs="SimSun"/>
          <w:b w:val="0"/>
          <w:color w:val="000000"/>
          <w:sz w:val="24"/>
        </w:rPr>
        <w:t>聊天会话、消息和附件按用户隔离，管理员也不能读取其他用户的聊天正文。非图片附件虽然可以保存或下载，当前聊天接口不把其正文传给模型，因此不能宣称助手已经读懂图纸文档、音视频或三维文件。聊天助手不调用 ComfyUI 工作流，不自动发起设计、训练或报告任务，也不会自动将答复或附件登记为项目公共成果。</w:t>
      </w:r>
    </w:p>
    <w:p>
      <w:pPr>
        <w:keepNext/>
        <w:spacing w:before="80" w:after="0" w:line="240" w:lineRule="auto"/>
        <w:ind w:firstLine="0"/>
        <w:jc w:val="center"/>
      </w:pPr>
      <w:r>
        <w:drawing>
          <wp:inline xmlns:a="http://schemas.openxmlformats.org/drawingml/2006/main" xmlns:pic="http://schemas.openxmlformats.org/drawingml/2006/picture">
            <wp:extent cx="5650992" cy="2919679"/>
            <wp:docPr id="19" name="Picture 19" descr="图 19 AI 聊天助手的文本与图片处理边界"/>
            <wp:cNvGraphicFramePr>
              <a:graphicFrameLocks noChangeAspect="1"/>
            </wp:cNvGraphicFramePr>
            <a:graphic>
              <a:graphicData uri="http://schemas.openxmlformats.org/drawingml/2006/picture">
                <pic:pic>
                  <pic:nvPicPr>
                    <pic:cNvPr id="0" name="figure-10.png"/>
                    <pic:cNvPicPr/>
                  </pic:nvPicPr>
                  <pic:blipFill>
                    <a:blip r:embed="rId30"/>
                    <a:stretch>
                      <a:fillRect/>
                    </a:stretch>
                  </pic:blipFill>
                  <pic:spPr>
                    <a:xfrm>
                      <a:off x="0" y="0"/>
                      <a:ext cx="5650992" cy="2919679"/>
                    </a:xfrm>
                    <a:prstGeom prst="rect"/>
                  </pic:spPr>
                </pic:pic>
              </a:graphicData>
            </a:graphic>
          </wp:inline>
        </w:drawing>
      </w:r>
    </w:p>
    <w:p>
      <w:pPr>
        <w:pStyle w:val="Caption"/>
        <w:keepNext w:val="0"/>
      </w:pPr>
      <w:r>
        <w:rPr>
          <w:rFonts w:ascii="SimSun" w:hAnsi="SimSun" w:eastAsia="宋体" w:cs="SimSun"/>
          <w:color w:val="000000"/>
          <w:sz w:val="24"/>
        </w:rPr>
        <w:t>图 19 AI 聊天助手的文本与图片处理边界</w:t>
      </w:r>
    </w:p>
    <w:p>
      <w:pPr>
        <w:pStyle w:val="Heading2"/>
        <w:spacing w:lineRule="exact" w:line="480" w:before="80" w:after="0"/>
        <w:ind w:firstLine="0"/>
      </w:pPr>
      <w:bookmarkStart w:id="37" w:name="report_heading_037"/>
      <w:r>
        <w:rPr>
          <w:rFonts w:ascii="KaiTi" w:hAnsi="KaiTi" w:eastAsia="楷体" w:cs="KaiTi"/>
          <w:b w:val="0"/>
          <w:color w:val="000000"/>
          <w:sz w:val="28"/>
        </w:rPr>
        <w:t>（四）训练与报告支撑能力</w:t>
      </w:r>
      <w:bookmarkEnd w:id="37"/>
    </w:p>
    <w:p>
      <w:pPr>
        <w:widowControl/>
        <w:spacing w:lineRule="exact" w:line="480" w:before="0" w:after="0"/>
        <w:ind w:firstLine="480"/>
      </w:pPr>
      <w:r>
        <w:rPr>
          <w:rFonts w:ascii="SimSun" w:hAnsi="SimSun" w:eastAsia="宋体" w:cs="SimSun"/>
          <w:b w:val="0"/>
          <w:color w:val="000000"/>
          <w:sz w:val="24"/>
        </w:rPr>
        <w:t>模型训练以项目图片及逐图说明组成输入，用户填写限定范围的训练参数，由后端对接训练服务。平台提供任务、日志、进度、损失曲线、停止与模型产物管理。上述能力可支撑需要时开展特定内装风格或部件样例的适配研究，但训练入口存在并不证明已经建立区域识别模型，也不证明训练产物已适合正式业务。是否开展训练，应先依据样本质量、目标差异与评测方案决定。</w:t>
      </w:r>
    </w:p>
    <w:p>
      <w:pPr>
        <w:widowControl/>
        <w:spacing w:lineRule="exact" w:line="480" w:before="0" w:after="0"/>
        <w:ind w:firstLine="480"/>
      </w:pPr>
      <w:r>
        <w:rPr>
          <w:rFonts w:ascii="SimSun" w:hAnsi="SimSun" w:eastAsia="宋体" w:cs="SimSun"/>
          <w:b w:val="0"/>
          <w:color w:val="000000"/>
          <w:sz w:val="24"/>
        </w:rPr>
        <w:t>报告生成使用项目文字、章节与图片组织设计材料，支持模板生成与外部 AI 生成，并形成相应的文档资产。当前可输出 Word 文档、演示文稿和自包含 Markdown 文档。模板生成与 AI 生成应明确区分，外部 AI 不可用时不能把模板结果伪装为 AI 生成成功。研究报告中的专业判断、工程结论和验收意见仍须由责任人员审核，不能因为文件生成完成就视为内容审核通过。</w:t>
      </w:r>
    </w:p>
    <w:p>
      <w:pPr>
        <w:widowControl/>
        <w:spacing w:lineRule="exact" w:line="480" w:before="0" w:after="0"/>
        <w:ind w:firstLine="480"/>
      </w:pPr>
      <w:r>
        <w:rPr>
          <w:rFonts w:ascii="SimSun" w:hAnsi="SimSun" w:eastAsia="宋体" w:cs="SimSun"/>
          <w:b w:val="0"/>
          <w:color w:val="000000"/>
          <w:sz w:val="24"/>
        </w:rPr>
        <w:t>这些功能在本研究中的定位是支撑资料组织、效果适配和成果整理。研究重点仍然是分区识别、快速设计、跨区域方法和平台构建，不对扩展功能安排与核心合同任务等量的篇幅，也不将它们作为合同范围增加的默认依据。</w:t>
      </w:r>
    </w:p>
    <w:p>
      <w:pPr>
        <w:pStyle w:val="Heading1"/>
        <w:pageBreakBefore/>
        <w:spacing w:lineRule="exact" w:line="480" w:before="0" w:after="0"/>
        <w:ind w:firstLine="0"/>
      </w:pPr>
      <w:bookmarkStart w:id="38" w:name="report_heading_038"/>
      <w:r>
        <w:rPr>
          <w:rFonts w:ascii="SimHei" w:hAnsi="SimHei" w:eastAsia="黑体" w:cs="SimHei"/>
          <w:b/>
          <w:color w:val="000000"/>
          <w:sz w:val="28"/>
        </w:rPr>
        <w:t>六、数据资源与成果管理</w:t>
      </w:r>
      <w:bookmarkEnd w:id="38"/>
    </w:p>
    <w:p>
      <w:pPr>
        <w:pStyle w:val="Heading2"/>
        <w:spacing w:lineRule="exact" w:line="480" w:before="80" w:after="0"/>
        <w:ind w:firstLine="0"/>
      </w:pPr>
      <w:bookmarkStart w:id="39" w:name="report_heading_039"/>
      <w:r>
        <w:rPr>
          <w:rFonts w:ascii="KaiTi" w:hAnsi="KaiTi" w:eastAsia="楷体" w:cs="KaiTi"/>
          <w:b w:val="0"/>
          <w:color w:val="000000"/>
          <w:sz w:val="28"/>
        </w:rPr>
        <w:t>（一）数据分类与资料组织</w:t>
      </w:r>
      <w:bookmarkEnd w:id="39"/>
    </w:p>
    <w:p>
      <w:pPr>
        <w:widowControl/>
        <w:spacing w:lineRule="exact" w:line="480" w:before="0" w:after="0"/>
        <w:ind w:firstLine="480"/>
      </w:pPr>
      <w:r>
        <w:rPr>
          <w:rFonts w:ascii="SimSun" w:hAnsi="SimSun" w:eastAsia="宋体" w:cs="SimSun"/>
          <w:b w:val="0"/>
          <w:color w:val="000000"/>
          <w:sz w:val="24"/>
        </w:rPr>
        <w:t>平台资产按图片、视频、音频、文本、文档、三维模型、模型文件和压缩包八类文件类型管理。遮罩、CMF 材料样例、训练模型和研究报告属于业务用途，不是额外的文件类型。业务用途通过目录、标签、来源应用和任务关系表达。该方法保持通用资料管理稳定，也便于新能力使用已有素材，不要求每个业务工具另建孤立文件库。</w:t>
      </w:r>
    </w:p>
    <w:p>
      <w:pPr>
        <w:widowControl/>
        <w:spacing w:lineRule="exact" w:line="480" w:before="0" w:after="0"/>
        <w:ind w:firstLine="480"/>
      </w:pPr>
      <w:r>
        <w:rPr>
          <w:rFonts w:ascii="SimSun" w:hAnsi="SimSun" w:eastAsia="宋体" w:cs="SimSun"/>
          <w:b w:val="0"/>
          <w:color w:val="000000"/>
          <w:sz w:val="24"/>
        </w:rPr>
        <w:t>面向内装研究，建议在项目内按基础资料、区域设计、模块样例、试验记录和确认成果组织目录，并约定区域、车型与任务相关的命名和标签。该组织方案是研究资料管理建议，不表示当前系统已具备所有专项资料库。需要进行结构化检索的字段，应先确定含义和维护责任，再逐步进入平台功能，避免在标签中混杂无法解释的属性。</w:t>
      </w:r>
    </w:p>
    <w:p>
      <w:pPr>
        <w:pStyle w:val="Caption"/>
        <w:keepNext/>
        <w:jc w:val="center"/>
      </w:pPr>
      <w:r>
        <w:rPr>
          <w:rFonts w:ascii="SimSun" w:hAnsi="SimSun" w:eastAsia="宋体" w:cs="SimSun"/>
          <w:color w:val="000000"/>
          <w:sz w:val="24"/>
        </w:rPr>
        <w:t>表 8 研究资料与现有资产载体</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502"/>
        <w:gridCol w:w="3060"/>
        <w:gridCol w:w="3410"/>
      </w:tblGrid>
      <w:tr>
        <w:trPr>
          <w:cantSplit w:val="true"/>
          <w:tblHeader w:val="true"/>
        </w:trPr>
        <w:tc>
          <w:tcPr>
            <w:tcW w:type="dxa" w:w="250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研究资料</w:t>
            </w:r>
          </w:p>
        </w:tc>
        <w:tc>
          <w:tcPr>
            <w:tcW w:type="dxa" w:w="306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现有载体</w:t>
            </w:r>
          </w:p>
        </w:tc>
        <w:tc>
          <w:tcPr>
            <w:tcW w:type="dxa" w:w="3410"/>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后续需要补充的信息</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客室图像与参考方案</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图片资产、项目目录</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场景、区域、授权及适用范围</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分区标记与遮罩</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图片、参数与输入关联</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标记规范、研究用途及人工判断</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模块和材料资料</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文档、模型、图片及标签</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层级、真实属性、接口与依据</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试验输入与结果</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设计会话、任务及输出资产</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试验组别、判定口径与评测记录</w:t>
            </w:r>
          </w:p>
        </w:tc>
      </w:tr>
      <w:tr>
        <w:trPr>
          <w:cantSplit w:val="true"/>
        </w:trPr>
        <w:tc>
          <w:tcPr>
            <w:tcW w:type="dxa" w:w="2502"/>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评审和交付资料</w:t>
            </w:r>
          </w:p>
        </w:tc>
        <w:tc>
          <w:tcPr>
            <w:tcW w:type="dxa" w:w="306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文档、文本及项目目录</w:t>
            </w:r>
          </w:p>
        </w:tc>
        <w:tc>
          <w:tcPr>
            <w:tcW w:type="dxa" w:w="3410"/>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确认记录、问题关闭与适用版本</w:t>
            </w:r>
          </w:p>
        </w:tc>
      </w:tr>
    </w:tbl>
    <w:p>
      <w:pPr>
        <w:pStyle w:val="Heading2"/>
        <w:spacing w:lineRule="exact" w:line="480" w:before="80" w:after="0"/>
        <w:ind w:firstLine="0"/>
      </w:pPr>
      <w:bookmarkStart w:id="40" w:name="report_heading_040"/>
      <w:r>
        <w:rPr>
          <w:rFonts w:ascii="KaiTi" w:hAnsi="KaiTi" w:eastAsia="楷体" w:cs="KaiTi"/>
          <w:b w:val="0"/>
          <w:color w:val="000000"/>
          <w:sz w:val="28"/>
        </w:rPr>
        <w:t>（二）上传与成果入库</w:t>
      </w:r>
      <w:bookmarkEnd w:id="40"/>
    </w:p>
    <w:p>
      <w:pPr>
        <w:widowControl/>
        <w:spacing w:lineRule="exact" w:line="480" w:before="0" w:after="0"/>
        <w:ind w:firstLine="480"/>
      </w:pPr>
      <w:r>
        <w:rPr>
          <w:rFonts w:ascii="SimSun" w:hAnsi="SimSun" w:eastAsia="宋体" w:cs="SimSun"/>
          <w:b w:val="0"/>
          <w:color w:val="000000"/>
          <w:sz w:val="24"/>
        </w:rPr>
        <w:t>文件先经过身份、项目范围、类型和大小检查，再取得短时上传地址。浏览器完成文件传输后，平台检查对象存在及基本信息，确认后才能作为可用资产。文件上传成功与资产登记成功是两个步骤；缺少登记或对象校验失败的文件，不能作为正式任务输入。研究数据清单也应关联已完成登记的资料，避免只记录用户本机路径。</w:t>
      </w:r>
    </w:p>
    <w:p>
      <w:pPr>
        <w:widowControl/>
        <w:spacing w:lineRule="exact" w:line="480" w:before="0" w:after="0"/>
        <w:ind w:firstLine="480"/>
      </w:pPr>
      <w:r>
        <w:rPr>
          <w:rFonts w:ascii="SimSun" w:hAnsi="SimSun" w:eastAsia="宋体" w:cs="SimSun"/>
          <w:b w:val="0"/>
          <w:color w:val="000000"/>
          <w:sz w:val="24"/>
        </w:rPr>
        <w:t>设计工作流结果先保存在任务结果范围，用户可查看并决定是否加入资产中心。保存时保持原任务来源，后续深化任务引用该资产。图 20 表达原始资料、任务快照、暂存输出、确认资产和后续任务之间的关系。暂存结果与确认资产在管理上不同，使用者应能理解当前结果是否已经形成可复用资料。</w:t>
      </w:r>
    </w:p>
    <w:p>
      <w:pPr>
        <w:keepNext/>
        <w:spacing w:before="80" w:after="0" w:line="240" w:lineRule="auto"/>
        <w:ind w:firstLine="0"/>
        <w:jc w:val="center"/>
      </w:pPr>
      <w:r>
        <w:drawing>
          <wp:inline xmlns:a="http://schemas.openxmlformats.org/drawingml/2006/main" xmlns:pic="http://schemas.openxmlformats.org/drawingml/2006/picture">
            <wp:extent cx="5650992" cy="3013862"/>
            <wp:docPr id="20" name="Picture 20" descr="图 20 设计输入与成果复用的来源关系"/>
            <wp:cNvGraphicFramePr>
              <a:graphicFrameLocks noChangeAspect="1"/>
            </wp:cNvGraphicFramePr>
            <a:graphic>
              <a:graphicData uri="http://schemas.openxmlformats.org/drawingml/2006/picture">
                <pic:pic>
                  <pic:nvPicPr>
                    <pic:cNvPr id="0" name="figure-11.png"/>
                    <pic:cNvPicPr/>
                  </pic:nvPicPr>
                  <pic:blipFill>
                    <a:blip r:embed="rId31"/>
                    <a:stretch>
                      <a:fillRect/>
                    </a:stretch>
                  </pic:blipFill>
                  <pic:spPr>
                    <a:xfrm>
                      <a:off x="0" y="0"/>
                      <a:ext cx="5650992" cy="3013862"/>
                    </a:xfrm>
                    <a:prstGeom prst="rect"/>
                  </pic:spPr>
                </pic:pic>
              </a:graphicData>
            </a:graphic>
          </wp:inline>
        </w:drawing>
      </w:r>
    </w:p>
    <w:p>
      <w:pPr>
        <w:pStyle w:val="Caption"/>
        <w:keepNext w:val="0"/>
      </w:pPr>
      <w:r>
        <w:rPr>
          <w:rFonts w:ascii="SimSun" w:hAnsi="SimSun" w:eastAsia="宋体" w:cs="SimSun"/>
          <w:color w:val="000000"/>
          <w:sz w:val="24"/>
        </w:rPr>
        <w:t>图 20 设计输入与成果复用的来源关系</w:t>
      </w:r>
    </w:p>
    <w:p>
      <w:pPr>
        <w:widowControl/>
        <w:spacing w:lineRule="exact" w:line="480" w:before="0" w:after="0"/>
        <w:ind w:firstLine="480"/>
      </w:pPr>
      <w:r>
        <w:rPr>
          <w:rFonts w:ascii="SimSun" w:hAnsi="SimSun" w:eastAsia="宋体" w:cs="SimSun"/>
          <w:b w:val="0"/>
          <w:color w:val="000000"/>
          <w:sz w:val="24"/>
        </w:rPr>
        <w:t>训练模型和报告文件按相应流程自动登记，仍需区分文件可用与研究质量确认。原始资料、生成结果和专业确认材料应分别组织，不以“已保存”统一表示三者的可信程度。针对后续增加的模块参数和评审信息，应明确其关联对象、修改权限和历史保留方式，保持文件与结构化记录能够互相定位。</w:t>
      </w:r>
    </w:p>
    <w:p>
      <w:pPr>
        <w:pStyle w:val="Heading2"/>
        <w:spacing w:lineRule="exact" w:line="480" w:before="80" w:after="0"/>
        <w:ind w:firstLine="0"/>
      </w:pPr>
      <w:bookmarkStart w:id="41" w:name="report_heading_041"/>
      <w:r>
        <w:rPr>
          <w:rFonts w:ascii="KaiTi" w:hAnsi="KaiTi" w:eastAsia="楷体" w:cs="KaiTi"/>
          <w:b w:val="0"/>
          <w:color w:val="000000"/>
          <w:sz w:val="28"/>
        </w:rPr>
        <w:t>（三）版本与研究记录</w:t>
      </w:r>
      <w:bookmarkEnd w:id="41"/>
    </w:p>
    <w:p>
      <w:pPr>
        <w:widowControl/>
        <w:spacing w:lineRule="exact" w:line="480" w:before="0" w:after="0"/>
        <w:ind w:firstLine="480"/>
      </w:pPr>
      <w:r>
        <w:rPr>
          <w:rFonts w:ascii="SimSun" w:hAnsi="SimSun" w:eastAsia="宋体" w:cs="SimSun"/>
          <w:b w:val="0"/>
          <w:color w:val="000000"/>
          <w:sz w:val="24"/>
        </w:rPr>
        <w:t>现有平台可保留资产版本关系、任务参数及来源信息，但不能因此描述为已经提供完整的前端版本比较、任意版本恢复和研究结论自动同步功能。研究工作应在资料清单中记录本次使用的底图、参数、能力配置和输出，重要修订另存新版本，避免用同名文件反复覆盖。正式交付时还需校对文档、系统和试验资料是否对应同一阶段。</w:t>
      </w:r>
    </w:p>
    <w:p>
      <w:pPr>
        <w:widowControl/>
        <w:spacing w:lineRule="exact" w:line="480" w:before="0" w:after="0"/>
        <w:ind w:firstLine="480"/>
      </w:pPr>
      <w:r>
        <w:rPr>
          <w:rFonts w:ascii="SimSun" w:hAnsi="SimSun" w:eastAsia="宋体" w:cs="SimSun"/>
          <w:b w:val="0"/>
          <w:color w:val="000000"/>
          <w:sz w:val="24"/>
        </w:rPr>
        <w:t>版本记录至少回答三个问题：本次结论基于哪些资料，采用什么处理条件，后续哪些变更会使结论需要复核。输入底图、标记规范、模板内容、外部模型或工作流发生变化时，应评估代表性样例是否需要重做。只修改排版不需要重新解释算法效果；改变输入语义或能力映射则可能影响研究结果，需按风险重新验证。</w:t>
      </w:r>
    </w:p>
    <w:p>
      <w:pPr>
        <w:widowControl/>
        <w:spacing w:lineRule="exact" w:line="480" w:before="0" w:after="0"/>
        <w:ind w:firstLine="480"/>
      </w:pPr>
      <w:r>
        <w:rPr>
          <w:rFonts w:ascii="SimSun" w:hAnsi="SimSun" w:eastAsia="宋体" w:cs="SimSun"/>
          <w:b w:val="0"/>
          <w:color w:val="000000"/>
          <w:sz w:val="24"/>
        </w:rPr>
        <w:t>资料管理还要考虑保留与删除。项目或会话的软删除不应破坏历史任务、已形成资产和审计关系。成员退出项目不应删除其已提交资料。个人聊天清理与项目资料管理分开，不能把两种数据域的清理操作混为一谈。研究人员在整理样本或交付材料时，应确认没有把个人附件误当作项目公共数据。</w:t>
      </w:r>
    </w:p>
    <w:p>
      <w:pPr>
        <w:pStyle w:val="Heading1"/>
        <w:pageBreakBefore/>
        <w:spacing w:lineRule="exact" w:line="480" w:before="0" w:after="0"/>
        <w:ind w:firstLine="0"/>
      </w:pPr>
      <w:bookmarkStart w:id="42" w:name="report_heading_042"/>
      <w:r>
        <w:rPr>
          <w:rFonts w:ascii="SimHei" w:hAnsi="SimHei" w:eastAsia="黑体" w:cs="SimHei"/>
          <w:b/>
          <w:color w:val="000000"/>
          <w:sz w:val="28"/>
        </w:rPr>
        <w:t>七、既有产品平台接口与系统集成</w:t>
      </w:r>
      <w:bookmarkEnd w:id="42"/>
    </w:p>
    <w:p>
      <w:pPr>
        <w:pStyle w:val="Heading2"/>
        <w:spacing w:lineRule="exact" w:line="480" w:before="80" w:after="0"/>
        <w:ind w:firstLine="0"/>
      </w:pPr>
      <w:bookmarkStart w:id="43" w:name="report_heading_043"/>
      <w:r>
        <w:rPr>
          <w:rFonts w:ascii="KaiTi" w:hAnsi="KaiTi" w:eastAsia="楷体" w:cs="KaiTi"/>
          <w:b w:val="0"/>
          <w:color w:val="000000"/>
          <w:sz w:val="28"/>
        </w:rPr>
        <w:t>（一）接口范围与现有条件</w:t>
      </w:r>
      <w:bookmarkEnd w:id="43"/>
    </w:p>
    <w:p>
      <w:pPr>
        <w:widowControl/>
        <w:spacing w:lineRule="exact" w:line="480" w:before="0" w:after="0"/>
        <w:ind w:firstLine="480"/>
      </w:pPr>
      <w:r>
        <w:rPr>
          <w:rFonts w:ascii="SimSun" w:hAnsi="SimSun" w:eastAsia="宋体" w:cs="SimSun"/>
          <w:b w:val="0"/>
          <w:color w:val="000000"/>
          <w:sz w:val="24"/>
        </w:rPr>
        <w:t>合同要求平台具备与既有产品平台的接口和交互能力，并在第三阶段完成相关功能。现有平台自身的项目、资产和任务服务可以作为后续集成基础，但内部业务接口存在不等于已经完成与中车既有产品平台的真实对接。当前需进一步确认对方对象标识、数据格式、网络、认证和测试环境，再确定具体交换内容与实施方式。</w:t>
      </w:r>
    </w:p>
    <w:p>
      <w:pPr>
        <w:widowControl/>
        <w:spacing w:lineRule="exact" w:line="480" w:before="0" w:after="0"/>
        <w:ind w:firstLine="480"/>
      </w:pPr>
      <w:r>
        <w:rPr>
          <w:rFonts w:ascii="SimSun" w:hAnsi="SimSun" w:eastAsia="宋体" w:cs="SimSun"/>
          <w:b w:val="0"/>
          <w:color w:val="000000"/>
          <w:sz w:val="24"/>
        </w:rPr>
        <w:t>集成范围宜围绕合同直接相关的业务：设计资料导入、项目或产品对象关联、成果文件输出，以及必要的任务状态和交互记录。项目主数据由哪一方维护、模块编码是否已有标准、文件采用推送还是受控获取、结果是否需要签收，都应在接口确认阶段形成明确记录。不在缺少资料时假设已有企业单点登录、自动双向同步或模块规则回写能力。</w:t>
      </w:r>
    </w:p>
    <w:p>
      <w:pPr>
        <w:keepNext/>
        <w:spacing w:before="80" w:after="0" w:line="240" w:lineRule="auto"/>
        <w:ind w:firstLine="0"/>
        <w:jc w:val="center"/>
      </w:pPr>
      <w:r>
        <w:drawing>
          <wp:inline xmlns:a="http://schemas.openxmlformats.org/drawingml/2006/main" xmlns:pic="http://schemas.openxmlformats.org/drawingml/2006/picture">
            <wp:extent cx="5650992" cy="2542946"/>
            <wp:docPr id="21" name="Picture 21" descr="图 21 既有产品平台对接的拟建边界"/>
            <wp:cNvGraphicFramePr>
              <a:graphicFrameLocks noChangeAspect="1"/>
            </wp:cNvGraphicFramePr>
            <a:graphic>
              <a:graphicData uri="http://schemas.openxmlformats.org/drawingml/2006/picture">
                <pic:pic>
                  <pic:nvPicPr>
                    <pic:cNvPr id="0" name="figure-12.png"/>
                    <pic:cNvPicPr/>
                  </pic:nvPicPr>
                  <pic:blipFill>
                    <a:blip r:embed="rId32"/>
                    <a:stretch>
                      <a:fillRect/>
                    </a:stretch>
                  </pic:blipFill>
                  <pic:spPr>
                    <a:xfrm>
                      <a:off x="0" y="0"/>
                      <a:ext cx="5650992" cy="2542946"/>
                    </a:xfrm>
                    <a:prstGeom prst="rect"/>
                  </pic:spPr>
                </pic:pic>
              </a:graphicData>
            </a:graphic>
          </wp:inline>
        </w:drawing>
      </w:r>
    </w:p>
    <w:p>
      <w:pPr>
        <w:pStyle w:val="Caption"/>
        <w:keepNext w:val="0"/>
      </w:pPr>
      <w:r>
        <w:rPr>
          <w:rFonts w:ascii="SimSun" w:hAnsi="SimSun" w:eastAsia="宋体" w:cs="SimSun"/>
          <w:color w:val="000000"/>
          <w:sz w:val="24"/>
        </w:rPr>
        <w:t>图 21 既有产品平台对接的拟建边界</w:t>
      </w:r>
    </w:p>
    <w:p>
      <w:pPr>
        <w:pStyle w:val="Heading2"/>
        <w:spacing w:lineRule="exact" w:line="480" w:before="80" w:after="0"/>
        <w:ind w:firstLine="0"/>
      </w:pPr>
      <w:bookmarkStart w:id="44" w:name="report_heading_044"/>
      <w:r>
        <w:rPr>
          <w:rFonts w:ascii="KaiTi" w:hAnsi="KaiTi" w:eastAsia="楷体" w:cs="KaiTi"/>
          <w:b w:val="0"/>
          <w:color w:val="000000"/>
          <w:sz w:val="28"/>
        </w:rPr>
        <w:t>（二）对象映射与文件交换</w:t>
      </w:r>
      <w:bookmarkEnd w:id="44"/>
    </w:p>
    <w:p>
      <w:pPr>
        <w:widowControl/>
        <w:spacing w:lineRule="exact" w:line="480" w:before="0" w:after="0"/>
        <w:ind w:firstLine="480"/>
      </w:pPr>
      <w:r>
        <w:rPr>
          <w:rFonts w:ascii="SimSun" w:hAnsi="SimSun" w:eastAsia="宋体" w:cs="SimSun"/>
          <w:b w:val="0"/>
          <w:color w:val="000000"/>
          <w:sz w:val="24"/>
        </w:rPr>
        <w:t>对象映射先于接口开发。平台中的项目、资产、任务和对方的产品、车型、设计对象可能不是一一对应，需要说明关联规则和主数据来源。字段映射表应包含双方字段含义、是否必填、取值范围、单位、时间表达、空值处理和版本标识。对不能直接转换的字段保留待确认项，不以默认值掩盖资料缺失。</w:t>
      </w:r>
    </w:p>
    <w:p>
      <w:pPr>
        <w:widowControl/>
        <w:spacing w:lineRule="exact" w:line="480" w:before="0" w:after="0"/>
        <w:ind w:firstLine="480"/>
      </w:pPr>
      <w:r>
        <w:rPr>
          <w:rFonts w:ascii="SimSun" w:hAnsi="SimSun" w:eastAsia="宋体" w:cs="SimSun"/>
          <w:b w:val="0"/>
          <w:color w:val="000000"/>
          <w:sz w:val="24"/>
        </w:rPr>
        <w:t>文件交换需要确认格式、大小、完整性校验、访问期限和接收结果。大文件不宜在普通业务报文中直接堆叠传输，宜通过受控文件机制配合资产引用完成；具体方式以甲方网络条件和接口协议为准。对方获得文件不自动取得所有关联项目的权限，链接有效期也不能代替项目授权。</w:t>
      </w:r>
    </w:p>
    <w:p>
      <w:pPr>
        <w:pStyle w:val="Caption"/>
        <w:keepNext/>
        <w:jc w:val="center"/>
      </w:pPr>
      <w:r>
        <w:rPr>
          <w:rFonts w:ascii="SimSun" w:hAnsi="SimSun" w:eastAsia="宋体" w:cs="SimSun"/>
          <w:color w:val="000000"/>
          <w:sz w:val="24"/>
        </w:rPr>
        <w:t>表 9 接口确认与联调工作清单</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55"/>
        <w:gridCol w:w="3788"/>
        <w:gridCol w:w="3429"/>
      </w:tblGrid>
      <w:tr>
        <w:trPr>
          <w:cantSplit w:val="true"/>
          <w:tblHeader w:val="true"/>
        </w:trPr>
        <w:tc>
          <w:tcPr>
            <w:tcW w:type="dxa" w:w="175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确认事项</w:t>
            </w:r>
          </w:p>
        </w:tc>
        <w:tc>
          <w:tcPr>
            <w:tcW w:type="dxa" w:w="378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需形成的内容</w:t>
            </w:r>
          </w:p>
        </w:tc>
        <w:tc>
          <w:tcPr>
            <w:tcW w:type="dxa" w:w="342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验证方式</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对象关系</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项目、产品、车型及设计资料映射</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使用真实样例逐字段核对</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身份与权限</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调用身份、数据范围及凭据管理</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合法调用与越权拒绝测试</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文件传输</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类型、容量、校验及获取期限</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完整上传下载与异常中断验证</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状态交互</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任务状态、错误、重试与签收</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正常、重复、超时及失败场景</w:t>
            </w:r>
          </w:p>
        </w:tc>
      </w:tr>
      <w:tr>
        <w:trPr>
          <w:cantSplit w:val="true"/>
        </w:trPr>
        <w:tc>
          <w:tcPr>
            <w:tcW w:type="dxa" w:w="175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版本兼容</w:t>
            </w:r>
          </w:p>
        </w:tc>
        <w:tc>
          <w:tcPr>
            <w:tcW w:type="dxa" w:w="378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字段变更与历史资料处理</w:t>
            </w:r>
          </w:p>
        </w:tc>
        <w:tc>
          <w:tcPr>
            <w:tcW w:type="dxa" w:w="342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新旧版本样例及回归测试</w:t>
            </w:r>
          </w:p>
        </w:tc>
      </w:tr>
    </w:tbl>
    <w:p>
      <w:pPr>
        <w:pStyle w:val="Heading2"/>
        <w:spacing w:lineRule="exact" w:line="480" w:before="80" w:after="0"/>
        <w:ind w:firstLine="0"/>
      </w:pPr>
      <w:bookmarkStart w:id="45" w:name="report_heading_045"/>
      <w:r>
        <w:rPr>
          <w:rFonts w:ascii="KaiTi" w:hAnsi="KaiTi" w:eastAsia="楷体" w:cs="KaiTi"/>
          <w:b w:val="0"/>
          <w:color w:val="000000"/>
          <w:sz w:val="28"/>
        </w:rPr>
        <w:t>（三）接口实施与失败处理</w:t>
      </w:r>
      <w:bookmarkEnd w:id="45"/>
    </w:p>
    <w:p>
      <w:pPr>
        <w:widowControl/>
        <w:spacing w:lineRule="exact" w:line="480" w:before="0" w:after="0"/>
        <w:ind w:firstLine="480"/>
      </w:pPr>
      <w:r>
        <w:rPr>
          <w:rFonts w:ascii="SimSun" w:hAnsi="SimSun" w:eastAsia="宋体" w:cs="SimSun"/>
          <w:b w:val="0"/>
          <w:color w:val="000000"/>
          <w:sz w:val="24"/>
        </w:rPr>
        <w:t>接口实施建议依次完成协议确认、受控样例验证、平台侧适配、目标环境联调和场景验收。模拟服务可用于检查字段、重复请求、超时和错误处理，但正式接口完成必须有真实对方系统参与的记录。测试报告应说明哪些证据来自模拟、哪些来自真实联调，不能用模拟回执替代最终对接证据。</w:t>
      </w:r>
    </w:p>
    <w:p>
      <w:pPr>
        <w:widowControl/>
        <w:spacing w:lineRule="exact" w:line="480" w:before="0" w:after="0"/>
        <w:ind w:firstLine="480"/>
      </w:pPr>
      <w:r>
        <w:rPr>
          <w:rFonts w:ascii="SimSun" w:hAnsi="SimSun" w:eastAsia="宋体" w:cs="SimSun"/>
          <w:b w:val="0"/>
          <w:color w:val="000000"/>
          <w:sz w:val="24"/>
        </w:rPr>
        <w:t>重复请求应能识别相同业务动作，避免形成重复资料或任务；传输中断应保留已完成的本地结果及错误信息；对方拒收应说明原因并支持人工处置。自动重试是否安全取决于接口操作的幂等性，不能对所有写操作无条件重试。未获得对方确认前，不将“请求已经发出”视为成果已完成交付。</w:t>
      </w:r>
    </w:p>
    <w:p>
      <w:pPr>
        <w:pStyle w:val="Heading1"/>
        <w:pageBreakBefore/>
        <w:spacing w:lineRule="exact" w:line="480" w:before="0" w:after="0"/>
        <w:ind w:firstLine="0"/>
      </w:pPr>
      <w:bookmarkStart w:id="46" w:name="report_heading_046"/>
      <w:r>
        <w:rPr>
          <w:rFonts w:ascii="SimHei" w:hAnsi="SimHei" w:eastAsia="黑体" w:cs="SimHei"/>
          <w:b/>
          <w:color w:val="000000"/>
          <w:sz w:val="28"/>
        </w:rPr>
        <w:t>八、安全与运行保障</w:t>
      </w:r>
      <w:bookmarkEnd w:id="46"/>
    </w:p>
    <w:p>
      <w:pPr>
        <w:pStyle w:val="Heading2"/>
        <w:spacing w:lineRule="exact" w:line="480" w:before="80" w:after="0"/>
        <w:ind w:firstLine="0"/>
      </w:pPr>
      <w:bookmarkStart w:id="47" w:name="report_heading_047"/>
      <w:r>
        <w:rPr>
          <w:rFonts w:ascii="KaiTi" w:hAnsi="KaiTi" w:eastAsia="楷体" w:cs="KaiTi"/>
          <w:b w:val="0"/>
          <w:color w:val="000000"/>
          <w:sz w:val="28"/>
        </w:rPr>
        <w:t>（一）身份权限与数据隔离</w:t>
      </w:r>
      <w:bookmarkEnd w:id="47"/>
    </w:p>
    <w:p>
      <w:pPr>
        <w:widowControl/>
        <w:spacing w:lineRule="exact" w:line="480" w:before="0" w:after="0"/>
        <w:ind w:firstLine="480"/>
      </w:pPr>
      <w:r>
        <w:rPr>
          <w:rFonts w:ascii="SimSun" w:hAnsi="SimSun" w:eastAsia="宋体" w:cs="SimSun"/>
          <w:b w:val="0"/>
          <w:color w:val="000000"/>
          <w:sz w:val="24"/>
        </w:rPr>
        <w:t>现有平台采用管理员和普通用户两类平台角色，项目内另有创建者、编辑和只读等权限范围。管理员可以进行管理操作，但受到自身角色保护及末位启用管理员保护。普通用户只能使用授权项目的数据；只读成员不能通过直接调用服务绕过页面限制进行写入。研究样本、成果及任务的访问均应纳入相同权限边界。</w:t>
      </w:r>
    </w:p>
    <w:p>
      <w:pPr>
        <w:widowControl/>
        <w:spacing w:lineRule="exact" w:line="480" w:before="0" w:after="0"/>
        <w:ind w:firstLine="480"/>
      </w:pPr>
      <w:r>
        <w:rPr>
          <w:rFonts w:ascii="SimSun" w:hAnsi="SimSun" w:eastAsia="宋体" w:cs="SimSun"/>
          <w:b w:val="0"/>
          <w:color w:val="000000"/>
          <w:sz w:val="24"/>
        </w:rPr>
        <w:t>个人 AI 会话采用用户范围隔离，项目资料采用项目范围隔离，两者分别判断。管理员可查看操作元数据，不获得其他用户聊天正文的读取权限。图片上传、预览和下载都需要重新检查归属，不能仅根据文件地址是否可猜测来保护数据。权限测试应覆盖修改对象编号、切换项目、成员移除与会话失效后的读取。</w:t>
      </w:r>
    </w:p>
    <w:p>
      <w:pPr>
        <w:pStyle w:val="Heading2"/>
        <w:spacing w:lineRule="exact" w:line="480" w:before="80" w:after="0"/>
        <w:ind w:firstLine="0"/>
      </w:pPr>
      <w:bookmarkStart w:id="48" w:name="report_heading_048"/>
      <w:r>
        <w:rPr>
          <w:rFonts w:ascii="KaiTi" w:hAnsi="KaiTi" w:eastAsia="楷体" w:cs="KaiTi"/>
          <w:b w:val="0"/>
          <w:color w:val="000000"/>
          <w:sz w:val="28"/>
        </w:rPr>
        <w:t>（二）保密与审计</w:t>
      </w:r>
      <w:bookmarkEnd w:id="48"/>
    </w:p>
    <w:p>
      <w:pPr>
        <w:widowControl/>
        <w:spacing w:lineRule="exact" w:line="480" w:before="0" w:after="0"/>
        <w:ind w:firstLine="480"/>
      </w:pPr>
      <w:r>
        <w:rPr>
          <w:rFonts w:ascii="SimSun" w:hAnsi="SimSun" w:eastAsia="宋体" w:cs="SimSun"/>
          <w:b w:val="0"/>
          <w:color w:val="000000"/>
          <w:sz w:val="24"/>
        </w:rPr>
        <w:t>平台接触的车型资料、图纸、模型、研究记录和设计成果应按甲方保密要求使用。外部能力服务的可访问性不构成数据发送授权，涉及外部传输时应先确认部署位置与数据使用边界。研究报告、样例图和试验资料对外提供前，应检查是否包含未经授权的项目内容、账号信息和内部服务配置。</w:t>
      </w:r>
    </w:p>
    <w:p>
      <w:pPr>
        <w:widowControl/>
        <w:spacing w:lineRule="exact" w:line="480" w:before="0" w:after="0"/>
        <w:ind w:firstLine="480"/>
      </w:pPr>
      <w:r>
        <w:rPr>
          <w:rFonts w:ascii="SimSun" w:hAnsi="SimSun" w:eastAsia="宋体" w:cs="SimSun"/>
          <w:b w:val="0"/>
          <w:color w:val="000000"/>
          <w:sz w:val="24"/>
        </w:rPr>
        <w:t>审计记录请求与关键业务动作的必要元数据，如操作者、项目、任务、状态、时间和错误摘要，不采集完整聊天正文、文件正文、密码或令牌。研究人员可以通过任务与资产关系定位问题，再在有权限的业务页面查看相应资料，不需要为方便排障把敏感内容复制进日志。不同管理员的操作应保留可区分的身份快照，不能只记为同一个管理角色。</w:t>
      </w:r>
    </w:p>
    <w:p>
      <w:pPr>
        <w:pStyle w:val="Heading2"/>
        <w:spacing w:lineRule="exact" w:line="480" w:before="80" w:after="0"/>
        <w:ind w:firstLine="0"/>
      </w:pPr>
      <w:bookmarkStart w:id="49" w:name="report_heading_049"/>
      <w:r>
        <w:rPr>
          <w:rFonts w:ascii="KaiTi" w:hAnsi="KaiTi" w:eastAsia="楷体" w:cs="KaiTi"/>
          <w:b w:val="0"/>
          <w:color w:val="000000"/>
          <w:sz w:val="28"/>
        </w:rPr>
        <w:t>（三）运行与故障恢复</w:t>
      </w:r>
      <w:bookmarkEnd w:id="49"/>
    </w:p>
    <w:p>
      <w:pPr>
        <w:widowControl/>
        <w:spacing w:lineRule="exact" w:line="480" w:before="0" w:after="0"/>
        <w:ind w:firstLine="480"/>
      </w:pPr>
      <w:r>
        <w:rPr>
          <w:rFonts w:ascii="SimSun" w:hAnsi="SimSun" w:eastAsia="宋体" w:cs="SimSun"/>
          <w:b w:val="0"/>
          <w:color w:val="000000"/>
          <w:sz w:val="24"/>
        </w:rPr>
        <w:t>运行保障包括平台服务、独立执行进程、数据库、对象存储和外部能力健康检查。应分别观察服务可访问、任务可领取、外部任务可执行、结果可读取和资产可登记，而不是用单一网页能打开判断整个系统正常。外部服务未配置、超时或返回格式错误时，应保留明确状态，避免任务长期显示生成中而无法解释。</w:t>
      </w:r>
    </w:p>
    <w:p>
      <w:pPr>
        <w:widowControl/>
        <w:spacing w:lineRule="exact" w:line="480" w:before="0" w:after="0"/>
        <w:ind w:firstLine="480"/>
      </w:pPr>
      <w:r>
        <w:rPr>
          <w:rFonts w:ascii="SimSun" w:hAnsi="SimSun" w:eastAsia="宋体" w:cs="SimSun"/>
          <w:b w:val="0"/>
          <w:color w:val="000000"/>
          <w:sz w:val="24"/>
        </w:rPr>
        <w:t>正式运行前需确定备份频率、保留期限、恢复目标和责任人，并使用隔离环境验证恢复后资料可读、任务关系完整、用户权限有效。数据库备份与文件对象备份需要对应，同步了业务记录但缺少对象文件不能形成可用恢复。恢复演练和容量测试应在目标环境开展，依据实测结果确定服务保障目标与运行条件。</w:t>
      </w:r>
    </w:p>
    <w:p>
      <w:pPr>
        <w:pStyle w:val="Heading1"/>
        <w:pageBreakBefore/>
        <w:spacing w:lineRule="exact" w:line="480" w:before="0" w:after="0"/>
        <w:ind w:firstLine="0"/>
      </w:pPr>
      <w:bookmarkStart w:id="50" w:name="report_heading_050"/>
      <w:r>
        <w:rPr>
          <w:rFonts w:ascii="SimHei" w:hAnsi="SimHei" w:eastAsia="黑体" w:cs="SimHei"/>
          <w:b/>
          <w:color w:val="000000"/>
          <w:sz w:val="28"/>
        </w:rPr>
        <w:t>九、技术路线与建设进度计划</w:t>
      </w:r>
      <w:bookmarkEnd w:id="50"/>
    </w:p>
    <w:p>
      <w:pPr>
        <w:pStyle w:val="Heading2"/>
        <w:spacing w:lineRule="exact" w:line="480" w:before="80" w:after="0"/>
        <w:ind w:firstLine="0"/>
      </w:pPr>
      <w:bookmarkStart w:id="51" w:name="report_heading_051"/>
      <w:r>
        <w:rPr>
          <w:rFonts w:ascii="KaiTi" w:hAnsi="KaiTi" w:eastAsia="楷体" w:cs="KaiTi"/>
          <w:b w:val="0"/>
          <w:color w:val="000000"/>
          <w:sz w:val="28"/>
        </w:rPr>
        <w:t>（一）阶段路线与依赖关系</w:t>
      </w:r>
      <w:bookmarkEnd w:id="51"/>
    </w:p>
    <w:p>
      <w:pPr>
        <w:widowControl/>
        <w:spacing w:lineRule="exact" w:line="480" w:before="0" w:after="0"/>
        <w:ind w:firstLine="480"/>
      </w:pPr>
      <w:r>
        <w:rPr>
          <w:rFonts w:ascii="SimSun" w:hAnsi="SimSun" w:eastAsia="宋体" w:cs="SimSun"/>
          <w:b w:val="0"/>
          <w:color w:val="000000"/>
          <w:sz w:val="24"/>
        </w:rPr>
        <w:t>总体路线遵循合同提出的需求与数据梳理、关键技术识别与研究、功能模块体系搭建、快速设计系统开发、平台集成、验证与迭代优化、版本固化。实施中不必等待全部研究结束才完善平台基础，但对象分类、输入语义和验收口径必须先于相关功能冻结。研究与开发并行时，采用代表性任务作为共同检查点，使方法变化能够及时反映到业务流程和测试用例。</w:t>
      </w:r>
    </w:p>
    <w:p>
      <w:pPr>
        <w:widowControl/>
        <w:spacing w:lineRule="exact" w:line="480" w:before="0" w:after="0"/>
        <w:ind w:firstLine="480"/>
      </w:pPr>
      <w:r>
        <w:rPr>
          <w:rFonts w:ascii="SimSun" w:hAnsi="SimSun" w:eastAsia="宋体" w:cs="SimSun"/>
          <w:b w:val="0"/>
          <w:color w:val="000000"/>
          <w:sz w:val="24"/>
        </w:rPr>
        <w:t>第一阶段主要形成问题界定、区域划分、模块拆解、现有交互分析、总体架构与验证方案。第二阶段围绕合同业务完成研究方法落地和快速设计系统完善，形成第三方检测及甲方验收材料。第三阶段完成既有产品平台接口、系统功能测试、使用与交付资料。图 22 标出合同截止节点，阶段内安排是建议工作分解，不表示各项任务已经实际完成。</w:t>
      </w:r>
    </w:p>
    <w:p>
      <w:pPr>
        <w:keepNext/>
        <w:spacing w:before="80" w:after="0" w:line="240" w:lineRule="auto"/>
        <w:ind w:firstLine="0"/>
        <w:jc w:val="center"/>
      </w:pPr>
      <w:r>
        <w:drawing>
          <wp:inline xmlns:a="http://schemas.openxmlformats.org/drawingml/2006/main" xmlns:pic="http://schemas.openxmlformats.org/drawingml/2006/picture">
            <wp:extent cx="5650992" cy="3296412"/>
            <wp:docPr id="22" name="Picture 22" descr="图 22 平台研究与建设的三阶段计划"/>
            <wp:cNvGraphicFramePr>
              <a:graphicFrameLocks noChangeAspect="1"/>
            </wp:cNvGraphicFramePr>
            <a:graphic>
              <a:graphicData uri="http://schemas.openxmlformats.org/drawingml/2006/picture">
                <pic:pic>
                  <pic:nvPicPr>
                    <pic:cNvPr id="0" name="figure-13.png"/>
                    <pic:cNvPicPr/>
                  </pic:nvPicPr>
                  <pic:blipFill>
                    <a:blip r:embed="rId33"/>
                    <a:stretch>
                      <a:fillRect/>
                    </a:stretch>
                  </pic:blipFill>
                  <pic:spPr>
                    <a:xfrm>
                      <a:off x="0" y="0"/>
                      <a:ext cx="5650992" cy="3296412"/>
                    </a:xfrm>
                    <a:prstGeom prst="rect"/>
                  </pic:spPr>
                </pic:pic>
              </a:graphicData>
            </a:graphic>
          </wp:inline>
        </w:drawing>
      </w:r>
    </w:p>
    <w:p>
      <w:pPr>
        <w:pStyle w:val="Caption"/>
        <w:keepNext w:val="0"/>
      </w:pPr>
      <w:r>
        <w:rPr>
          <w:rFonts w:ascii="SimSun" w:hAnsi="SimSun" w:eastAsia="宋体" w:cs="SimSun"/>
          <w:color w:val="000000"/>
          <w:sz w:val="24"/>
        </w:rPr>
        <w:t>图 22 平台研究与建设的三阶段计划</w:t>
      </w:r>
    </w:p>
    <w:p>
      <w:pPr>
        <w:pStyle w:val="Heading2"/>
        <w:spacing w:lineRule="exact" w:line="480" w:before="80" w:after="0"/>
        <w:ind w:firstLine="0"/>
      </w:pPr>
      <w:bookmarkStart w:id="52" w:name="report_heading_052"/>
      <w:r>
        <w:rPr>
          <w:rFonts w:ascii="KaiTi" w:hAnsi="KaiTi" w:eastAsia="楷体" w:cs="KaiTi"/>
          <w:b w:val="0"/>
          <w:color w:val="000000"/>
          <w:sz w:val="28"/>
        </w:rPr>
        <w:t>（二）合同里程碑</w:t>
      </w:r>
      <w:bookmarkEnd w:id="52"/>
    </w:p>
    <w:p>
      <w:pPr>
        <w:pStyle w:val="Caption"/>
        <w:keepNext/>
        <w:jc w:val="center"/>
      </w:pPr>
      <w:r>
        <w:rPr>
          <w:rFonts w:ascii="SimSun" w:hAnsi="SimSun" w:eastAsia="宋体" w:cs="SimSun"/>
          <w:color w:val="000000"/>
          <w:sz w:val="24"/>
        </w:rPr>
        <w:t>表 10 阶段节点与交付要求</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124"/>
        <w:gridCol w:w="1827"/>
        <w:gridCol w:w="3943"/>
        <w:gridCol w:w="2078"/>
      </w:tblGrid>
      <w:tr>
        <w:trPr>
          <w:cantSplit w:val="true"/>
          <w:tblHeader w:val="true"/>
        </w:trPr>
        <w:tc>
          <w:tcPr>
            <w:tcW w:type="dxa" w:w="112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阶段</w:t>
            </w:r>
          </w:p>
        </w:tc>
        <w:tc>
          <w:tcPr>
            <w:tcW w:type="dxa" w:w="1827"/>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合同截止时间</w:t>
            </w:r>
          </w:p>
        </w:tc>
        <w:tc>
          <w:tcPr>
            <w:tcW w:type="dxa" w:w="394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主要工作及成果</w:t>
            </w:r>
          </w:p>
        </w:tc>
        <w:tc>
          <w:tcPr>
            <w:tcW w:type="dxa" w:w="207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完成依据</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阶段一</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2026-09-30</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功能分区研究、总体架构及研究报告 1 份</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报告专家评审与甲方验收</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阶段二</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2026-12-31</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识别与分区设计研究、快速设计系统 1 套</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第三方检测报告及甲方验收</w:t>
            </w:r>
          </w:p>
        </w:tc>
      </w:tr>
      <w:tr>
        <w:trPr>
          <w:cantSplit w:val="true"/>
        </w:trPr>
        <w:tc>
          <w:tcPr>
            <w:tcW w:type="dxa" w:w="1124"/>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阶段三</w:t>
            </w:r>
          </w:p>
        </w:tc>
        <w:tc>
          <w:tcPr>
            <w:tcW w:type="dxa" w:w="1827"/>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2027-03-31</w:t>
            </w:r>
          </w:p>
        </w:tc>
        <w:tc>
          <w:tcPr>
            <w:tcW w:type="dxa" w:w="3943"/>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功能测试、平台接口、系统源程序 1 套、手册 1 份、软件著作权 3 项</w:t>
            </w:r>
          </w:p>
        </w:tc>
        <w:tc>
          <w:tcPr>
            <w:tcW w:type="dxa" w:w="207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成果验收与软件著作权受理</w:t>
            </w:r>
          </w:p>
        </w:tc>
      </w:tr>
    </w:tbl>
    <w:p>
      <w:pPr>
        <w:widowControl/>
        <w:spacing w:lineRule="exact" w:line="480" w:before="0" w:after="0"/>
        <w:ind w:firstLine="480"/>
      </w:pPr>
      <w:r>
        <w:rPr>
          <w:rFonts w:ascii="SimSun" w:hAnsi="SimSun" w:eastAsia="宋体" w:cs="SimSun"/>
          <w:b w:val="0"/>
          <w:color w:val="000000"/>
          <w:sz w:val="24"/>
        </w:rPr>
        <w:t>第一阶段交付不要求把未开展的后续研究写成完成结论，但报告应足以指导下一阶段：说明研究问题、对象与数据、方法选择、平台边界、验证步骤和风险。对于需要甲方资料或接口才能明确的事项，应形成可追踪的确认清单，写明对哪项任务有影响，而不是泛泛标注待定。</w:t>
      </w:r>
    </w:p>
    <w:p>
      <w:pPr>
        <w:widowControl/>
        <w:spacing w:lineRule="exact" w:line="480" w:before="0" w:after="0"/>
        <w:ind w:firstLine="480"/>
      </w:pPr>
      <w:r>
        <w:rPr>
          <w:rFonts w:ascii="SimSun" w:hAnsi="SimSun" w:eastAsia="宋体" w:cs="SimSun"/>
          <w:b w:val="0"/>
          <w:color w:val="000000"/>
          <w:sz w:val="24"/>
        </w:rPr>
        <w:t>第二阶段应以典型场景闭环检查合同功能，覆盖区域设计、零部件和大部件效果、整体布置表达、成果管理及异常处理。平台辅助功能可同步完善，但不能以新增扩展工具替代核心功能缺口。第三方检测之前需要稳定测试对象与用例，保留内部问题整改记录，防止临近检测时频繁修改输入语义和版本。</w:t>
      </w:r>
    </w:p>
    <w:p>
      <w:pPr>
        <w:widowControl/>
        <w:spacing w:lineRule="exact" w:line="480" w:before="0" w:after="0"/>
        <w:ind w:firstLine="480"/>
      </w:pPr>
      <w:r>
        <w:rPr>
          <w:rFonts w:ascii="SimSun" w:hAnsi="SimSun" w:eastAsia="宋体" w:cs="SimSun"/>
          <w:b w:val="0"/>
          <w:color w:val="000000"/>
          <w:sz w:val="24"/>
        </w:rPr>
        <w:t>第三阶段的接口工作应提前准备资料，不宜到最后阶段才开始联系对接条件。正式接口实现与验收可在第三阶段集中完成，但对象映射、认证方式和测试环境确认应前置。系统交付时应同步整理使用流程、部署条件、运行维护与研究样例，确保接收方能够复现典型任务并理解结果边界。</w:t>
      </w:r>
    </w:p>
    <w:p>
      <w:pPr>
        <w:pStyle w:val="Heading2"/>
        <w:spacing w:lineRule="exact" w:line="480" w:before="80" w:after="0"/>
        <w:ind w:firstLine="0"/>
      </w:pPr>
      <w:bookmarkStart w:id="53" w:name="report_heading_053"/>
      <w:r>
        <w:rPr>
          <w:rFonts w:ascii="KaiTi" w:hAnsi="KaiTi" w:eastAsia="楷体" w:cs="KaiTi"/>
          <w:b w:val="0"/>
          <w:color w:val="000000"/>
          <w:sz w:val="28"/>
        </w:rPr>
        <w:t>（三）近期工作分解</w:t>
      </w:r>
      <w:bookmarkEnd w:id="53"/>
    </w:p>
    <w:p>
      <w:pPr>
        <w:pStyle w:val="ListParagraph"/>
        <w:spacing w:lineRule="exact" w:line="480" w:before="0" w:after="0"/>
        <w:ind w:firstLine="0"/>
        <w:numPr>
          <w:ilvl w:val="0"/>
          <w:numId w:val="10"/>
        </w:numPr>
      </w:pPr>
      <w:r>
        <w:rPr>
          <w:rFonts w:ascii="SimSun" w:hAnsi="SimSun" w:eastAsia="宋体" w:cs="SimSun"/>
          <w:b w:val="0"/>
          <w:color w:val="000000"/>
          <w:sz w:val="24"/>
        </w:rPr>
        <w:t>确认六类核心区域的术语、边界及代表性资料，形成四级模块拆解样例。</w:t>
      </w:r>
    </w:p>
    <w:p>
      <w:pPr>
        <w:pStyle w:val="ListParagraph"/>
        <w:spacing w:lineRule="exact" w:line="480" w:before="0" w:after="0"/>
        <w:ind w:firstLine="0"/>
        <w:numPr>
          <w:ilvl w:val="0"/>
          <w:numId w:val="10"/>
        </w:numPr>
      </w:pPr>
      <w:r>
        <w:rPr>
          <w:rFonts w:ascii="SimSun" w:hAnsi="SimSun" w:eastAsia="宋体" w:cs="SimSun"/>
          <w:b w:val="0"/>
          <w:color w:val="000000"/>
          <w:sz w:val="24"/>
        </w:rPr>
        <w:t>制定颜色标记、编号标记和遮罩的任务说明与标注规范，固定对照试验样本。</w:t>
      </w:r>
    </w:p>
    <w:p>
      <w:pPr>
        <w:pStyle w:val="ListParagraph"/>
        <w:spacing w:lineRule="exact" w:line="480" w:before="0" w:after="0"/>
        <w:ind w:firstLine="0"/>
        <w:numPr>
          <w:ilvl w:val="0"/>
          <w:numId w:val="10"/>
        </w:numPr>
      </w:pPr>
      <w:r>
        <w:rPr>
          <w:rFonts w:ascii="SimSun" w:hAnsi="SimSun" w:eastAsia="宋体" w:cs="SimSun"/>
          <w:b w:val="0"/>
          <w:color w:val="000000"/>
          <w:sz w:val="24"/>
        </w:rPr>
        <w:t>核对现有能力与合同功能的对应关系，列出自动识别、工程参数、规则及接口的差距。</w:t>
      </w:r>
    </w:p>
    <w:p>
      <w:pPr>
        <w:pStyle w:val="ListParagraph"/>
        <w:spacing w:lineRule="exact" w:line="480" w:before="0" w:after="0"/>
        <w:ind w:firstLine="0"/>
        <w:numPr>
          <w:ilvl w:val="0"/>
          <w:numId w:val="10"/>
        </w:numPr>
      </w:pPr>
      <w:r>
        <w:rPr>
          <w:rFonts w:ascii="SimSun" w:hAnsi="SimSun" w:eastAsia="宋体" w:cs="SimSun"/>
          <w:b w:val="0"/>
          <w:color w:val="000000"/>
          <w:sz w:val="24"/>
        </w:rPr>
        <w:t>按研究任务补充评价记录和对照结果，区分人工判断、平台校验及拟建算法。</w:t>
      </w:r>
    </w:p>
    <w:p>
      <w:pPr>
        <w:pStyle w:val="ListParagraph"/>
        <w:spacing w:lineRule="exact" w:line="480" w:before="0" w:after="0"/>
        <w:ind w:firstLine="0"/>
        <w:numPr>
          <w:ilvl w:val="0"/>
          <w:numId w:val="10"/>
        </w:numPr>
      </w:pPr>
      <w:r>
        <w:rPr>
          <w:rFonts w:ascii="SimSun" w:hAnsi="SimSun" w:eastAsia="宋体" w:cs="SimSun"/>
          <w:b w:val="0"/>
          <w:color w:val="000000"/>
          <w:sz w:val="24"/>
        </w:rPr>
        <w:t>明确目标部署环境、模型依赖、文件访问与既有产品平台接口条件。</w:t>
      </w:r>
    </w:p>
    <w:p>
      <w:pPr>
        <w:pStyle w:val="ListParagraph"/>
        <w:spacing w:lineRule="exact" w:line="480" w:before="0" w:after="0"/>
        <w:ind w:firstLine="0"/>
        <w:numPr>
          <w:ilvl w:val="0"/>
          <w:numId w:val="10"/>
        </w:numPr>
      </w:pPr>
      <w:r>
        <w:rPr>
          <w:rFonts w:ascii="SimSun" w:hAnsi="SimSun" w:eastAsia="宋体" w:cs="SimSun"/>
          <w:b w:val="0"/>
          <w:color w:val="000000"/>
          <w:sz w:val="24"/>
        </w:rPr>
        <w:t>形成阶段评审清单、测试计划和整改记录，对变化较大的方法先开展小范围验证。</w:t>
      </w:r>
    </w:p>
    <w:p>
      <w:pPr>
        <w:widowControl/>
        <w:spacing w:lineRule="exact" w:line="480" w:before="0" w:after="0"/>
        <w:ind w:firstLine="480"/>
      </w:pPr>
      <w:r>
        <w:rPr>
          <w:rFonts w:ascii="SimSun" w:hAnsi="SimSun" w:eastAsia="宋体" w:cs="SimSun"/>
          <w:b w:val="0"/>
          <w:color w:val="000000"/>
          <w:sz w:val="24"/>
        </w:rPr>
        <w:t>工作分解应按研究对象、技术实现、数据准备、验证和交付分别指定责任。资料提供人员确认来源与适用性，设计人员确认分区和效果判断，技术人员负责能力衔接与状态一致性，测试人员负责用例与复测，项目负责人控制范围和里程碑。实际人员安排以双方项目组织为准，报告不擅自增加角色承诺或人员数量。</w:t>
      </w:r>
    </w:p>
    <w:p>
      <w:pPr>
        <w:pStyle w:val="Heading1"/>
        <w:pageBreakBefore/>
        <w:spacing w:lineRule="exact" w:line="480" w:before="0" w:after="0"/>
        <w:ind w:firstLine="0"/>
      </w:pPr>
      <w:bookmarkStart w:id="54" w:name="report_heading_054"/>
      <w:r>
        <w:rPr>
          <w:rFonts w:ascii="SimHei" w:hAnsi="SimHei" w:eastAsia="黑体" w:cs="SimHei"/>
          <w:b/>
          <w:color w:val="000000"/>
          <w:sz w:val="28"/>
        </w:rPr>
        <w:t>十、研究验证与合同验收</w:t>
      </w:r>
      <w:bookmarkEnd w:id="54"/>
    </w:p>
    <w:p>
      <w:pPr>
        <w:pStyle w:val="Heading2"/>
        <w:spacing w:lineRule="exact" w:line="480" w:before="80" w:after="0"/>
        <w:ind w:firstLine="0"/>
      </w:pPr>
      <w:bookmarkStart w:id="55" w:name="report_heading_055"/>
      <w:r>
        <w:rPr>
          <w:rFonts w:ascii="KaiTi" w:hAnsi="KaiTi" w:eastAsia="楷体" w:cs="KaiTi"/>
          <w:b w:val="0"/>
          <w:color w:val="000000"/>
          <w:sz w:val="28"/>
        </w:rPr>
        <w:t>（一）研究试验设计</w:t>
      </w:r>
      <w:bookmarkEnd w:id="55"/>
    </w:p>
    <w:p>
      <w:pPr>
        <w:widowControl/>
        <w:spacing w:lineRule="exact" w:line="480" w:before="0" w:after="0"/>
        <w:ind w:firstLine="480"/>
      </w:pPr>
      <w:r>
        <w:rPr>
          <w:rFonts w:ascii="SimSun" w:hAnsi="SimSun" w:eastAsia="宋体" w:cs="SimSun"/>
          <w:b w:val="0"/>
          <w:color w:val="000000"/>
          <w:sz w:val="24"/>
        </w:rPr>
        <w:t>试验 A 比较局部设计意图表达方式。采用相同底图、相同修改目标和相同能力配置，分别使用纯文字、颜色标记、编号标记或遮罩；不适用某种输入形式的任务应单独分组。记录目标定位、准备时间、修改达成、非目标变化和人工调整次数。该试验评价交互方法与生成效果，不直接等同于自动识别精度测试。</w:t>
      </w:r>
    </w:p>
    <w:p>
      <w:pPr>
        <w:widowControl/>
        <w:spacing w:lineRule="exact" w:line="480" w:before="0" w:after="0"/>
        <w:ind w:firstLine="480"/>
      </w:pPr>
      <w:r>
        <w:rPr>
          <w:rFonts w:ascii="SimSun" w:hAnsi="SimSun" w:eastAsia="宋体" w:cs="SimSun"/>
          <w:b w:val="0"/>
          <w:color w:val="000000"/>
          <w:sz w:val="24"/>
        </w:rPr>
        <w:t>试验 B 评价区域识别候选方法。在人工参考标注确定之后，固定独立测试集，比较候选方法对区域类别和范围的判断。分类输出使用对应的分类指标，区域输出使用重叠或边界指标；按核心区域和困难场景分别统计。自动识别研究尚未形成稳定方法时，应如实报告方法差异和失败类型，不先写结论再挑选支持样例。</w:t>
      </w:r>
    </w:p>
    <w:p>
      <w:pPr>
        <w:widowControl/>
        <w:spacing w:lineRule="exact" w:line="480" w:before="0" w:after="0"/>
        <w:ind w:firstLine="480"/>
      </w:pPr>
      <w:r>
        <w:rPr>
          <w:rFonts w:ascii="SimSun" w:hAnsi="SimSun" w:eastAsia="宋体" w:cs="SimSun"/>
          <w:b w:val="0"/>
          <w:color w:val="000000"/>
          <w:sz w:val="24"/>
        </w:rPr>
        <w:t>试验 C 评价快速设计过程。固定设计任务和可接受标准，观察从资料选择、输入准备、任务执行到人工确认的总过程，分别统计人工操作与外部等待。任务失败、结果不接受和二次修改均计入过程记录，不能只统计一次成功生成的时长。若要与既有工作方式比较，应统一任务难度、操作人员和判定条件，并说明学习效应。</w:t>
      </w:r>
    </w:p>
    <w:p>
      <w:pPr>
        <w:widowControl/>
        <w:spacing w:lineRule="exact" w:line="480" w:before="0" w:after="0"/>
        <w:ind w:firstLine="480"/>
      </w:pPr>
      <w:r>
        <w:rPr>
          <w:rFonts w:ascii="SimSun" w:hAnsi="SimSun" w:eastAsia="宋体" w:cs="SimSun"/>
          <w:b w:val="0"/>
          <w:color w:val="000000"/>
          <w:sz w:val="24"/>
        </w:rPr>
        <w:t>试验 D 评价跨区域检查方法。选择存在相邻关系的局部修改任务，对比未使用关联检查清单和使用清单后的结果，记录遗漏问题、补充修改和整体协调评价。评审人员应尽量在不知道方法分组的条件下判断，并保留分歧与原因。不能凭单一综合分宣称解决全部跨区域工程问题。</w:t>
      </w:r>
    </w:p>
    <w:p>
      <w:pPr>
        <w:keepNext/>
        <w:spacing w:before="80" w:after="0" w:line="240" w:lineRule="auto"/>
        <w:ind w:firstLine="0"/>
        <w:jc w:val="center"/>
      </w:pPr>
      <w:r>
        <w:drawing>
          <wp:inline xmlns:a="http://schemas.openxmlformats.org/drawingml/2006/main" xmlns:pic="http://schemas.openxmlformats.org/drawingml/2006/picture">
            <wp:extent cx="5650992" cy="3060954"/>
            <wp:docPr id="23" name="Picture 23" descr="图 23 研究对照试验与评价证据组织"/>
            <wp:cNvGraphicFramePr>
              <a:graphicFrameLocks noChangeAspect="1"/>
            </wp:cNvGraphicFramePr>
            <a:graphic>
              <a:graphicData uri="http://schemas.openxmlformats.org/drawingml/2006/picture">
                <pic:pic>
                  <pic:nvPicPr>
                    <pic:cNvPr id="0" name="figure-14.png"/>
                    <pic:cNvPicPr/>
                  </pic:nvPicPr>
                  <pic:blipFill>
                    <a:blip r:embed="rId34"/>
                    <a:stretch>
                      <a:fillRect/>
                    </a:stretch>
                  </pic:blipFill>
                  <pic:spPr>
                    <a:xfrm>
                      <a:off x="0" y="0"/>
                      <a:ext cx="5650992" cy="3060954"/>
                    </a:xfrm>
                    <a:prstGeom prst="rect"/>
                  </pic:spPr>
                </pic:pic>
              </a:graphicData>
            </a:graphic>
          </wp:inline>
        </w:drawing>
      </w:r>
    </w:p>
    <w:p>
      <w:pPr>
        <w:pStyle w:val="Caption"/>
        <w:keepNext w:val="0"/>
      </w:pPr>
      <w:r>
        <w:rPr>
          <w:rFonts w:ascii="SimSun" w:hAnsi="SimSun" w:eastAsia="宋体" w:cs="SimSun"/>
          <w:color w:val="000000"/>
          <w:sz w:val="24"/>
        </w:rPr>
        <w:t>图 23 研究对照试验与评价证据组织</w:t>
      </w:r>
    </w:p>
    <w:p>
      <w:pPr>
        <w:pStyle w:val="Heading2"/>
        <w:spacing w:lineRule="exact" w:line="480" w:before="80" w:after="0"/>
        <w:ind w:firstLine="0"/>
      </w:pPr>
      <w:bookmarkStart w:id="56" w:name="report_heading_056"/>
      <w:r>
        <w:rPr>
          <w:rFonts w:ascii="KaiTi" w:hAnsi="KaiTi" w:eastAsia="楷体" w:cs="KaiTi"/>
          <w:b w:val="0"/>
          <w:color w:val="000000"/>
          <w:sz w:val="28"/>
        </w:rPr>
        <w:t>（二）指标选择与结果解释</w:t>
      </w:r>
      <w:bookmarkEnd w:id="56"/>
    </w:p>
    <w:p>
      <w:pPr>
        <w:pStyle w:val="Caption"/>
        <w:keepNext/>
        <w:jc w:val="center"/>
      </w:pPr>
      <w:r>
        <w:rPr>
          <w:rFonts w:ascii="SimSun" w:hAnsi="SimSun" w:eastAsia="宋体" w:cs="SimSun"/>
          <w:color w:val="000000"/>
          <w:sz w:val="24"/>
        </w:rPr>
        <w:t>表 11 研究指标与适用前提</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73"/>
        <w:gridCol w:w="3675"/>
        <w:gridCol w:w="3524"/>
      </w:tblGrid>
      <w:tr>
        <w:trPr>
          <w:cantSplit w:val="true"/>
          <w:tblHeader w:val="true"/>
        </w:trPr>
        <w:tc>
          <w:tcPr>
            <w:tcW w:type="dxa" w:w="1773"/>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评价对象</w:t>
            </w:r>
          </w:p>
        </w:tc>
        <w:tc>
          <w:tcPr>
            <w:tcW w:type="dxa" w:w="367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可采用指标</w:t>
            </w:r>
          </w:p>
        </w:tc>
        <w:tc>
          <w:tcPr>
            <w:tcW w:type="dxa" w:w="3524"/>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必须说明的条件</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区域类别识别</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准确率、召回率、类别 F1</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标签定义、类别分布及独立样本</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区域范围</w:t>
            </w:r>
          </w:p>
        </w:tc>
        <w:tc>
          <w:tcPr>
            <w:tcW w:type="dxa" w:w="367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交并比、边界偏差</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输出为区域，参考边界经确认</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局部设计</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目标达成、非目标变化、接受比例</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设计要求与人工判断口径一致</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设计效率</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准备时间、等待时间、修改轮次</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包含失败与返工，不只记录最好结果</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跨区域协调</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关联问题发现、遗留问题、专业评分</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检查关系和评价尺度事先确定</w:t>
            </w:r>
          </w:p>
        </w:tc>
      </w:tr>
      <w:tr>
        <w:trPr>
          <w:cantSplit w:val="true"/>
        </w:trPr>
        <w:tc>
          <w:tcPr>
            <w:tcW w:type="dxa" w:w="1773"/>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平台可靠性</w:t>
            </w:r>
          </w:p>
        </w:tc>
        <w:tc>
          <w:tcPr>
            <w:tcW w:type="dxa" w:w="367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任务成功、恢复、结果可读及权限拒绝</w:t>
            </w:r>
          </w:p>
        </w:tc>
        <w:tc>
          <w:tcPr>
            <w:tcW w:type="dxa" w:w="3524"/>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环境与用例固定，保留完整过程</w:t>
            </w:r>
          </w:p>
        </w:tc>
      </w:tr>
    </w:tbl>
    <w:p>
      <w:pPr>
        <w:widowControl/>
        <w:spacing w:lineRule="exact" w:line="480" w:before="0" w:after="0"/>
        <w:ind w:firstLine="480"/>
      </w:pPr>
      <w:r>
        <w:rPr>
          <w:rFonts w:ascii="SimSun" w:hAnsi="SimSun" w:eastAsia="宋体" w:cs="SimSun"/>
          <w:b w:val="0"/>
          <w:color w:val="000000"/>
          <w:sz w:val="24"/>
        </w:rPr>
        <w:t>指标阈值应在试验方案中事先确定或通过基线试验共同确认。不能把测试用例通过率不低于 99% 的合同要求解释为区域识别准确率不低于 99%，二者分母、任务和意义不同。识别指标衡量候选方法在样本集上的表现，系统测试通过率衡量已确定用例的执行结果，功能完成率则衡量合同功能是否落地。</w:t>
      </w:r>
    </w:p>
    <w:p>
      <w:pPr>
        <w:widowControl/>
        <w:spacing w:lineRule="exact" w:line="480" w:before="0" w:after="0"/>
        <w:ind w:firstLine="480"/>
      </w:pPr>
      <w:r>
        <w:rPr>
          <w:rFonts w:ascii="SimSun" w:hAnsi="SimSun" w:eastAsia="宋体" w:cs="SimSun"/>
          <w:b w:val="0"/>
          <w:color w:val="000000"/>
          <w:sz w:val="24"/>
        </w:rPr>
        <w:t>结果报告需要给出样本来源、数量、分组、配置、重复次数、失败样例和判断方式。样本不足时应说明限制，类别差异较大时应分区域报告，人工评分应保留评价人员及分歧。研究提出的建议只有在对应证据支持下才转化为建设决策，未被验证的方案可继续列为候选，而不通过文字修饰制造确定性。</w:t>
      </w:r>
    </w:p>
    <w:p>
      <w:pPr>
        <w:pStyle w:val="Heading2"/>
        <w:spacing w:lineRule="exact" w:line="480" w:before="80" w:after="0"/>
        <w:ind w:firstLine="0"/>
      </w:pPr>
      <w:bookmarkStart w:id="57" w:name="report_heading_057"/>
      <w:r>
        <w:rPr>
          <w:rFonts w:ascii="KaiTi" w:hAnsi="KaiTi" w:eastAsia="楷体" w:cs="KaiTi"/>
          <w:b w:val="0"/>
          <w:color w:val="000000"/>
          <w:sz w:val="28"/>
        </w:rPr>
        <w:t>（三）三级系统验证</w:t>
      </w:r>
      <w:bookmarkEnd w:id="57"/>
    </w:p>
    <w:p>
      <w:pPr>
        <w:widowControl/>
        <w:spacing w:lineRule="exact" w:line="480" w:before="0" w:after="0"/>
        <w:ind w:firstLine="480"/>
      </w:pPr>
      <w:r>
        <w:rPr>
          <w:rFonts w:ascii="SimSun" w:hAnsi="SimSun" w:eastAsia="宋体" w:cs="SimSun"/>
          <w:b w:val="0"/>
          <w:color w:val="000000"/>
          <w:sz w:val="24"/>
        </w:rPr>
        <w:t>单元验证检查输入解析、标记数据、类型判断、权限规则、参数转换和状态处理。它能发现局部逻辑问题，但不能证明完整设计流程可运行。集成验证使用真实数据库、对象存储及平台服务，检查资产上传、项目隔离、任务关系、结果登记、取消与异常补偿。涉及外部协议的模拟测试应明确模拟范围，不代替真实模型执行。</w:t>
      </w:r>
    </w:p>
    <w:p>
      <w:pPr>
        <w:widowControl/>
        <w:spacing w:lineRule="exact" w:line="480" w:before="0" w:after="0"/>
        <w:ind w:firstLine="480"/>
      </w:pPr>
      <w:r>
        <w:rPr>
          <w:rFonts w:ascii="SimSun" w:hAnsi="SimSun" w:eastAsia="宋体" w:cs="SimSun"/>
          <w:b w:val="0"/>
          <w:color w:val="000000"/>
          <w:sz w:val="24"/>
        </w:rPr>
        <w:t>系统验证在目标部署条件下开展，覆盖登录、项目、资料、分区交互、任务执行、结果对比、成果保存、检索复用、报告整理和接口交互。应检查页面关闭后任务继续、执行进程重启后的任务恢复、输入失效、外部服务失败、对象读取失败及权限变化等场景。三维生成与训练任务需要相应的真实计算和模型条件，不能只用普通页面检查确认完成。</w:t>
      </w:r>
    </w:p>
    <w:p>
      <w:pPr>
        <w:widowControl/>
        <w:spacing w:lineRule="exact" w:line="480" w:before="0" w:after="0"/>
        <w:ind w:firstLine="480"/>
      </w:pPr>
      <w:r>
        <w:rPr>
          <w:rFonts w:ascii="SimSun" w:hAnsi="SimSun" w:eastAsia="宋体" w:cs="SimSun"/>
          <w:b w:val="0"/>
          <w:color w:val="000000"/>
          <w:sz w:val="24"/>
        </w:rPr>
        <w:t>安全和运行验证包括跨用户与跨项目拒绝、个人会话隔离、敏感内容不进入日志、备份恢复和目标环境兼容性。对关键风险，即使总体通过率达到要求，也必须单独检查。已知越权、成果丢失或外部伪成功不能被大量低风险用例的通过结果掩盖。</w:t>
      </w:r>
    </w:p>
    <w:p>
      <w:pPr>
        <w:pStyle w:val="Heading2"/>
        <w:spacing w:lineRule="exact" w:line="480" w:before="80" w:after="0"/>
        <w:ind w:firstLine="0"/>
      </w:pPr>
      <w:bookmarkStart w:id="58" w:name="report_heading_058"/>
      <w:r>
        <w:rPr>
          <w:rFonts w:ascii="KaiTi" w:hAnsi="KaiTi" w:eastAsia="楷体" w:cs="KaiTi"/>
          <w:b w:val="0"/>
          <w:color w:val="000000"/>
          <w:sz w:val="28"/>
        </w:rPr>
        <w:t>（四）合同指标与评审材料</w:t>
      </w:r>
      <w:bookmarkEnd w:id="58"/>
    </w:p>
    <w:p>
      <w:pPr>
        <w:widowControl/>
        <w:spacing w:lineRule="exact" w:line="480" w:before="0" w:after="0"/>
        <w:ind w:firstLine="480"/>
      </w:pPr>
      <w:r>
        <w:rPr>
          <w:rFonts w:ascii="SimSun" w:hAnsi="SimSun" w:eastAsia="宋体" w:cs="SimSun"/>
          <w:b w:val="0"/>
          <w:color w:val="000000"/>
          <w:sz w:val="24"/>
        </w:rPr>
        <w:t>合同明确要求平台系统功能 100% 落地，测试用例通过率不低于 99%，无严重及以上级别缺陷，并完成第三方检测和甲方验收。实施前应形成经确认的功能清单、用例分母、缺陷分级及复测口径。未执行、受环境阻断、失败和通过应分别统计，不能把未执行用例排除后直接宣称达到合同指标。</w:t>
      </w:r>
    </w:p>
    <w:p>
      <w:pPr>
        <w:pStyle w:val="Caption"/>
        <w:keepNext/>
        <w:jc w:val="center"/>
      </w:pPr>
      <w:r>
        <w:rPr>
          <w:rFonts w:ascii="SimSun" w:hAnsi="SimSun" w:eastAsia="宋体" w:cs="SimSun"/>
          <w:color w:val="000000"/>
          <w:sz w:val="24"/>
        </w:rPr>
        <w:t>表 12 验收要求与证据材料</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31"/>
        <w:gridCol w:w="3309"/>
        <w:gridCol w:w="2832"/>
      </w:tblGrid>
      <w:tr>
        <w:trPr>
          <w:cantSplit w:val="true"/>
          <w:tblHeader w:val="true"/>
        </w:trPr>
        <w:tc>
          <w:tcPr>
            <w:tcW w:type="dxa" w:w="2831"/>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要求</w:t>
            </w:r>
          </w:p>
        </w:tc>
        <w:tc>
          <w:tcPr>
            <w:tcW w:type="dxa" w:w="330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应形成的证据</w:t>
            </w:r>
          </w:p>
        </w:tc>
        <w:tc>
          <w:tcPr>
            <w:tcW w:type="dxa" w:w="2832"/>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判断边界</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指令与流程正常</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典型任务全过程、状态与结果记录</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页面存在不代表流程完整</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功能全部落地</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合同需求与功能逐项追踪</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研究设想不计为已完成功能</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用例通过率不低于 99%</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固定用例集、执行及复测结果</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不等于算法识别准确率</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无严重及以上缺陷</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分级缺陷台账与关闭证据</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关键问题必须单独关闭</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检测与甲方验收</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第三方报告、评审与确认材料</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内部测试不替代正式验收</w:t>
            </w:r>
          </w:p>
        </w:tc>
      </w:tr>
      <w:tr>
        <w:trPr>
          <w:cantSplit w:val="true"/>
        </w:trPr>
        <w:tc>
          <w:tcPr>
            <w:tcW w:type="dxa" w:w="2831"/>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资料完整规范</w:t>
            </w:r>
          </w:p>
        </w:tc>
        <w:tc>
          <w:tcPr>
            <w:tcW w:type="dxa" w:w="330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报告、系统、手册及成果清单</w:t>
            </w:r>
          </w:p>
        </w:tc>
        <w:tc>
          <w:tcPr>
            <w:tcW w:type="dxa" w:w="2832"/>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内容、格式和对应版本一致</w:t>
            </w:r>
          </w:p>
        </w:tc>
      </w:tr>
    </w:tbl>
    <w:p>
      <w:pPr>
        <w:widowControl/>
        <w:spacing w:lineRule="exact" w:line="480" w:before="0" w:after="0"/>
        <w:ind w:firstLine="480"/>
      </w:pPr>
      <w:r>
        <w:rPr>
          <w:rFonts w:ascii="SimSun" w:hAnsi="SimSun" w:eastAsia="宋体" w:cs="SimSun"/>
          <w:b w:val="0"/>
          <w:color w:val="000000"/>
          <w:sz w:val="24"/>
        </w:rPr>
        <w:t>第一阶段报告采用专家评审，应重点审查研究对象、方法依据、架构合理性、现有基础与拟建范围、进度及验证可行性。第二阶段准备系统检测和业务场景证据，第三阶段补齐接口与交付材料。合同规定首次验收未通过时，在收到整改通知次日起 7 日内修正并再次提交；整改范围、责任、复验用例和提交材料应形成记录，按最终生效文件执行。</w:t>
      </w:r>
    </w:p>
    <w:p>
      <w:pPr>
        <w:pStyle w:val="Heading1"/>
        <w:pageBreakBefore/>
        <w:spacing w:lineRule="exact" w:line="480" w:before="0" w:after="0"/>
        <w:ind w:firstLine="0"/>
      </w:pPr>
      <w:bookmarkStart w:id="59" w:name="report_heading_059"/>
      <w:r>
        <w:rPr>
          <w:rFonts w:ascii="SimHei" w:hAnsi="SimHei" w:eastAsia="黑体" w:cs="SimHei"/>
          <w:b/>
          <w:color w:val="000000"/>
          <w:sz w:val="28"/>
        </w:rPr>
        <w:t>十一、风险分析与建设建议</w:t>
      </w:r>
      <w:bookmarkEnd w:id="59"/>
    </w:p>
    <w:p>
      <w:pPr>
        <w:pStyle w:val="Heading2"/>
        <w:spacing w:lineRule="exact" w:line="480" w:before="80" w:after="0"/>
        <w:ind w:firstLine="0"/>
      </w:pPr>
      <w:bookmarkStart w:id="60" w:name="report_heading_060"/>
      <w:r>
        <w:rPr>
          <w:rFonts w:ascii="KaiTi" w:hAnsi="KaiTi" w:eastAsia="楷体" w:cs="KaiTi"/>
          <w:b w:val="0"/>
          <w:color w:val="000000"/>
          <w:sz w:val="28"/>
        </w:rPr>
        <w:t>（一）主要风险</w:t>
      </w:r>
      <w:bookmarkEnd w:id="60"/>
    </w:p>
    <w:p>
      <w:pPr>
        <w:pStyle w:val="Caption"/>
        <w:keepNext/>
        <w:jc w:val="center"/>
      </w:pPr>
      <w:r>
        <w:rPr>
          <w:rFonts w:ascii="SimSun" w:hAnsi="SimSun" w:eastAsia="宋体" w:cs="SimSun"/>
          <w:color w:val="000000"/>
          <w:sz w:val="24"/>
        </w:rPr>
        <w:t>表 13 研究与平台构建风险</w:t>
      </w:r>
    </w:p>
    <w:tbl>
      <w:tblPr>
        <w:tblStyle w:val="TableGrid"/>
        <w:tblW w:type="dxa" w:w="8972"/>
        <w:tblLayout w:type="fixed"/>
        <w:tblLook w:firstColumn="1" w:firstRow="1" w:lastColumn="0" w:lastRow="0" w:noHBand="0" w:noVBand="1" w:val="04A0"/>
        <w:tblInd w:w="10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68"/>
        <w:gridCol w:w="2835"/>
        <w:gridCol w:w="3469"/>
      </w:tblGrid>
      <w:tr>
        <w:trPr>
          <w:cantSplit w:val="true"/>
          <w:tblHeader w:val="true"/>
        </w:trPr>
        <w:tc>
          <w:tcPr>
            <w:tcW w:type="dxa" w:w="2668"/>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风险</w:t>
            </w:r>
          </w:p>
        </w:tc>
        <w:tc>
          <w:tcPr>
            <w:tcW w:type="dxa" w:w="2835"/>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影响</w:t>
            </w:r>
          </w:p>
        </w:tc>
        <w:tc>
          <w:tcPr>
            <w:tcW w:type="dxa" w:w="3469"/>
            <w:tcMar>
              <w:top w:w="80" w:type="dxa"/>
              <w:bottom w:w="80" w:type="dxa"/>
              <w:start w:w="100" w:type="dxa"/>
              <w:end w:w="100" w:type="dxa"/>
            </w:tcMar>
            <w:vAlign w:val="center"/>
            <w:shd w:fill="EEF1F5"/>
          </w:tcPr>
          <w:p>
            <w:pPr>
              <w:spacing w:lineRule="exact" w:line="480" w:before="0" w:after="0"/>
              <w:ind w:firstLine="0"/>
              <w:jc w:val="center"/>
            </w:pPr>
            <w:r>
              <w:rPr>
                <w:rFonts w:ascii="SimSun" w:hAnsi="SimSun" w:eastAsia="宋体" w:cs="SimSun"/>
                <w:b/>
                <w:color w:val="000000"/>
                <w:sz w:val="24"/>
              </w:rPr>
              <w:t>控制措施</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资料不足或边界不统一</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识别样本与模块分类不稳定</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先确认术语、来源、标注及争议处理</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现有功能与研究目标混淆</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错估建设工作与验收状态</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分列现有基础、拟建任务和验证条件</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局部生成改变非目标区域</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结果难以用于后续设计</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保留原图，按区域比较并统计失败</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工程约束缺少结构化依据</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无法自动判断尺寸与接口</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先整理真实参数，保留专业复核</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外部模型和节点变化</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结果或执行协议不稳定</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固定版本，使用代表性任务复测</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接口条件确认滞后</w:t>
            </w:r>
          </w:p>
        </w:tc>
        <w:tc>
          <w:tcPr>
            <w:tcW w:type="dxa" w:w="2835"/>
            <w:tcMar>
              <w:top w:w="80" w:type="dxa"/>
              <w:bottom w:w="80" w:type="dxa"/>
              <w:start w:w="100" w:type="dxa"/>
              <w:end w:w="100" w:type="dxa"/>
            </w:tcMar>
            <w:vAlign w:val="center"/>
          </w:tcPr>
          <w:p>
            <w:pPr>
              <w:spacing w:lineRule="exact" w:line="480" w:before="0" w:after="0"/>
              <w:ind w:firstLine="0"/>
              <w:jc w:val="center"/>
            </w:pPr>
            <w:r>
              <w:rPr>
                <w:rFonts w:ascii="SimSun" w:hAnsi="SimSun" w:eastAsia="宋体" w:cs="SimSun"/>
                <w:b w:val="0"/>
                <w:color w:val="000000"/>
                <w:sz w:val="24"/>
              </w:rPr>
              <w:t>联调与交付延期</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提前完成对象、认证及环境确认</w:t>
            </w:r>
          </w:p>
        </w:tc>
      </w:tr>
      <w:tr>
        <w:trPr>
          <w:cantSplit w:val="true"/>
        </w:trPr>
        <w:tc>
          <w:tcPr>
            <w:tcW w:type="dxa" w:w="2668"/>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数据授权或访问范围不清</w:t>
            </w:r>
          </w:p>
        </w:tc>
        <w:tc>
          <w:tcPr>
            <w:tcW w:type="dxa" w:w="2835"/>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研究资料误用或外泄</w:t>
            </w:r>
          </w:p>
        </w:tc>
        <w:tc>
          <w:tcPr>
            <w:tcW w:type="dxa" w:w="3469"/>
            <w:tcMar>
              <w:top w:w="80" w:type="dxa"/>
              <w:bottom w:w="80" w:type="dxa"/>
              <w:start w:w="100" w:type="dxa"/>
              <w:end w:w="100" w:type="dxa"/>
            </w:tcMar>
            <w:vAlign w:val="center"/>
          </w:tcPr>
          <w:p>
            <w:pPr>
              <w:spacing w:lineRule="exact" w:line="480" w:before="0" w:after="0"/>
              <w:ind w:firstLine="0"/>
              <w:jc w:val="left"/>
            </w:pPr>
            <w:r>
              <w:rPr>
                <w:rFonts w:ascii="SimSun" w:hAnsi="SimSun" w:eastAsia="宋体" w:cs="SimSun"/>
                <w:b w:val="0"/>
                <w:color w:val="000000"/>
                <w:sz w:val="24"/>
              </w:rPr>
              <w:t>最小权限、授权清单与资料审查</w:t>
            </w:r>
          </w:p>
        </w:tc>
      </w:tr>
    </w:tbl>
    <w:p>
      <w:pPr>
        <w:pStyle w:val="Heading2"/>
        <w:spacing w:lineRule="exact" w:line="480" w:before="80" w:after="0"/>
        <w:ind w:firstLine="0"/>
      </w:pPr>
      <w:bookmarkStart w:id="61" w:name="report_heading_061"/>
      <w:r>
        <w:rPr>
          <w:rFonts w:ascii="KaiTi" w:hAnsi="KaiTi" w:eastAsia="楷体" w:cs="KaiTi"/>
          <w:b w:val="0"/>
          <w:color w:val="000000"/>
          <w:sz w:val="28"/>
        </w:rPr>
        <w:t>（二）实施优先级</w:t>
      </w:r>
      <w:bookmarkEnd w:id="61"/>
    </w:p>
    <w:p>
      <w:pPr>
        <w:widowControl/>
        <w:spacing w:lineRule="exact" w:line="480" w:before="0" w:after="0"/>
        <w:ind w:firstLine="480"/>
      </w:pPr>
      <w:r>
        <w:rPr>
          <w:rFonts w:ascii="SimSun" w:hAnsi="SimSun" w:eastAsia="宋体" w:cs="SimSun"/>
          <w:b w:val="0"/>
          <w:color w:val="000000"/>
          <w:sz w:val="24"/>
        </w:rPr>
        <w:t>优先完成区域术语、模块拆解样例、分区标记规范和对照试验方案。这些工作直接决定研究内容能否落到真实任务，也决定后续结构化数据和算法评价的基础。其次完善现有分区交互、任务执行和成果保存链路，使研究记录能够持续积累。自动识别、工程参数、规则校核与检索增强应依据明确样本和业务问题逐项实施，不能以同时引入大量技术概念代替问题分析。</w:t>
      </w:r>
    </w:p>
    <w:p>
      <w:pPr>
        <w:widowControl/>
        <w:spacing w:lineRule="exact" w:line="480" w:before="0" w:after="0"/>
        <w:ind w:firstLine="480"/>
      </w:pPr>
      <w:r>
        <w:rPr>
          <w:rFonts w:ascii="SimSun" w:hAnsi="SimSun" w:eastAsia="宋体" w:cs="SimSun"/>
          <w:b w:val="0"/>
          <w:color w:val="000000"/>
          <w:sz w:val="24"/>
        </w:rPr>
        <w:t>跨区域研究应先从可解释的人工检查关系开始，逐步识别可自动化部分。外部能力选型应以实际样本、部署条件和数据边界为依据，不把某一模型名称写成不可替换的技术结论。既有平台接口应提前确认数据关系，避免最后阶段因编码、权限和文件传输差异产生返工。</w:t>
      </w:r>
    </w:p>
    <w:p>
      <w:pPr>
        <w:widowControl/>
        <w:spacing w:lineRule="exact" w:line="480" w:before="0" w:after="0"/>
        <w:ind w:firstLine="480"/>
      </w:pPr>
      <w:r>
        <w:rPr>
          <w:rFonts w:ascii="SimSun" w:hAnsi="SimSun" w:eastAsia="宋体" w:cs="SimSun"/>
          <w:b w:val="0"/>
          <w:color w:val="000000"/>
          <w:sz w:val="24"/>
        </w:rPr>
        <w:t>进度管理应以成果和证据关闭任务。分类规范需要经过典型对象走查，交互方法需要对照记录，功能完善需要真实流程验证，接口完成需要对方系统回执。未获得上述证据时，可以记录阶段进展与剩余条件，但不应宣布任务已完成。这样既保留研究探索空间，也使后续建设和合同验收能够使用同一事实口径。</w:t>
      </w:r>
    </w:p>
    <w:p>
      <w:pPr>
        <w:pStyle w:val="Heading1"/>
        <w:pageBreakBefore/>
        <w:spacing w:lineRule="exact" w:line="480" w:before="0" w:after="0"/>
        <w:ind w:firstLine="0"/>
      </w:pPr>
      <w:bookmarkStart w:id="62" w:name="report_heading_062"/>
      <w:r>
        <w:rPr>
          <w:rFonts w:ascii="SimHei" w:hAnsi="SimHei" w:eastAsia="黑体" w:cs="SimHei"/>
          <w:b/>
          <w:color w:val="000000"/>
          <w:sz w:val="28"/>
        </w:rPr>
        <w:t>十二、研究结论</w:t>
      </w:r>
      <w:bookmarkEnd w:id="62"/>
    </w:p>
    <w:p>
      <w:pPr>
        <w:widowControl/>
        <w:spacing w:lineRule="exact" w:line="480" w:before="0" w:after="0"/>
        <w:ind w:firstLine="480"/>
      </w:pPr>
      <w:r>
        <w:rPr>
          <w:rFonts w:ascii="SimSun" w:hAnsi="SimSun" w:eastAsia="宋体" w:cs="SimSun"/>
          <w:b w:val="0"/>
          <w:color w:val="000000"/>
          <w:sz w:val="24"/>
        </w:rPr>
        <w:t>本研究围绕出口客运装备内装的共性模块复用、项目差异表达和局部设计协调，对现有技术资料及相关方法进行了分析。形成了以功能为主线、空间区域为索引、接口关系为校核依据的模块划分思路，并按系统、子系统、组件和零件四级组织对象。该思路将客室图像中的可见区域与工程模块联系起来，为设计资料分类、对象选择和后续参数建设提供基础；具体车型拆解仍以产品资料和专业确认结果为准。</w:t>
      </w:r>
    </w:p>
    <w:p>
      <w:pPr>
        <w:widowControl/>
        <w:spacing w:lineRule="exact" w:line="480" w:before="0" w:after="0"/>
        <w:ind w:firstLine="480"/>
      </w:pPr>
      <w:r>
        <w:rPr>
          <w:rFonts w:ascii="SimSun" w:hAnsi="SimSun" w:eastAsia="宋体" w:cs="SimSun"/>
          <w:b w:val="0"/>
          <w:color w:val="000000"/>
          <w:sz w:val="24"/>
        </w:rPr>
        <w:t>在分区识别与设计交互方面，明确了目标检测、语义分割、实例分割、提示分割及条件编辑的不同输出和用途。现阶段采用人工颜色或编号标记结合文字指令的设计路径，以遮罩补充局部范围控制；下一阶段优先验证提示分割与人工语义确认的组合，并通过专用识别方法作对照。方法选择依据任务粒度、样本条件和已有平台衔接能力，不将通用模型能力直接换算为本项目识别精度。</w:t>
      </w:r>
    </w:p>
    <w:p>
      <w:pPr>
        <w:widowControl/>
        <w:spacing w:lineRule="exact" w:line="480" w:before="0" w:after="0"/>
        <w:ind w:firstLine="480"/>
      </w:pPr>
      <w:r>
        <w:rPr>
          <w:rFonts w:ascii="SimSun" w:hAnsi="SimSun" w:eastAsia="宋体" w:cs="SimSun"/>
          <w:b w:val="0"/>
          <w:color w:val="000000"/>
          <w:sz w:val="24"/>
        </w:rPr>
        <w:t>研究形成了原图与设计目标确认、标记及条件组织、参考图编辑、结果比较、跨区域检查和成果复用的快速设计技术路线。实际标记工作流能够承接图像、文字与视觉指代条件，任务和资产关系提供过程追溯基础。跨区域优化先以明确的关联对象和分项评价开展，在工程数据具备时再增加可计算约束；设计加速以完整任务过程及返工记录验证，生成效果与工程确认分别评价。</w:t>
      </w:r>
    </w:p>
    <w:p>
      <w:pPr>
        <w:widowControl/>
        <w:spacing w:lineRule="exact" w:line="480" w:before="0" w:after="0"/>
        <w:ind w:firstLine="480"/>
      </w:pPr>
      <w:r>
        <w:rPr>
          <w:rFonts w:ascii="SimSun" w:hAnsi="SimSun" w:eastAsia="宋体" w:cs="SimSun"/>
          <w:b w:val="0"/>
          <w:color w:val="000000"/>
          <w:sz w:val="24"/>
        </w:rPr>
        <w:t>平台构建方案按用户、应用、软件支撑、数据和基础五层组织，将上述方法落实到设计生成、资料管理、任务执行和成果复用流程，并明确个人图文助手与项目设计执行的边界。已有业务框架和能力适配为应用构建提供前期基础，模块知识、辅助识别、规则校核及既有产品平台接口依据研究与联调结果完善。实施计划和验证方案将研究成果与合同节点连接，为下一阶段的数据准备、功能落地、系统测试和评审交付提供可执行依据。</w:t>
      </w:r>
    </w:p>
    <w:p>
      <w:pPr>
        <w:pStyle w:val="Heading1"/>
        <w:pageBreakBefore/>
        <w:spacing w:lineRule="exact" w:line="480" w:before="0" w:after="0"/>
        <w:ind w:firstLine="0"/>
      </w:pPr>
      <w:bookmarkStart w:id="63" w:name="report_heading_063"/>
      <w:r>
        <w:rPr>
          <w:rFonts w:ascii="SimHei" w:hAnsi="SimHei" w:eastAsia="黑体" w:cs="SimHei"/>
          <w:b/>
          <w:color w:val="000000"/>
          <w:sz w:val="28"/>
        </w:rPr>
        <w:t>参考文献</w:t>
      </w:r>
      <w:bookmarkEnd w:id="63"/>
    </w:p>
    <w:p>
      <w:pPr>
        <w:widowControl/>
        <w:spacing w:lineRule="exact" w:line="480" w:before="0" w:after="0"/>
        <w:ind w:firstLine="480"/>
      </w:pPr>
      <w:r>
        <w:rPr>
          <w:rFonts w:ascii="SimSun" w:hAnsi="SimSun" w:eastAsia="宋体" w:cs="SimSun"/>
          <w:b w:val="0"/>
          <w:color w:val="000000"/>
          <w:sz w:val="24"/>
        </w:rPr>
        <w:t>[1] Ulrich K. The role of product architecture in the manufacturing firm. Research Policy, 1995, 24(3): 419–440. https://doi.org/10.1016/0048-7333(94)00775-3</w:t>
      </w:r>
    </w:p>
    <w:p>
      <w:pPr>
        <w:widowControl/>
        <w:spacing w:lineRule="exact" w:line="480" w:before="0" w:after="0"/>
        <w:ind w:firstLine="480"/>
      </w:pPr>
      <w:r>
        <w:rPr>
          <w:rFonts w:ascii="SimSun" w:hAnsi="SimSun" w:eastAsia="宋体" w:cs="SimSun"/>
          <w:b w:val="0"/>
          <w:color w:val="000000"/>
          <w:sz w:val="24"/>
        </w:rPr>
        <w:t>[2] Radford A, Kim J W, Hallacy C, et al. Learning Transferable Visual Models From Natural Language Supervision. ICML, 2021, PMLR 139: 8748–8763. https://proceedings.mlr.press/v139/radford21a.html</w:t>
      </w:r>
    </w:p>
    <w:p>
      <w:pPr>
        <w:widowControl/>
        <w:spacing w:lineRule="exact" w:line="480" w:before="0" w:after="0"/>
        <w:ind w:firstLine="480"/>
      </w:pPr>
      <w:r>
        <w:rPr>
          <w:rFonts w:ascii="SimSun" w:hAnsi="SimSun" w:eastAsia="宋体" w:cs="SimSun"/>
          <w:b w:val="0"/>
          <w:color w:val="000000"/>
          <w:sz w:val="24"/>
        </w:rPr>
        <w:t>[3] Ronneberger O, Fischer P, Brox T. U-Net: Convolutional Networks for Biomedical Image Segmentation. 2015. https://arxiv.org/abs/1505.04597</w:t>
      </w:r>
    </w:p>
    <w:p>
      <w:pPr>
        <w:widowControl/>
        <w:spacing w:lineRule="exact" w:line="480" w:before="0" w:after="0"/>
        <w:ind w:firstLine="480"/>
      </w:pPr>
      <w:r>
        <w:rPr>
          <w:rFonts w:ascii="SimSun" w:hAnsi="SimSun" w:eastAsia="宋体" w:cs="SimSun"/>
          <w:b w:val="0"/>
          <w:color w:val="000000"/>
          <w:sz w:val="24"/>
        </w:rPr>
        <w:t>[4] He K, Gkioxari G, Dollár P, Girshick R. Mask R-CNN. 2017. https://arxiv.org/abs/1703.06870</w:t>
      </w:r>
    </w:p>
    <w:p>
      <w:pPr>
        <w:widowControl/>
        <w:spacing w:lineRule="exact" w:line="480" w:before="0" w:after="0"/>
        <w:ind w:firstLine="480"/>
      </w:pPr>
      <w:r>
        <w:rPr>
          <w:rFonts w:ascii="SimSun" w:hAnsi="SimSun" w:eastAsia="宋体" w:cs="SimSun"/>
          <w:b w:val="0"/>
          <w:color w:val="000000"/>
          <w:sz w:val="24"/>
        </w:rPr>
        <w:t>[5] Kirillov A, Mintun E, Ravi N, et al. Segment Anything. 2023. https://arxiv.org/abs/2304.02643</w:t>
      </w:r>
    </w:p>
    <w:p>
      <w:pPr>
        <w:widowControl/>
        <w:spacing w:lineRule="exact" w:line="480" w:before="0" w:after="0"/>
        <w:ind w:firstLine="480"/>
      </w:pPr>
      <w:r>
        <w:rPr>
          <w:rFonts w:ascii="SimSun" w:hAnsi="SimSun" w:eastAsia="宋体" w:cs="SimSun"/>
          <w:b w:val="0"/>
          <w:color w:val="000000"/>
          <w:sz w:val="24"/>
        </w:rPr>
        <w:t>[6] Zhang L, Rao A, Agrawala M. Adding Conditional Control to Text-to-Image Diffusion Models. 2023. https://arxiv.org/abs/2302.05543</w:t>
      </w:r>
    </w:p>
    <w:p>
      <w:pPr>
        <w:widowControl/>
        <w:spacing w:lineRule="exact" w:line="480" w:before="0" w:after="0"/>
        <w:ind w:firstLine="480"/>
      </w:pPr>
      <w:r>
        <w:rPr>
          <w:rFonts w:ascii="SimSun" w:hAnsi="SimSun" w:eastAsia="宋体" w:cs="SimSun"/>
          <w:b w:val="0"/>
          <w:color w:val="000000"/>
          <w:sz w:val="24"/>
        </w:rPr>
        <w:t>[7] Black Forest Labs. FLUX.2 Image Editing. 官方技术文档，访问日期 2026-10-09. https://docs.bfl.ai/flux_2/flux2_image_editing</w:t>
      </w:r>
    </w:p>
    <w:p>
      <w:pPr>
        <w:widowControl/>
        <w:spacing w:lineRule="exact" w:line="480" w:before="0" w:after="0"/>
        <w:ind w:firstLine="480"/>
      </w:pPr>
      <w:r>
        <w:rPr>
          <w:rFonts w:ascii="SimSun" w:hAnsi="SimSun" w:eastAsia="宋体" w:cs="SimSun"/>
          <w:b w:val="0"/>
          <w:color w:val="000000"/>
          <w:sz w:val="24"/>
        </w:rPr>
        <w:t>[8] ComfyUI. Nodes. 官方技术文档，访问日期 2026-10-09. https://docs.comfy.org/basic-concepts/nodes</w:t>
      </w:r>
    </w:p>
    <w:sectPr w:rsidR="00FC693F" w:rsidRPr="0006063C" w:rsidSect="00034616">
      <w:headerReference w:type="default" r:id="rId9"/>
      <w:footerReference w:type="default" r:id="rId10"/>
      <w:pgSz w:w="11906" w:h="16838"/>
      <w:pgMar w:top="1417" w:right="1361" w:bottom="1417" w:left="1474"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修订说明" w:initials="RP" w:date="2026-10-09T09:56:10Z">
    <w:p>
      <w:pPr>
        <w:pStyle w:val="CommentText"/>
      </w:pPr>
      <w:r>
        <w:rPr>
          <w:rStyle w:val="CommentReference"/>
        </w:rPr>
        <w:annotationRef/>
      </w:r>
      <w:r>
        <w:t>S01：所有章级标题另起一页，沿用既定字体、行距与页边距。</w:t>
      </w:r>
    </w:p>
  </w:comment>
  <w:comment w:id="1" w:author="修订说明" w:initials="RP" w:date="2026-10-09T09:56:10Z">
    <w:p>
      <w:pPr>
        <w:pStyle w:val="CommentText"/>
      </w:pPr>
      <w:r>
        <w:rPr>
          <w:rStyle w:val="CommentReference"/>
        </w:rPr>
        <w:annotationRef/>
      </w:r>
      <w:r>
        <w:t>S02：概述收束为背景、研究目的及形成的平台建设依据。</w:t>
      </w:r>
    </w:p>
  </w:comment>
  <w:comment w:id="2" w:author="修订说明" w:initials="RP" w:date="2026-10-09T09:56:10Z">
    <w:p>
      <w:pPr>
        <w:pStyle w:val="CommentText"/>
      </w:pPr>
      <w:r>
        <w:rPr>
          <w:rStyle w:val="CommentReference"/>
        </w:rPr>
        <w:annotationRef/>
      </w:r>
      <w:r>
        <w:t>S03：补充出口车辆和客室特点、实际设计流程的分析框架；企业现状图及流程图就地标记 M01、M02 待补。</w:t>
      </w:r>
    </w:p>
  </w:comment>
  <w:comment w:id="3" w:author="修订说明" w:initials="RP" w:date="2026-10-09T09:56:10Z">
    <w:p>
      <w:pPr>
        <w:pStyle w:val="CommentText"/>
      </w:pPr>
      <w:r>
        <w:rPr>
          <w:rStyle w:val="CommentReference"/>
        </w:rPr>
        <w:annotationRef/>
      </w:r>
      <w:r>
        <w:t>S04：合并原第一章 AI 分析与第二章方法内容；补充 ComfyUI、ControlNet、FLUX.2 原理图和功能说明，区分候选技术与已用技术。</w:t>
      </w:r>
    </w:p>
  </w:comment>
  <w:comment w:id="4" w:author="修订说明" w:initials="RP" w:date="2026-10-09T09:56:10Z">
    <w:p>
      <w:pPr>
        <w:pStyle w:val="CommentText"/>
      </w:pPr>
      <w:r>
        <w:rPr>
          <w:rStyle w:val="CommentReference"/>
        </w:rPr>
        <w:annotationRef/>
      </w:r>
      <w:r>
        <w:t>S05：保留传统模块划分方法，增加客室组成概念图；车型级工程拆解图仍以 M03 标注待补。</w:t>
      </w:r>
    </w:p>
  </w:comment>
  <w:comment w:id="5" w:author="修订说明" w:initials="RP" w:date="2026-10-09T09:56:10Z">
    <w:p>
      <w:pPr>
        <w:pStyle w:val="CommentText"/>
      </w:pPr>
      <w:r>
        <w:rPr>
          <w:rStyle w:val="CommentReference"/>
        </w:rPr>
        <w:annotationRef/>
      </w:r>
      <w:r>
        <w:t>S06：第三章按独立工作流实践叙述，补充同源输入和两次既有生成结果，明确未满足指令的问题；原生标记图 M05 与图文理解案例 M04 待补。</w:t>
      </w:r>
    </w:p>
  </w:comment>
  <w:comment w:id="6" w:author="修订说明" w:initials="RP" w:date="2026-10-09T09:56:10Z">
    <w:p>
      <w:pPr>
        <w:pStyle w:val="CommentText"/>
      </w:pPr>
      <w:r>
        <w:rPr>
          <w:rStyle w:val="CommentReference"/>
        </w:rPr>
        <w:annotationRef/>
      </w:r>
      <w:r>
        <w:t>S07：保持现状需求—模块及 AI 方法—快速设计实践—平台构建的章序，不删除第一章。</w:t>
      </w:r>
    </w:p>
  </w:comment>
  <w:comment w:id="7" w:author="修订说明" w:initials="RP" w:date="2026-10-09T09:56:10Z">
    <w:p>
      <w:pPr>
        <w:pStyle w:val="CommentText"/>
      </w:pPr>
      <w:r>
        <w:rPr>
          <w:rStyle w:val="CommentReference"/>
        </w:rPr>
        <w:annotationRef/>
      </w:r>
      <w:r>
        <w:t>S08：五层总图及表 6 明确实际 Vue 3、Node.js/Nitro/H3、PostgreSQL、MinIO/S3 等技术，不将专家举例的 Java/MySQL 写成事实。</w:t>
      </w:r>
    </w:p>
  </w:comment>
  <w:comment w:id="8" w:author="修订说明" w:initials="RP" w:date="2026-10-09T09:56:10Z">
    <w:p>
      <w:pPr>
        <w:pStyle w:val="CommentText"/>
      </w:pPr>
      <w:r>
        <w:rPr>
          <w:rStyle w:val="CommentReference"/>
        </w:rPr>
        <w:annotationRef/>
      </w:r>
      <w:r>
        <w:t>S09：第五至十二章只随新增图机械调整图号，原有正文和结构保留；未改写后半部为其他主题。</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Rule="exact" w:line="480" w:before="0" w:after="0"/>
      <w:ind w:firstLine="0"/>
      <w:jc w:val="right"/>
    </w:pPr>
    <w:r>
      <w:rPr>
        <w:rFonts w:ascii="SimSun" w:hAnsi="SimSun" w:eastAsia="宋体" w:cs="SimSun"/>
        <w:color w:val="000000"/>
        <w:sz w:val="18"/>
      </w:rPr>
      <w:t xml:space="preserve">第 </w:t>
    </w:r>
    <w:r>
      <w:rPr>
        <w:rFonts w:ascii="SimSun" w:hAnsi="SimSun" w:eastAsia="宋体" w:cs="SimSun"/>
        <w:color w:val="000000"/>
        <w:sz w:val="18"/>
      </w:rPr>
      <w:fldChar w:fldCharType="begin"/>
    </w:r>
    <w:r>
      <w:rPr>
        <w:rFonts w:ascii="SimSun" w:hAnsi="SimSun" w:eastAsia="宋体" w:cs="SimSun"/>
        <w:color w:val="000000"/>
        <w:sz w:val="18"/>
      </w:rPr>
      <w:instrText xml:space="preserve"> PAGE </w:instrText>
    </w:r>
    <w:r>
      <w:rPr>
        <w:rFonts w:ascii="SimSun" w:hAnsi="SimSun" w:eastAsia="宋体" w:cs="SimSun"/>
        <w:color w:val="000000"/>
        <w:sz w:val="18"/>
      </w:rPr>
      <w:fldChar w:fldCharType="separate"/>
    </w:r>
    <w:r>
      <w:rPr>
        <w:rFonts w:ascii="SimSun" w:hAnsi="SimSun" w:eastAsia="宋体" w:cs="SimSun"/>
        <w:color w:val="000000"/>
        <w:sz w:val="18"/>
      </w:rPr>
      <w:t>1</w:t>
    </w:r>
    <w:r>
      <w:rPr>
        <w:rFonts w:ascii="SimSun" w:hAnsi="SimSun" w:eastAsia="宋体" w:cs="SimSun"/>
        <w:color w:val="000000"/>
        <w:sz w:val="18"/>
      </w:rPr>
      <w:fldChar w:fldCharType="end"/>
    </w:r>
    <w:r>
      <w:rPr>
        <w:rFonts w:ascii="SimSun" w:hAnsi="SimSun" w:eastAsia="宋体" w:cs="SimSun"/>
        <w:color w:val="000000"/>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480" w:hanging="240"/>
        <w:spacing w:before="0" w:after="0" w:line="480" w:lineRule="exact"/>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before="0" w:after="0"/>
      <w:ind w:firstLine="480"/>
      <w:jc w:val="both"/>
    </w:pPr>
    <w:rPr>
      <w:rFonts w:ascii="SimSun" w:hAnsi="SimSun" w:eastAsia="宋体" w:cs="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Rule="exact" w:line="480"/>
      <w:ind w:firstLine="0"/>
      <w:outlineLvl w:val="0"/>
    </w:pPr>
    <w:rPr>
      <w:rFonts w:ascii="SimHei" w:hAnsi="SimHei" w:eastAsia="黑体" w:cs="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Rule="exact" w:line="480"/>
      <w:ind w:firstLine="0"/>
      <w:outlineLvl w:val="1"/>
    </w:pPr>
    <w:rPr>
      <w:rFonts w:ascii="KaiTi" w:hAnsi="KaiTi" w:eastAsia="楷体" w:cs="KaiTi"/>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0" w:lineRule="exact" w:line="480"/>
      <w:ind w:firstLine="0"/>
      <w:outlineLvl w:val="2"/>
    </w:pPr>
    <w:rPr>
      <w:rFonts w:ascii="SimSun" w:hAnsi="SimSun" w:eastAsia="宋体" w:cs="SimSun"/>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0" w:lineRule="exact" w:line="480"/>
      <w:ind w:firstLine="0"/>
      <w:outlineLvl w:val="3"/>
    </w:pPr>
    <w:rPr>
      <w:rFonts w:ascii="SimSun" w:hAnsi="SimSun" w:eastAsia="宋体" w:cs="SimSun"/>
      <w:b w:val="0"/>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SimHei" w:hAnsi="SimHei" w:eastAsia="黑体" w:cs="Sim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exact" w:line="480" w:before="0" w:after="0"/>
      <w:ind w:left="720" w:firstLine="0"/>
      <w:contextualSpacing/>
    </w:pPr>
    <w:rPr>
      <w:rFonts w:ascii="SimSun" w:hAnsi="SimSun" w:eastAsia="宋体" w:cs="SimSun"/>
      <w:color w:val="000000"/>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exact" w:before="0" w:after="0"/>
      <w:ind w:firstLine="0"/>
      <w:jc w:val="center"/>
    </w:pPr>
    <w:rPr>
      <w:rFonts w:ascii="SimSun" w:hAnsi="SimSun" w:eastAsia="宋体" w:cs="SimSu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内装模块划分、识别方法、快速设计流程及平台构建方案</dc:subject>
  <dc:creator>轨道客室智能设计平台项目组</dc:creator>
  <cp:keywords/>
  <dc:description>RAIL-CONTRACT-RP-001 V2.5</dc:description>
  <cp:lastModifiedBy/>
  <cp:revision>1</cp:revision>
  <dcterms:created xsi:type="dcterms:W3CDTF">2013-12-23T23:15:00Z</dcterms:created>
  <dcterms:modified xsi:type="dcterms:W3CDTF">2013-12-23T23:15:00Z</dcterms:modified>
  <cp:category/>
</cp:coreProperties>
</file>