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br/>
        <w:br/>
        <w:br/>
      </w:r>
    </w:p>
    <w:p>
      <w:pPr>
        <w:spacing w:after="360"/>
        <w:jc w:val="center"/>
      </w:pPr>
      <w:r>
        <w:rPr>
          <w:rFonts w:ascii="SimHei" w:hAnsi="SimHei" w:eastAsia="黑体" w:cs="SimHei"/>
          <w:b/>
          <w:color w:val="B91C32"/>
          <w:sz w:val="24"/>
        </w:rPr>
        <w:t>合同研究报告 · 建设指导评审稿</w:t>
      </w:r>
    </w:p>
    <w:p>
      <w:pPr>
        <w:spacing w:line="259" w:lineRule="auto" w:after="360"/>
        <w:jc w:val="center"/>
      </w:pPr>
      <w:r>
        <w:rPr>
          <w:rFonts w:ascii="SimHei" w:hAnsi="SimHei" w:eastAsia="黑体" w:cs="SimHei"/>
          <w:b/>
          <w:color w:val="000000"/>
          <w:sz w:val="54"/>
        </w:rPr>
        <w:t>基于轨道交通客运装备的</w:t>
        <w:br/>
        <w:t>内装模块分区识别与快速设计</w:t>
        <w:br/>
        <w:t>系统构建研究报告</w:t>
      </w:r>
    </w:p>
    <w:p>
      <w:pPr>
        <w:spacing w:after="840"/>
        <w:jc w:val="center"/>
      </w:pPr>
      <w:r>
        <w:rPr>
          <w:rFonts w:ascii="KaiTi" w:hAnsi="KaiTi" w:eastAsia="楷体" w:cs="KaiTi"/>
          <w:color w:val="000000"/>
          <w:sz w:val="28"/>
        </w:rPr>
        <w:t>客运装备内装模块化分区快速设计平台</w:t>
      </w:r>
    </w:p>
    <w:p>
      <w:pPr>
        <w:spacing w:after="120"/>
        <w:jc w:val="center"/>
      </w:pPr>
      <w:r>
        <w:rPr>
          <w:rFonts w:ascii="SimSun" w:hAnsi="SimSun" w:eastAsia="宋体" w:cs="SimSun"/>
          <w:b/>
          <w:color w:val="000000"/>
          <w:sz w:val="22"/>
        </w:rPr>
        <w:t>文档编号：RAIL-CONTRACT-RP-001    文档版本：V2.0</w:t>
      </w:r>
    </w:p>
    <w:p>
      <w:pPr>
        <w:spacing w:after="120"/>
        <w:jc w:val="center"/>
      </w:pPr>
      <w:r>
        <w:rPr>
          <w:rFonts w:ascii="SimSun" w:hAnsi="SimSun" w:eastAsia="宋体" w:cs="SimSun"/>
          <w:b w:val="0"/>
          <w:color w:val="000000"/>
          <w:sz w:val="22"/>
        </w:rPr>
        <w:t>文档性质：平台构建前技术指导文件</w:t>
      </w:r>
    </w:p>
    <w:p>
      <w:pPr>
        <w:spacing w:after="120"/>
        <w:jc w:val="center"/>
      </w:pPr>
      <w:r>
        <w:rPr>
          <w:rFonts w:ascii="SimSun" w:hAnsi="SimSun" w:eastAsia="宋体" w:cs="SimSun"/>
          <w:b w:val="0"/>
          <w:color w:val="000000"/>
          <w:sz w:val="22"/>
        </w:rPr>
        <w:t>合同依据：技术开发合同（26版）及附件技术规格书</w:t>
      </w:r>
    </w:p>
    <w:p>
      <w:pPr>
        <w:spacing w:after="120"/>
        <w:jc w:val="center"/>
      </w:pPr>
      <w:r>
        <w:rPr>
          <w:rFonts w:ascii="SimSun" w:hAnsi="SimSun" w:eastAsia="宋体" w:cs="SimSun"/>
          <w:b w:val="0"/>
          <w:color w:val="000000"/>
          <w:sz w:val="22"/>
        </w:rPr>
        <w:t>委托单位：中车工业研究院有限公司</w:t>
      </w:r>
    </w:p>
    <w:p>
      <w:pPr>
        <w:spacing w:after="120"/>
        <w:jc w:val="center"/>
      </w:pPr>
      <w:r>
        <w:rPr>
          <w:rFonts w:ascii="SimSun" w:hAnsi="SimSun" w:eastAsia="宋体" w:cs="SimSun"/>
          <w:b w:val="0"/>
          <w:color w:val="000000"/>
          <w:sz w:val="22"/>
        </w:rPr>
        <w:t>承担单位：北京科技大学</w:t>
      </w:r>
    </w:p>
    <w:p>
      <w:pPr>
        <w:spacing w:after="0"/>
        <w:jc w:val="center"/>
      </w:pPr>
      <w:r>
        <w:rPr>
          <w:rFonts w:ascii="SimSun" w:hAnsi="SimSun" w:eastAsia="宋体" w:cs="SimSun"/>
          <w:b/>
          <w:color w:val="000000"/>
          <w:sz w:val="22"/>
        </w:rPr>
        <w:t>2026年9月3日</w:t>
      </w:r>
    </w:p>
    <w:p>
      <w:pPr>
        <w:sectPr>
          <w:headerReference w:type="default" r:id="rId9"/>
          <w:footerReference w:type="default" r:id="rId10"/>
          <w:pgSz w:w="11906" w:h="16838"/>
          <w:pgMar w:top="1417" w:right="1361" w:bottom="1417" w:left="1474" w:header="850" w:footer="992" w:gutter="0"/>
          <w:cols w:space="720"/>
          <w:docGrid w:linePitch="360"/>
        </w:sectPr>
      </w:pPr>
    </w:p>
    <w:p>
      <w:pPr>
        <w:pStyle w:val="Heading1"/>
        <w:spacing w:before="0"/>
      </w:pPr>
      <w:r>
        <w:t>文档控制</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001"/>
        <w:gridCol w:w="6971"/>
      </w:tblGrid>
      <w:tr>
        <w:trPr>
          <w:cantSplit w:val="true"/>
          <w:tblHeader w:val="true"/>
        </w:trPr>
        <w:tc>
          <w:tcPr>
            <w:tcW w:type="dxa" w:w="200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控制项</w:t>
            </w:r>
          </w:p>
        </w:tc>
        <w:tc>
          <w:tcPr>
            <w:tcW w:type="dxa" w:w="697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记录</w:t>
            </w:r>
          </w:p>
        </w:tc>
      </w:tr>
      <w:tr>
        <w:trPr>
          <w:cantSplit w:val="true"/>
        </w:trPr>
        <w:tc>
          <w:tcPr>
            <w:tcW w:type="dxa" w:w="200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文档编号 / 版本</w:t>
            </w:r>
          </w:p>
        </w:tc>
        <w:tc>
          <w:tcPr>
            <w:tcW w:type="dxa" w:w="69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RAIL-CONTRACT-RP-001 / V2.0</w:t>
            </w:r>
          </w:p>
        </w:tc>
      </w:tr>
      <w:tr>
        <w:trPr>
          <w:cantSplit w:val="true"/>
        </w:trPr>
        <w:tc>
          <w:tcPr>
            <w:tcW w:type="dxa" w:w="200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文档状态</w:t>
            </w:r>
          </w:p>
        </w:tc>
        <w:tc>
          <w:tcPr>
            <w:tcW w:type="dxa" w:w="69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建设指导评审稿</w:t>
            </w:r>
          </w:p>
        </w:tc>
      </w:tr>
      <w:tr>
        <w:trPr>
          <w:cantSplit w:val="true"/>
        </w:trPr>
        <w:tc>
          <w:tcPr>
            <w:tcW w:type="dxa" w:w="200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编制日期</w:t>
            </w:r>
          </w:p>
        </w:tc>
        <w:tc>
          <w:tcPr>
            <w:tcW w:type="dxa" w:w="69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2026年9月3日</w:t>
            </w:r>
          </w:p>
        </w:tc>
      </w:tr>
      <w:tr>
        <w:trPr>
          <w:cantSplit w:val="true"/>
        </w:trPr>
        <w:tc>
          <w:tcPr>
            <w:tcW w:type="dxa" w:w="200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文档定位</w:t>
            </w:r>
          </w:p>
        </w:tc>
        <w:tc>
          <w:tcPr>
            <w:tcW w:type="dxa" w:w="69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平台构建前的关键技术、总体架构、功能模块、技术路线和进度指导文件</w:t>
            </w:r>
          </w:p>
        </w:tc>
      </w:tr>
      <w:tr>
        <w:trPr>
          <w:cantSplit w:val="true"/>
        </w:trPr>
        <w:tc>
          <w:tcPr>
            <w:tcW w:type="dxa" w:w="200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合同依据</w:t>
            </w:r>
          </w:p>
        </w:tc>
        <w:tc>
          <w:tcPr>
            <w:tcW w:type="dxa" w:w="69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技术开发合同（26版）及附件技术规格书</w:t>
            </w:r>
          </w:p>
        </w:tc>
      </w:tr>
      <w:tr>
        <w:trPr>
          <w:cantSplit w:val="true"/>
        </w:trPr>
        <w:tc>
          <w:tcPr>
            <w:tcW w:type="dxa" w:w="200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内容参考</w:t>
            </w:r>
          </w:p>
        </w:tc>
        <w:tc>
          <w:tcPr>
            <w:tcW w:type="dxa" w:w="697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技术响应第四版及甲方关于报告定位、图文表达和建设指导性的补充意见</w:t>
            </w:r>
          </w:p>
        </w:tc>
      </w:tr>
    </w:tbl>
    <w:p>
      <w:pPr>
        <w:pStyle w:val="Heading2"/>
        <w:spacing w:before="240"/>
      </w:pPr>
      <w:r>
        <w:t>修订记录</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966"/>
        <w:gridCol w:w="1380"/>
        <w:gridCol w:w="1656"/>
        <w:gridCol w:w="4970"/>
      </w:tblGrid>
      <w:tr>
        <w:trPr>
          <w:cantSplit w:val="true"/>
          <w:tblHeader w:val="true"/>
        </w:trPr>
        <w:tc>
          <w:tcPr>
            <w:tcW w:type="dxa" w:w="966"/>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版本</w:t>
            </w:r>
          </w:p>
        </w:tc>
        <w:tc>
          <w:tcPr>
            <w:tcW w:type="dxa" w:w="1380"/>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日期</w:t>
            </w:r>
          </w:p>
        </w:tc>
        <w:tc>
          <w:tcPr>
            <w:tcW w:type="dxa" w:w="1656"/>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状态</w:t>
            </w:r>
          </w:p>
        </w:tc>
        <w:tc>
          <w:tcPr>
            <w:tcW w:type="dxa" w:w="4970"/>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修订说明</w:t>
            </w:r>
          </w:p>
        </w:tc>
      </w:tr>
      <w:tr>
        <w:trPr>
          <w:cantSplit w:val="true"/>
        </w:trPr>
        <w:tc>
          <w:tcPr>
            <w:tcW w:type="dxa" w:w="96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V1.1</w:t>
            </w:r>
          </w:p>
        </w:tc>
        <w:tc>
          <w:tcPr>
            <w:tcW w:type="dxa" w:w="138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2026-09-03</w:t>
            </w:r>
          </w:p>
        </w:tc>
        <w:tc>
          <w:tcPr>
            <w:tcW w:type="dxa" w:w="16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历史评审稿</w:t>
            </w:r>
          </w:p>
        </w:tc>
        <w:tc>
          <w:tcPr>
            <w:tcW w:type="dxa" w:w="497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依据合同扩充研究内容、方法、指标和追踪矩阵</w:t>
            </w:r>
          </w:p>
        </w:tc>
      </w:tr>
      <w:tr>
        <w:trPr>
          <w:cantSplit w:val="true"/>
        </w:trPr>
        <w:tc>
          <w:tcPr>
            <w:tcW w:type="dxa" w:w="96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V1.2</w:t>
            </w:r>
          </w:p>
        </w:tc>
        <w:tc>
          <w:tcPr>
            <w:tcW w:type="dxa" w:w="138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2026-09-03</w:t>
            </w:r>
          </w:p>
        </w:tc>
        <w:tc>
          <w:tcPr>
            <w:tcW w:type="dxa" w:w="16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历史格式稿</w:t>
            </w:r>
          </w:p>
        </w:tc>
        <w:tc>
          <w:tcPr>
            <w:tcW w:type="dxa" w:w="497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按指定页面、字体、行距、缩进和标题编号统一排版</w:t>
            </w:r>
          </w:p>
        </w:tc>
      </w:tr>
      <w:tr>
        <w:trPr>
          <w:cantSplit w:val="true"/>
        </w:trPr>
        <w:tc>
          <w:tcPr>
            <w:tcW w:type="dxa" w:w="96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V2.0</w:t>
            </w:r>
          </w:p>
        </w:tc>
        <w:tc>
          <w:tcPr>
            <w:tcW w:type="dxa" w:w="138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2026-09-03</w:t>
            </w:r>
          </w:p>
        </w:tc>
        <w:tc>
          <w:tcPr>
            <w:tcW w:type="dxa" w:w="16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当前评审稿</w:t>
            </w:r>
          </w:p>
        </w:tc>
        <w:tc>
          <w:tcPr>
            <w:tcW w:type="dxa" w:w="497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按甲方意见重构为平台建设指导文件，精简文字，增加统一编号图表和可点击目录</w:t>
            </w:r>
          </w:p>
        </w:tc>
      </w:tr>
    </w:tbl>
    <w:tbl>
      <w:tblPr>
        <w:tblW w:type="dxa" w:w="8972"/>
        <w:jc w:val="left"/>
        <w:tblLayout w:type="fixed"/>
        <w:tblLook w:firstColumn="1" w:firstRow="1" w:lastColumn="0" w:lastRow="0" w:noHBand="0" w:noVBand="1" w:val="04A0"/>
        <w:tblInd w:type="dxa" w:w="100"/>
        <w:tblBorders>
          <w:top w:val="single" w:sz="5" w:color="D7DCE2"/>
          <w:left w:val="single" w:sz="5" w:color="D7DCE2"/>
          <w:bottom w:val="single" w:sz="5" w:color="D7DCE2"/>
          <w:right w:val="single" w:sz="5" w:color="D7DCE2"/>
          <w:insideH w:val="single" w:sz="5" w:color="D7DCE2"/>
          <w:insideV w:val="single" w:sz="5" w:color="D7DCE2"/>
        </w:tblBorders>
      </w:tblPr>
      <w:tblGrid>
        <w:gridCol w:w="8972"/>
      </w:tblGrid>
      <w:tr>
        <w:trPr>
          <w:tblHeader w:val="true"/>
        </w:trPr>
        <w:tc>
          <w:tcPr>
            <w:tcW w:type="dxa" w:w="8972"/>
            <w:tcMar>
              <w:top w:w="120" w:type="dxa"/>
              <w:bottom w:w="120" w:type="dxa"/>
              <w:start w:w="160" w:type="dxa"/>
              <w:end w:w="160" w:type="dxa"/>
            </w:tcMar>
            <w:shd w:fill="F7F8FA"/>
          </w:tcPr>
          <w:p>
            <w:pPr>
              <w:spacing w:lineRule="exact" w:line="480" w:before="0" w:after="0"/>
              <w:ind w:firstLine="0"/>
            </w:pPr>
            <w:r>
              <w:rPr>
                <w:rFonts w:ascii="SimHei" w:hAnsi="SimHei" w:eastAsia="黑体" w:cs="SimHei"/>
                <w:b/>
                <w:color w:val="000000"/>
                <w:sz w:val="24"/>
              </w:rPr>
              <w:t>报告使用说明</w:t>
            </w:r>
          </w:p>
          <w:p>
            <w:pPr>
              <w:spacing w:lineRule="exact" w:line="480" w:before="0" w:after="0"/>
              <w:ind w:firstLine="0"/>
            </w:pPr>
            <w:r>
              <w:rPr>
                <w:rFonts w:ascii="SimSun" w:hAnsi="SimSun" w:eastAsia="宋体" w:cs="SimSun"/>
                <w:b w:val="0"/>
                <w:color w:val="000000"/>
                <w:sz w:val="24"/>
              </w:rPr>
              <w:t>本报告用于统一平台建设目标、关键技术、总体架构、数据与功能边界、实施路线和验证方法。具体模型、参数、接口字段和部署资源在详细设计与现场确认阶段固化；涉及工程安全、尺寸、装配和法规的结论以专业设计、试验及审批结果为准。</w:t>
            </w:r>
          </w:p>
        </w:tc>
      </w:tr>
    </w:tbl>
    <w:p>
      <w:r>
        <w:br w:type="page"/>
      </w:r>
    </w:p>
    <w:p>
      <w:pPr>
        <w:keepNext/>
        <w:spacing w:before="0" w:after="240"/>
      </w:pPr>
      <w:r>
        <w:rPr>
          <w:rFonts w:ascii="SimHei" w:hAnsi="SimHei" w:eastAsia="黑体" w:cs="SimHei"/>
          <w:b/>
          <w:color w:val="000000"/>
          <w:sz w:val="28"/>
        </w:rPr>
        <w:t>目录</w:t>
      </w:r>
    </w:p>
    <w:p>
      <w:pPr>
        <w:tabs>
          <w:tab w:pos="8901" w:val="right" w:leader="dot"/>
        </w:tabs>
        <w:spacing w:lineRule="exact" w:line="480" w:before="0" w:after="0"/>
        <w:ind w:firstLine="0" w:left="0" w:right="0"/>
      </w:pPr>
      <w:hyperlink w:anchor="report_heading_001" w:history="1">
        <w:r>
          <w:rPr>
            <w:rFonts w:ascii="SimSun" w:hAnsi="SimSun" w:eastAsia="宋体" w:cs="SimSun"/>
            <w:b/>
            <w:color w:val="000000"/>
            <w:sz w:val="24"/>
            <w:u w:val="none"/>
          </w:rPr>
          <w:t>摘要</w:t>
        </w:r>
      </w:hyperlink>
      <w:r>
        <w:rPr>
          <w:rFonts w:ascii="SimSun" w:hAnsi="SimSun" w:eastAsia="宋体" w:cs="SimSun"/>
          <w:color w:val="000000"/>
          <w:sz w:val="24"/>
        </w:rPr>
        <w:tab/>
      </w:r>
      <w:hyperlink w:anchor="report_heading_001" w:history="1">
        <w:r>
          <w:rPr>
            <w:rFonts w:ascii="SimSun" w:hAnsi="SimSun" w:eastAsia="宋体" w:cs="SimSun"/>
            <w:b/>
            <w:color w:val="000000"/>
            <w:sz w:val="24"/>
            <w:u w:val="none"/>
          </w:rPr>
          <w:t>6</w:t>
        </w:r>
      </w:hyperlink>
    </w:p>
    <w:p>
      <w:pPr>
        <w:tabs>
          <w:tab w:pos="8901" w:val="right" w:leader="dot"/>
        </w:tabs>
        <w:spacing w:lineRule="exact" w:line="480" w:before="0" w:after="0"/>
        <w:ind w:firstLine="0" w:left="0" w:right="0"/>
      </w:pPr>
      <w:hyperlink w:anchor="report_heading_002" w:history="1">
        <w:r>
          <w:rPr>
            <w:rFonts w:ascii="SimSun" w:hAnsi="SimSun" w:eastAsia="宋体" w:cs="SimSun"/>
            <w:b/>
            <w:color w:val="000000"/>
            <w:sz w:val="24"/>
            <w:u w:val="none"/>
          </w:rPr>
          <w:t>一、报告定位与研究依据</w:t>
        </w:r>
      </w:hyperlink>
      <w:r>
        <w:rPr>
          <w:rFonts w:ascii="SimSun" w:hAnsi="SimSun" w:eastAsia="宋体" w:cs="SimSun"/>
          <w:color w:val="000000"/>
          <w:sz w:val="24"/>
        </w:rPr>
        <w:tab/>
      </w:r>
      <w:hyperlink w:anchor="report_heading_002" w:history="1">
        <w:r>
          <w:rPr>
            <w:rFonts w:ascii="SimSun" w:hAnsi="SimSun" w:eastAsia="宋体" w:cs="SimSun"/>
            <w:b/>
            <w:color w:val="000000"/>
            <w:sz w:val="24"/>
            <w:u w:val="none"/>
          </w:rPr>
          <w:t>6</w:t>
        </w:r>
      </w:hyperlink>
    </w:p>
    <w:p>
      <w:pPr>
        <w:tabs>
          <w:tab w:pos="8901" w:val="right" w:leader="dot"/>
        </w:tabs>
        <w:spacing w:lineRule="exact" w:line="480" w:before="0" w:after="0"/>
        <w:ind w:firstLine="0" w:left="480" w:right="0"/>
      </w:pPr>
      <w:hyperlink w:anchor="report_heading_003" w:history="1">
        <w:r>
          <w:rPr>
            <w:rFonts w:ascii="SimSun" w:hAnsi="SimSun" w:eastAsia="宋体" w:cs="SimSun"/>
            <w:b w:val="0"/>
            <w:color w:val="000000"/>
            <w:sz w:val="24"/>
            <w:u w:val="none"/>
          </w:rPr>
          <w:t>（一）报告定位</w:t>
        </w:r>
      </w:hyperlink>
      <w:r>
        <w:rPr>
          <w:rFonts w:ascii="SimSun" w:hAnsi="SimSun" w:eastAsia="宋体" w:cs="SimSun"/>
          <w:color w:val="000000"/>
          <w:sz w:val="24"/>
        </w:rPr>
        <w:tab/>
      </w:r>
      <w:hyperlink w:anchor="report_heading_003" w:history="1">
        <w:r>
          <w:rPr>
            <w:rFonts w:ascii="SimSun" w:hAnsi="SimSun" w:eastAsia="宋体" w:cs="SimSun"/>
            <w:b w:val="0"/>
            <w:color w:val="000000"/>
            <w:sz w:val="24"/>
            <w:u w:val="none"/>
          </w:rPr>
          <w:t>6</w:t>
        </w:r>
      </w:hyperlink>
    </w:p>
    <w:p>
      <w:pPr>
        <w:tabs>
          <w:tab w:pos="8901" w:val="right" w:leader="dot"/>
        </w:tabs>
        <w:spacing w:lineRule="exact" w:line="480" w:before="0" w:after="0"/>
        <w:ind w:firstLine="0" w:left="480" w:right="0"/>
      </w:pPr>
      <w:hyperlink w:anchor="report_heading_004" w:history="1">
        <w:r>
          <w:rPr>
            <w:rFonts w:ascii="SimSun" w:hAnsi="SimSun" w:eastAsia="宋体" w:cs="SimSun"/>
            <w:b w:val="0"/>
            <w:color w:val="000000"/>
            <w:sz w:val="24"/>
            <w:u w:val="none"/>
          </w:rPr>
          <w:t>（二）建设依据</w:t>
        </w:r>
      </w:hyperlink>
      <w:r>
        <w:rPr>
          <w:rFonts w:ascii="SimSun" w:hAnsi="SimSun" w:eastAsia="宋体" w:cs="SimSun"/>
          <w:color w:val="000000"/>
          <w:sz w:val="24"/>
        </w:rPr>
        <w:tab/>
      </w:r>
      <w:hyperlink w:anchor="report_heading_004" w:history="1">
        <w:r>
          <w:rPr>
            <w:rFonts w:ascii="SimSun" w:hAnsi="SimSun" w:eastAsia="宋体" w:cs="SimSun"/>
            <w:b w:val="0"/>
            <w:color w:val="000000"/>
            <w:sz w:val="24"/>
            <w:u w:val="none"/>
          </w:rPr>
          <w:t>8</w:t>
        </w:r>
      </w:hyperlink>
    </w:p>
    <w:p>
      <w:pPr>
        <w:tabs>
          <w:tab w:pos="8901" w:val="right" w:leader="dot"/>
        </w:tabs>
        <w:spacing w:lineRule="exact" w:line="480" w:before="0" w:after="0"/>
        <w:ind w:firstLine="0" w:left="480" w:right="0"/>
      </w:pPr>
      <w:hyperlink w:anchor="report_heading_005" w:history="1">
        <w:r>
          <w:rPr>
            <w:rFonts w:ascii="SimSun" w:hAnsi="SimSun" w:eastAsia="宋体" w:cs="SimSun"/>
            <w:b w:val="0"/>
            <w:color w:val="000000"/>
            <w:sz w:val="24"/>
            <w:u w:val="none"/>
          </w:rPr>
          <w:t>（三）研究范围</w:t>
        </w:r>
      </w:hyperlink>
      <w:r>
        <w:rPr>
          <w:rFonts w:ascii="SimSun" w:hAnsi="SimSun" w:eastAsia="宋体" w:cs="SimSun"/>
          <w:color w:val="000000"/>
          <w:sz w:val="24"/>
        </w:rPr>
        <w:tab/>
      </w:r>
      <w:hyperlink w:anchor="report_heading_005" w:history="1">
        <w:r>
          <w:rPr>
            <w:rFonts w:ascii="SimSun" w:hAnsi="SimSun" w:eastAsia="宋体" w:cs="SimSun"/>
            <w:b w:val="0"/>
            <w:color w:val="000000"/>
            <w:sz w:val="24"/>
            <w:u w:val="none"/>
          </w:rPr>
          <w:t>8</w:t>
        </w:r>
      </w:hyperlink>
    </w:p>
    <w:p>
      <w:pPr>
        <w:tabs>
          <w:tab w:pos="8901" w:val="right" w:leader="dot"/>
        </w:tabs>
        <w:spacing w:lineRule="exact" w:line="480" w:before="0" w:after="0"/>
        <w:ind w:firstLine="0" w:left="480" w:right="0"/>
      </w:pPr>
      <w:hyperlink w:anchor="report_heading_006" w:history="1">
        <w:r>
          <w:rPr>
            <w:rFonts w:ascii="SimSun" w:hAnsi="SimSun" w:eastAsia="宋体" w:cs="SimSun"/>
            <w:b w:val="0"/>
            <w:color w:val="000000"/>
            <w:sz w:val="24"/>
            <w:u w:val="none"/>
          </w:rPr>
          <w:t>（四）研究方法</w:t>
        </w:r>
      </w:hyperlink>
      <w:r>
        <w:rPr>
          <w:rFonts w:ascii="SimSun" w:hAnsi="SimSun" w:eastAsia="宋体" w:cs="SimSun"/>
          <w:color w:val="000000"/>
          <w:sz w:val="24"/>
        </w:rPr>
        <w:tab/>
      </w:r>
      <w:hyperlink w:anchor="report_heading_006" w:history="1">
        <w:r>
          <w:rPr>
            <w:rFonts w:ascii="SimSun" w:hAnsi="SimSun" w:eastAsia="宋体" w:cs="SimSun"/>
            <w:b w:val="0"/>
            <w:color w:val="000000"/>
            <w:sz w:val="24"/>
            <w:u w:val="none"/>
          </w:rPr>
          <w:t>8</w:t>
        </w:r>
      </w:hyperlink>
    </w:p>
    <w:p>
      <w:pPr>
        <w:tabs>
          <w:tab w:pos="8901" w:val="right" w:leader="dot"/>
        </w:tabs>
        <w:spacing w:lineRule="exact" w:line="480" w:before="0" w:after="0"/>
        <w:ind w:firstLine="0" w:left="0" w:right="0"/>
      </w:pPr>
      <w:hyperlink w:anchor="report_heading_007" w:history="1">
        <w:r>
          <w:rPr>
            <w:rFonts w:ascii="SimSun" w:hAnsi="SimSun" w:eastAsia="宋体" w:cs="SimSun"/>
            <w:b/>
            <w:color w:val="000000"/>
            <w:sz w:val="24"/>
            <w:u w:val="none"/>
          </w:rPr>
          <w:t>二、建设背景与总体目标</w:t>
        </w:r>
      </w:hyperlink>
      <w:r>
        <w:rPr>
          <w:rFonts w:ascii="SimSun" w:hAnsi="SimSun" w:eastAsia="宋体" w:cs="SimSun"/>
          <w:color w:val="000000"/>
          <w:sz w:val="24"/>
        </w:rPr>
        <w:tab/>
      </w:r>
      <w:hyperlink w:anchor="report_heading_007" w:history="1">
        <w:r>
          <w:rPr>
            <w:rFonts w:ascii="SimSun" w:hAnsi="SimSun" w:eastAsia="宋体" w:cs="SimSun"/>
            <w:b/>
            <w:color w:val="000000"/>
            <w:sz w:val="24"/>
            <w:u w:val="none"/>
          </w:rPr>
          <w:t>8</w:t>
        </w:r>
      </w:hyperlink>
    </w:p>
    <w:p>
      <w:pPr>
        <w:tabs>
          <w:tab w:pos="8901" w:val="right" w:leader="dot"/>
        </w:tabs>
        <w:spacing w:lineRule="exact" w:line="480" w:before="0" w:after="0"/>
        <w:ind w:firstLine="0" w:left="480" w:right="0"/>
      </w:pPr>
      <w:hyperlink w:anchor="report_heading_008" w:history="1">
        <w:r>
          <w:rPr>
            <w:rFonts w:ascii="SimSun" w:hAnsi="SimSun" w:eastAsia="宋体" w:cs="SimSun"/>
            <w:b w:val="0"/>
            <w:color w:val="000000"/>
            <w:sz w:val="24"/>
            <w:u w:val="none"/>
          </w:rPr>
          <w:t>（一）业务背景</w:t>
        </w:r>
      </w:hyperlink>
      <w:r>
        <w:rPr>
          <w:rFonts w:ascii="SimSun" w:hAnsi="SimSun" w:eastAsia="宋体" w:cs="SimSun"/>
          <w:color w:val="000000"/>
          <w:sz w:val="24"/>
        </w:rPr>
        <w:tab/>
      </w:r>
      <w:hyperlink w:anchor="report_heading_008" w:history="1">
        <w:r>
          <w:rPr>
            <w:rFonts w:ascii="SimSun" w:hAnsi="SimSun" w:eastAsia="宋体" w:cs="SimSun"/>
            <w:b w:val="0"/>
            <w:color w:val="000000"/>
            <w:sz w:val="24"/>
            <w:u w:val="none"/>
          </w:rPr>
          <w:t>8</w:t>
        </w:r>
      </w:hyperlink>
    </w:p>
    <w:p>
      <w:pPr>
        <w:tabs>
          <w:tab w:pos="8901" w:val="right" w:leader="dot"/>
        </w:tabs>
        <w:spacing w:lineRule="exact" w:line="480" w:before="0" w:after="0"/>
        <w:ind w:firstLine="0" w:left="480" w:right="0"/>
      </w:pPr>
      <w:hyperlink w:anchor="report_heading_009" w:history="1">
        <w:r>
          <w:rPr>
            <w:rFonts w:ascii="SimSun" w:hAnsi="SimSun" w:eastAsia="宋体" w:cs="SimSun"/>
            <w:b w:val="0"/>
            <w:color w:val="000000"/>
            <w:sz w:val="24"/>
            <w:u w:val="none"/>
          </w:rPr>
          <w:t>（二）总体目标</w:t>
        </w:r>
      </w:hyperlink>
      <w:r>
        <w:rPr>
          <w:rFonts w:ascii="SimSun" w:hAnsi="SimSun" w:eastAsia="宋体" w:cs="SimSun"/>
          <w:color w:val="000000"/>
          <w:sz w:val="24"/>
        </w:rPr>
        <w:tab/>
      </w:r>
      <w:hyperlink w:anchor="report_heading_009" w:history="1">
        <w:r>
          <w:rPr>
            <w:rFonts w:ascii="SimSun" w:hAnsi="SimSun" w:eastAsia="宋体" w:cs="SimSun"/>
            <w:b w:val="0"/>
            <w:color w:val="000000"/>
            <w:sz w:val="24"/>
            <w:u w:val="none"/>
          </w:rPr>
          <w:t>8</w:t>
        </w:r>
      </w:hyperlink>
    </w:p>
    <w:p>
      <w:pPr>
        <w:tabs>
          <w:tab w:pos="8901" w:val="right" w:leader="dot"/>
        </w:tabs>
        <w:spacing w:lineRule="exact" w:line="480" w:before="0" w:after="0"/>
        <w:ind w:firstLine="0" w:left="480" w:right="0"/>
      </w:pPr>
      <w:hyperlink w:anchor="report_heading_010" w:history="1">
        <w:r>
          <w:rPr>
            <w:rFonts w:ascii="SimSun" w:hAnsi="SimSun" w:eastAsia="宋体" w:cs="SimSun"/>
            <w:b w:val="0"/>
            <w:color w:val="000000"/>
            <w:sz w:val="24"/>
            <w:u w:val="none"/>
          </w:rPr>
          <w:t>（三）建设原则</w:t>
        </w:r>
      </w:hyperlink>
      <w:r>
        <w:rPr>
          <w:rFonts w:ascii="SimSun" w:hAnsi="SimSun" w:eastAsia="宋体" w:cs="SimSun"/>
          <w:color w:val="000000"/>
          <w:sz w:val="24"/>
        </w:rPr>
        <w:tab/>
      </w:r>
      <w:hyperlink w:anchor="report_heading_010" w:history="1">
        <w:r>
          <w:rPr>
            <w:rFonts w:ascii="SimSun" w:hAnsi="SimSun" w:eastAsia="宋体" w:cs="SimSun"/>
            <w:b w:val="0"/>
            <w:color w:val="000000"/>
            <w:sz w:val="24"/>
            <w:u w:val="none"/>
          </w:rPr>
          <w:t>9</w:t>
        </w:r>
      </w:hyperlink>
    </w:p>
    <w:p>
      <w:pPr>
        <w:tabs>
          <w:tab w:pos="8901" w:val="right" w:leader="dot"/>
        </w:tabs>
        <w:spacing w:lineRule="exact" w:line="480" w:before="0" w:after="0"/>
        <w:ind w:firstLine="0" w:left="0" w:right="0"/>
      </w:pPr>
      <w:hyperlink w:anchor="report_heading_011" w:history="1">
        <w:r>
          <w:rPr>
            <w:rFonts w:ascii="SimSun" w:hAnsi="SimSun" w:eastAsia="宋体" w:cs="SimSun"/>
            <w:b/>
            <w:color w:val="000000"/>
            <w:sz w:val="24"/>
            <w:u w:val="none"/>
          </w:rPr>
          <w:t>三、总体研究框架与关键问题</w:t>
        </w:r>
      </w:hyperlink>
      <w:r>
        <w:rPr>
          <w:rFonts w:ascii="SimSun" w:hAnsi="SimSun" w:eastAsia="宋体" w:cs="SimSun"/>
          <w:color w:val="000000"/>
          <w:sz w:val="24"/>
        </w:rPr>
        <w:tab/>
      </w:r>
      <w:hyperlink w:anchor="report_heading_011" w:history="1">
        <w:r>
          <w:rPr>
            <w:rFonts w:ascii="SimSun" w:hAnsi="SimSun" w:eastAsia="宋体" w:cs="SimSun"/>
            <w:b/>
            <w:color w:val="000000"/>
            <w:sz w:val="24"/>
            <w:u w:val="none"/>
          </w:rPr>
          <w:t>10</w:t>
        </w:r>
      </w:hyperlink>
    </w:p>
    <w:p>
      <w:pPr>
        <w:tabs>
          <w:tab w:pos="8901" w:val="right" w:leader="dot"/>
        </w:tabs>
        <w:spacing w:lineRule="exact" w:line="480" w:before="0" w:after="0"/>
        <w:ind w:firstLine="0" w:left="480" w:right="0"/>
      </w:pPr>
      <w:hyperlink w:anchor="report_heading_012" w:history="1">
        <w:r>
          <w:rPr>
            <w:rFonts w:ascii="SimSun" w:hAnsi="SimSun" w:eastAsia="宋体" w:cs="SimSun"/>
            <w:b w:val="0"/>
            <w:color w:val="000000"/>
            <w:sz w:val="24"/>
            <w:u w:val="none"/>
          </w:rPr>
          <w:t>（一）研究内容体系</w:t>
        </w:r>
      </w:hyperlink>
      <w:r>
        <w:rPr>
          <w:rFonts w:ascii="SimSun" w:hAnsi="SimSun" w:eastAsia="宋体" w:cs="SimSun"/>
          <w:color w:val="000000"/>
          <w:sz w:val="24"/>
        </w:rPr>
        <w:tab/>
      </w:r>
      <w:hyperlink w:anchor="report_heading_012" w:history="1">
        <w:r>
          <w:rPr>
            <w:rFonts w:ascii="SimSun" w:hAnsi="SimSun" w:eastAsia="宋体" w:cs="SimSun"/>
            <w:b w:val="0"/>
            <w:color w:val="000000"/>
            <w:sz w:val="24"/>
            <w:u w:val="none"/>
          </w:rPr>
          <w:t>10</w:t>
        </w:r>
      </w:hyperlink>
    </w:p>
    <w:p>
      <w:pPr>
        <w:tabs>
          <w:tab w:pos="8901" w:val="right" w:leader="dot"/>
        </w:tabs>
        <w:spacing w:lineRule="exact" w:line="480" w:before="0" w:after="0"/>
        <w:ind w:firstLine="0" w:left="480" w:right="0"/>
      </w:pPr>
      <w:hyperlink w:anchor="report_heading_013" w:history="1">
        <w:r>
          <w:rPr>
            <w:rFonts w:ascii="SimSun" w:hAnsi="SimSun" w:eastAsia="宋体" w:cs="SimSun"/>
            <w:b w:val="0"/>
            <w:color w:val="000000"/>
            <w:sz w:val="24"/>
            <w:u w:val="none"/>
          </w:rPr>
          <w:t>（二）需要解决的关键问题</w:t>
        </w:r>
      </w:hyperlink>
      <w:r>
        <w:rPr>
          <w:rFonts w:ascii="SimSun" w:hAnsi="SimSun" w:eastAsia="宋体" w:cs="SimSun"/>
          <w:color w:val="000000"/>
          <w:sz w:val="24"/>
        </w:rPr>
        <w:tab/>
      </w:r>
      <w:hyperlink w:anchor="report_heading_013" w:history="1">
        <w:r>
          <w:rPr>
            <w:rFonts w:ascii="SimSun" w:hAnsi="SimSun" w:eastAsia="宋体" w:cs="SimSun"/>
            <w:b w:val="0"/>
            <w:color w:val="000000"/>
            <w:sz w:val="24"/>
            <w:u w:val="none"/>
          </w:rPr>
          <w:t>11</w:t>
        </w:r>
      </w:hyperlink>
    </w:p>
    <w:p>
      <w:pPr>
        <w:tabs>
          <w:tab w:pos="8901" w:val="right" w:leader="dot"/>
        </w:tabs>
        <w:spacing w:lineRule="exact" w:line="480" w:before="0" w:after="0"/>
        <w:ind w:firstLine="0" w:left="480" w:right="0"/>
      </w:pPr>
      <w:hyperlink w:anchor="report_heading_014" w:history="1">
        <w:r>
          <w:rPr>
            <w:rFonts w:ascii="SimSun" w:hAnsi="SimSun" w:eastAsia="宋体" w:cs="SimSun"/>
            <w:b w:val="0"/>
            <w:color w:val="000000"/>
            <w:sz w:val="24"/>
            <w:u w:val="none"/>
          </w:rPr>
          <w:t>（三）研究成果形态</w:t>
        </w:r>
      </w:hyperlink>
      <w:r>
        <w:rPr>
          <w:rFonts w:ascii="SimSun" w:hAnsi="SimSun" w:eastAsia="宋体" w:cs="SimSun"/>
          <w:color w:val="000000"/>
          <w:sz w:val="24"/>
        </w:rPr>
        <w:tab/>
      </w:r>
      <w:hyperlink w:anchor="report_heading_014" w:history="1">
        <w:r>
          <w:rPr>
            <w:rFonts w:ascii="SimSun" w:hAnsi="SimSun" w:eastAsia="宋体" w:cs="SimSun"/>
            <w:b w:val="0"/>
            <w:color w:val="000000"/>
            <w:sz w:val="24"/>
            <w:u w:val="none"/>
          </w:rPr>
          <w:t>11</w:t>
        </w:r>
      </w:hyperlink>
    </w:p>
    <w:p>
      <w:pPr>
        <w:tabs>
          <w:tab w:pos="8901" w:val="right" w:leader="dot"/>
        </w:tabs>
        <w:spacing w:lineRule="exact" w:line="480" w:before="0" w:after="0"/>
        <w:ind w:firstLine="0" w:left="0" w:right="0"/>
      </w:pPr>
      <w:hyperlink w:anchor="report_heading_015" w:history="1">
        <w:r>
          <w:rPr>
            <w:rFonts w:ascii="SimSun" w:hAnsi="SimSun" w:eastAsia="宋体" w:cs="SimSun"/>
            <w:b/>
            <w:color w:val="000000"/>
            <w:sz w:val="24"/>
            <w:u w:val="none"/>
          </w:rPr>
          <w:t>四、平台总体架构设计</w:t>
        </w:r>
      </w:hyperlink>
      <w:r>
        <w:rPr>
          <w:rFonts w:ascii="SimSun" w:hAnsi="SimSun" w:eastAsia="宋体" w:cs="SimSun"/>
          <w:color w:val="000000"/>
          <w:sz w:val="24"/>
        </w:rPr>
        <w:tab/>
      </w:r>
      <w:hyperlink w:anchor="report_heading_015" w:history="1">
        <w:r>
          <w:rPr>
            <w:rFonts w:ascii="SimSun" w:hAnsi="SimSun" w:eastAsia="宋体" w:cs="SimSun"/>
            <w:b/>
            <w:color w:val="000000"/>
            <w:sz w:val="24"/>
            <w:u w:val="none"/>
          </w:rPr>
          <w:t>12</w:t>
        </w:r>
      </w:hyperlink>
    </w:p>
    <w:p>
      <w:pPr>
        <w:tabs>
          <w:tab w:pos="8901" w:val="right" w:leader="dot"/>
        </w:tabs>
        <w:spacing w:lineRule="exact" w:line="480" w:before="0" w:after="0"/>
        <w:ind w:firstLine="0" w:left="480" w:right="0"/>
      </w:pPr>
      <w:hyperlink w:anchor="report_heading_016" w:history="1">
        <w:r>
          <w:rPr>
            <w:rFonts w:ascii="SimSun" w:hAnsi="SimSun" w:eastAsia="宋体" w:cs="SimSun"/>
            <w:b w:val="0"/>
            <w:color w:val="000000"/>
            <w:sz w:val="24"/>
            <w:u w:val="none"/>
          </w:rPr>
          <w:t>（一）分层架构</w:t>
        </w:r>
      </w:hyperlink>
      <w:r>
        <w:rPr>
          <w:rFonts w:ascii="SimSun" w:hAnsi="SimSun" w:eastAsia="宋体" w:cs="SimSun"/>
          <w:color w:val="000000"/>
          <w:sz w:val="24"/>
        </w:rPr>
        <w:tab/>
      </w:r>
      <w:hyperlink w:anchor="report_heading_016" w:history="1">
        <w:r>
          <w:rPr>
            <w:rFonts w:ascii="SimSun" w:hAnsi="SimSun" w:eastAsia="宋体" w:cs="SimSun"/>
            <w:b w:val="0"/>
            <w:color w:val="000000"/>
            <w:sz w:val="24"/>
            <w:u w:val="none"/>
          </w:rPr>
          <w:t>12</w:t>
        </w:r>
      </w:hyperlink>
    </w:p>
    <w:p>
      <w:pPr>
        <w:tabs>
          <w:tab w:pos="8901" w:val="right" w:leader="dot"/>
        </w:tabs>
        <w:spacing w:lineRule="exact" w:line="480" w:before="0" w:after="0"/>
        <w:ind w:firstLine="0" w:left="480" w:right="0"/>
      </w:pPr>
      <w:hyperlink w:anchor="report_heading_017" w:history="1">
        <w:r>
          <w:rPr>
            <w:rFonts w:ascii="SimSun" w:hAnsi="SimSun" w:eastAsia="宋体" w:cs="SimSun"/>
            <w:b w:val="0"/>
            <w:color w:val="000000"/>
            <w:sz w:val="24"/>
            <w:u w:val="none"/>
          </w:rPr>
          <w:t>（二）服务边界</w:t>
        </w:r>
      </w:hyperlink>
      <w:r>
        <w:rPr>
          <w:rFonts w:ascii="SimSun" w:hAnsi="SimSun" w:eastAsia="宋体" w:cs="SimSun"/>
          <w:color w:val="000000"/>
          <w:sz w:val="24"/>
        </w:rPr>
        <w:tab/>
      </w:r>
      <w:hyperlink w:anchor="report_heading_017" w:history="1">
        <w:r>
          <w:rPr>
            <w:rFonts w:ascii="SimSun" w:hAnsi="SimSun" w:eastAsia="宋体" w:cs="SimSun"/>
            <w:b w:val="0"/>
            <w:color w:val="000000"/>
            <w:sz w:val="24"/>
            <w:u w:val="none"/>
          </w:rPr>
          <w:t>13</w:t>
        </w:r>
      </w:hyperlink>
    </w:p>
    <w:p>
      <w:pPr>
        <w:tabs>
          <w:tab w:pos="8901" w:val="right" w:leader="dot"/>
        </w:tabs>
        <w:spacing w:lineRule="exact" w:line="480" w:before="0" w:after="0"/>
        <w:ind w:firstLine="0" w:left="480" w:right="0"/>
      </w:pPr>
      <w:hyperlink w:anchor="report_heading_018" w:history="1">
        <w:r>
          <w:rPr>
            <w:rFonts w:ascii="SimSun" w:hAnsi="SimSun" w:eastAsia="宋体" w:cs="SimSun"/>
            <w:b w:val="0"/>
            <w:color w:val="000000"/>
            <w:sz w:val="24"/>
            <w:u w:val="none"/>
          </w:rPr>
          <w:t>（三）统一对象和业务协议</w:t>
        </w:r>
      </w:hyperlink>
      <w:r>
        <w:rPr>
          <w:rFonts w:ascii="SimSun" w:hAnsi="SimSun" w:eastAsia="宋体" w:cs="SimSun"/>
          <w:color w:val="000000"/>
          <w:sz w:val="24"/>
        </w:rPr>
        <w:tab/>
      </w:r>
      <w:hyperlink w:anchor="report_heading_018" w:history="1">
        <w:r>
          <w:rPr>
            <w:rFonts w:ascii="SimSun" w:hAnsi="SimSun" w:eastAsia="宋体" w:cs="SimSun"/>
            <w:b w:val="0"/>
            <w:color w:val="000000"/>
            <w:sz w:val="24"/>
            <w:u w:val="none"/>
          </w:rPr>
          <w:t>13</w:t>
        </w:r>
      </w:hyperlink>
    </w:p>
    <w:p>
      <w:pPr>
        <w:tabs>
          <w:tab w:pos="8901" w:val="right" w:leader="dot"/>
        </w:tabs>
        <w:spacing w:lineRule="exact" w:line="480" w:before="0" w:after="0"/>
        <w:ind w:firstLine="0" w:left="480" w:right="0"/>
      </w:pPr>
      <w:hyperlink w:anchor="report_heading_019" w:history="1">
        <w:r>
          <w:rPr>
            <w:rFonts w:ascii="SimSun" w:hAnsi="SimSun" w:eastAsia="宋体" w:cs="SimSun"/>
            <w:b w:val="0"/>
            <w:color w:val="000000"/>
            <w:sz w:val="24"/>
            <w:u w:val="none"/>
          </w:rPr>
          <w:t>（四）部署与扩展架构</w:t>
        </w:r>
      </w:hyperlink>
      <w:r>
        <w:rPr>
          <w:rFonts w:ascii="SimSun" w:hAnsi="SimSun" w:eastAsia="宋体" w:cs="SimSun"/>
          <w:color w:val="000000"/>
          <w:sz w:val="24"/>
        </w:rPr>
        <w:tab/>
      </w:r>
      <w:hyperlink w:anchor="report_heading_019" w:history="1">
        <w:r>
          <w:rPr>
            <w:rFonts w:ascii="SimSun" w:hAnsi="SimSun" w:eastAsia="宋体" w:cs="SimSun"/>
            <w:b w:val="0"/>
            <w:color w:val="000000"/>
            <w:sz w:val="24"/>
            <w:u w:val="none"/>
          </w:rPr>
          <w:t>13</w:t>
        </w:r>
      </w:hyperlink>
    </w:p>
    <w:p>
      <w:pPr>
        <w:tabs>
          <w:tab w:pos="8901" w:val="right" w:leader="dot"/>
        </w:tabs>
        <w:spacing w:lineRule="exact" w:line="480" w:before="0" w:after="0"/>
        <w:ind w:firstLine="0" w:left="0" w:right="0"/>
      </w:pPr>
      <w:hyperlink w:anchor="report_heading_020" w:history="1">
        <w:r>
          <w:rPr>
            <w:rFonts w:ascii="SimSun" w:hAnsi="SimSun" w:eastAsia="宋体" w:cs="SimSun"/>
            <w:b/>
            <w:color w:val="000000"/>
            <w:sz w:val="24"/>
            <w:u w:val="none"/>
          </w:rPr>
          <w:t>五、内装模块分区识别关键技术</w:t>
        </w:r>
      </w:hyperlink>
      <w:r>
        <w:rPr>
          <w:rFonts w:ascii="SimSun" w:hAnsi="SimSun" w:eastAsia="宋体" w:cs="SimSun"/>
          <w:color w:val="000000"/>
          <w:sz w:val="24"/>
        </w:rPr>
        <w:tab/>
      </w:r>
      <w:hyperlink w:anchor="report_heading_020" w:history="1">
        <w:r>
          <w:rPr>
            <w:rFonts w:ascii="SimSun" w:hAnsi="SimSun" w:eastAsia="宋体" w:cs="SimSun"/>
            <w:b/>
            <w:color w:val="000000"/>
            <w:sz w:val="24"/>
            <w:u w:val="none"/>
          </w:rPr>
          <w:t>14</w:t>
        </w:r>
      </w:hyperlink>
    </w:p>
    <w:p>
      <w:pPr>
        <w:tabs>
          <w:tab w:pos="8901" w:val="right" w:leader="dot"/>
        </w:tabs>
        <w:spacing w:lineRule="exact" w:line="480" w:before="0" w:after="0"/>
        <w:ind w:firstLine="0" w:left="480" w:right="0"/>
      </w:pPr>
      <w:hyperlink w:anchor="report_heading_021" w:history="1">
        <w:r>
          <w:rPr>
            <w:rFonts w:ascii="SimSun" w:hAnsi="SimSun" w:eastAsia="宋体" w:cs="SimSun"/>
            <w:b w:val="0"/>
            <w:color w:val="000000"/>
            <w:sz w:val="24"/>
            <w:u w:val="none"/>
          </w:rPr>
          <w:t>（一）区域与模块对象模型</w:t>
        </w:r>
      </w:hyperlink>
      <w:r>
        <w:rPr>
          <w:rFonts w:ascii="SimSun" w:hAnsi="SimSun" w:eastAsia="宋体" w:cs="SimSun"/>
          <w:color w:val="000000"/>
          <w:sz w:val="24"/>
        </w:rPr>
        <w:tab/>
      </w:r>
      <w:hyperlink w:anchor="report_heading_021" w:history="1">
        <w:r>
          <w:rPr>
            <w:rFonts w:ascii="SimSun" w:hAnsi="SimSun" w:eastAsia="宋体" w:cs="SimSun"/>
            <w:b w:val="0"/>
            <w:color w:val="000000"/>
            <w:sz w:val="24"/>
            <w:u w:val="none"/>
          </w:rPr>
          <w:t>14</w:t>
        </w:r>
      </w:hyperlink>
    </w:p>
    <w:p>
      <w:pPr>
        <w:tabs>
          <w:tab w:pos="8901" w:val="right" w:leader="dot"/>
        </w:tabs>
        <w:spacing w:lineRule="exact" w:line="480" w:before="0" w:after="0"/>
        <w:ind w:firstLine="0" w:left="480" w:right="0"/>
      </w:pPr>
      <w:hyperlink w:anchor="report_heading_022" w:history="1">
        <w:r>
          <w:rPr>
            <w:rFonts w:ascii="SimSun" w:hAnsi="SimSun" w:eastAsia="宋体" w:cs="SimSun"/>
            <w:b w:val="0"/>
            <w:color w:val="000000"/>
            <w:sz w:val="24"/>
            <w:u w:val="none"/>
          </w:rPr>
          <w:t>（二）多模态输入与预处理</w:t>
        </w:r>
      </w:hyperlink>
      <w:r>
        <w:rPr>
          <w:rFonts w:ascii="SimSun" w:hAnsi="SimSun" w:eastAsia="宋体" w:cs="SimSun"/>
          <w:color w:val="000000"/>
          <w:sz w:val="24"/>
        </w:rPr>
        <w:tab/>
      </w:r>
      <w:hyperlink w:anchor="report_heading_022" w:history="1">
        <w:r>
          <w:rPr>
            <w:rFonts w:ascii="SimSun" w:hAnsi="SimSun" w:eastAsia="宋体" w:cs="SimSun"/>
            <w:b w:val="0"/>
            <w:color w:val="000000"/>
            <w:sz w:val="24"/>
            <w:u w:val="none"/>
          </w:rPr>
          <w:t>15</w:t>
        </w:r>
      </w:hyperlink>
    </w:p>
    <w:p>
      <w:pPr>
        <w:tabs>
          <w:tab w:pos="8901" w:val="right" w:leader="dot"/>
        </w:tabs>
        <w:spacing w:lineRule="exact" w:line="480" w:before="0" w:after="0"/>
        <w:ind w:firstLine="0" w:left="480" w:right="0"/>
      </w:pPr>
      <w:hyperlink w:anchor="report_heading_023" w:history="1">
        <w:r>
          <w:rPr>
            <w:rFonts w:ascii="SimSun" w:hAnsi="SimSun" w:eastAsia="宋体" w:cs="SimSun"/>
            <w:b w:val="0"/>
            <w:color w:val="000000"/>
            <w:sz w:val="24"/>
            <w:u w:val="none"/>
          </w:rPr>
          <w:t>（三）候选识别与多模态融合</w:t>
        </w:r>
      </w:hyperlink>
      <w:r>
        <w:rPr>
          <w:rFonts w:ascii="SimSun" w:hAnsi="SimSun" w:eastAsia="宋体" w:cs="SimSun"/>
          <w:color w:val="000000"/>
          <w:sz w:val="24"/>
        </w:rPr>
        <w:tab/>
      </w:r>
      <w:hyperlink w:anchor="report_heading_023" w:history="1">
        <w:r>
          <w:rPr>
            <w:rFonts w:ascii="SimSun" w:hAnsi="SimSun" w:eastAsia="宋体" w:cs="SimSun"/>
            <w:b w:val="0"/>
            <w:color w:val="000000"/>
            <w:sz w:val="24"/>
            <w:u w:val="none"/>
          </w:rPr>
          <w:t>16</w:t>
        </w:r>
      </w:hyperlink>
    </w:p>
    <w:p>
      <w:pPr>
        <w:tabs>
          <w:tab w:pos="8901" w:val="right" w:leader="dot"/>
        </w:tabs>
        <w:spacing w:lineRule="exact" w:line="480" w:before="0" w:after="0"/>
        <w:ind w:firstLine="0" w:left="480" w:right="0"/>
      </w:pPr>
      <w:hyperlink w:anchor="report_heading_024" w:history="1">
        <w:r>
          <w:rPr>
            <w:rFonts w:ascii="SimSun" w:hAnsi="SimSun" w:eastAsia="宋体" w:cs="SimSun"/>
            <w:b w:val="0"/>
            <w:color w:val="000000"/>
            <w:sz w:val="24"/>
            <w:u w:val="none"/>
          </w:rPr>
          <w:t>（四）人机协同复核</w:t>
        </w:r>
      </w:hyperlink>
      <w:r>
        <w:rPr>
          <w:rFonts w:ascii="SimSun" w:hAnsi="SimSun" w:eastAsia="宋体" w:cs="SimSun"/>
          <w:color w:val="000000"/>
          <w:sz w:val="24"/>
        </w:rPr>
        <w:tab/>
      </w:r>
      <w:hyperlink w:anchor="report_heading_024" w:history="1">
        <w:r>
          <w:rPr>
            <w:rFonts w:ascii="SimSun" w:hAnsi="SimSun" w:eastAsia="宋体" w:cs="SimSun"/>
            <w:b w:val="0"/>
            <w:color w:val="000000"/>
            <w:sz w:val="24"/>
            <w:u w:val="none"/>
          </w:rPr>
          <w:t>17</w:t>
        </w:r>
      </w:hyperlink>
    </w:p>
    <w:p>
      <w:pPr>
        <w:tabs>
          <w:tab w:pos="8901" w:val="right" w:leader="dot"/>
        </w:tabs>
        <w:spacing w:lineRule="exact" w:line="480" w:before="0" w:after="0"/>
        <w:ind w:firstLine="0" w:left="480" w:right="0"/>
      </w:pPr>
      <w:hyperlink w:anchor="report_heading_025" w:history="1">
        <w:r>
          <w:rPr>
            <w:rFonts w:ascii="SimSun" w:hAnsi="SimSun" w:eastAsia="宋体" w:cs="SimSun"/>
            <w:b w:val="0"/>
            <w:color w:val="000000"/>
            <w:sz w:val="24"/>
            <w:u w:val="none"/>
          </w:rPr>
          <w:t>（五）识别数据集与评价指标</w:t>
        </w:r>
      </w:hyperlink>
      <w:r>
        <w:rPr>
          <w:rFonts w:ascii="SimSun" w:hAnsi="SimSun" w:eastAsia="宋体" w:cs="SimSun"/>
          <w:color w:val="000000"/>
          <w:sz w:val="24"/>
        </w:rPr>
        <w:tab/>
      </w:r>
      <w:hyperlink w:anchor="report_heading_025" w:history="1">
        <w:r>
          <w:rPr>
            <w:rFonts w:ascii="SimSun" w:hAnsi="SimSun" w:eastAsia="宋体" w:cs="SimSun"/>
            <w:b w:val="0"/>
            <w:color w:val="000000"/>
            <w:sz w:val="24"/>
            <w:u w:val="none"/>
          </w:rPr>
          <w:t>17</w:t>
        </w:r>
      </w:hyperlink>
    </w:p>
    <w:p>
      <w:pPr>
        <w:tabs>
          <w:tab w:pos="8901" w:val="right" w:leader="dot"/>
        </w:tabs>
        <w:spacing w:lineRule="exact" w:line="480" w:before="0" w:after="0"/>
        <w:ind w:firstLine="0" w:left="0" w:right="0"/>
      </w:pPr>
      <w:hyperlink w:anchor="report_heading_026" w:history="1">
        <w:r>
          <w:rPr>
            <w:rFonts w:ascii="SimSun" w:hAnsi="SimSun" w:eastAsia="宋体" w:cs="SimSun"/>
            <w:b/>
            <w:color w:val="000000"/>
            <w:sz w:val="24"/>
            <w:u w:val="none"/>
          </w:rPr>
          <w:t>六、多模态应用关键技术</w:t>
        </w:r>
      </w:hyperlink>
      <w:r>
        <w:rPr>
          <w:rFonts w:ascii="SimSun" w:hAnsi="SimSun" w:eastAsia="宋体" w:cs="SimSun"/>
          <w:color w:val="000000"/>
          <w:sz w:val="24"/>
        </w:rPr>
        <w:tab/>
      </w:r>
      <w:hyperlink w:anchor="report_heading_026" w:history="1">
        <w:r>
          <w:rPr>
            <w:rFonts w:ascii="SimSun" w:hAnsi="SimSun" w:eastAsia="宋体" w:cs="SimSun"/>
            <w:b/>
            <w:color w:val="000000"/>
            <w:sz w:val="24"/>
            <w:u w:val="none"/>
          </w:rPr>
          <w:t>18</w:t>
        </w:r>
      </w:hyperlink>
    </w:p>
    <w:p>
      <w:pPr>
        <w:tabs>
          <w:tab w:pos="8901" w:val="right" w:leader="dot"/>
        </w:tabs>
        <w:spacing w:lineRule="exact" w:line="480" w:before="0" w:after="0"/>
        <w:ind w:firstLine="0" w:left="480" w:right="0"/>
      </w:pPr>
      <w:hyperlink w:anchor="report_heading_027" w:history="1">
        <w:r>
          <w:rPr>
            <w:rFonts w:ascii="SimSun" w:hAnsi="SimSun" w:eastAsia="宋体" w:cs="SimSun"/>
            <w:b w:val="0"/>
            <w:color w:val="000000"/>
            <w:sz w:val="24"/>
            <w:u w:val="none"/>
          </w:rPr>
          <w:t>（一）多模态能力定位</w:t>
        </w:r>
      </w:hyperlink>
      <w:r>
        <w:rPr>
          <w:rFonts w:ascii="SimSun" w:hAnsi="SimSun" w:eastAsia="宋体" w:cs="SimSun"/>
          <w:color w:val="000000"/>
          <w:sz w:val="24"/>
        </w:rPr>
        <w:tab/>
      </w:r>
      <w:hyperlink w:anchor="report_heading_027" w:history="1">
        <w:r>
          <w:rPr>
            <w:rFonts w:ascii="SimSun" w:hAnsi="SimSun" w:eastAsia="宋体" w:cs="SimSun"/>
            <w:b w:val="0"/>
            <w:color w:val="000000"/>
            <w:sz w:val="24"/>
            <w:u w:val="none"/>
          </w:rPr>
          <w:t>18</w:t>
        </w:r>
      </w:hyperlink>
    </w:p>
    <w:p>
      <w:pPr>
        <w:tabs>
          <w:tab w:pos="8901" w:val="right" w:leader="dot"/>
        </w:tabs>
        <w:spacing w:lineRule="exact" w:line="480" w:before="0" w:after="0"/>
        <w:ind w:firstLine="0" w:left="480" w:right="0"/>
      </w:pPr>
      <w:hyperlink w:anchor="report_heading_028" w:history="1">
        <w:r>
          <w:rPr>
            <w:rFonts w:ascii="SimSun" w:hAnsi="SimSun" w:eastAsia="宋体" w:cs="SimSun"/>
            <w:b w:val="0"/>
            <w:color w:val="000000"/>
            <w:sz w:val="24"/>
            <w:u w:val="none"/>
          </w:rPr>
          <w:t>（二）语义对齐与知识增强</w:t>
        </w:r>
      </w:hyperlink>
      <w:r>
        <w:rPr>
          <w:rFonts w:ascii="SimSun" w:hAnsi="SimSun" w:eastAsia="宋体" w:cs="SimSun"/>
          <w:color w:val="000000"/>
          <w:sz w:val="24"/>
        </w:rPr>
        <w:tab/>
      </w:r>
      <w:hyperlink w:anchor="report_heading_028" w:history="1">
        <w:r>
          <w:rPr>
            <w:rFonts w:ascii="SimSun" w:hAnsi="SimSun" w:eastAsia="宋体" w:cs="SimSun"/>
            <w:b w:val="0"/>
            <w:color w:val="000000"/>
            <w:sz w:val="24"/>
            <w:u w:val="none"/>
          </w:rPr>
          <w:t>18</w:t>
        </w:r>
      </w:hyperlink>
    </w:p>
    <w:p>
      <w:pPr>
        <w:tabs>
          <w:tab w:pos="8901" w:val="right" w:leader="dot"/>
        </w:tabs>
        <w:spacing w:lineRule="exact" w:line="480" w:before="0" w:after="0"/>
        <w:ind w:firstLine="0" w:left="480" w:right="0"/>
      </w:pPr>
      <w:hyperlink w:anchor="report_heading_029" w:history="1">
        <w:r>
          <w:rPr>
            <w:rFonts w:ascii="SimSun" w:hAnsi="SimSun" w:eastAsia="宋体" w:cs="SimSun"/>
            <w:b w:val="0"/>
            <w:color w:val="000000"/>
            <w:sz w:val="24"/>
            <w:u w:val="none"/>
          </w:rPr>
          <w:t>（三）能力编排</w:t>
        </w:r>
      </w:hyperlink>
      <w:r>
        <w:rPr>
          <w:rFonts w:ascii="SimSun" w:hAnsi="SimSun" w:eastAsia="宋体" w:cs="SimSun"/>
          <w:color w:val="000000"/>
          <w:sz w:val="24"/>
        </w:rPr>
        <w:tab/>
      </w:r>
      <w:hyperlink w:anchor="report_heading_029" w:history="1">
        <w:r>
          <w:rPr>
            <w:rFonts w:ascii="SimSun" w:hAnsi="SimSun" w:eastAsia="宋体" w:cs="SimSun"/>
            <w:b w:val="0"/>
            <w:color w:val="000000"/>
            <w:sz w:val="24"/>
            <w:u w:val="none"/>
          </w:rPr>
          <w:t>18</w:t>
        </w:r>
      </w:hyperlink>
    </w:p>
    <w:p>
      <w:pPr>
        <w:tabs>
          <w:tab w:pos="8901" w:val="right" w:leader="dot"/>
        </w:tabs>
        <w:spacing w:lineRule="exact" w:line="480" w:before="0" w:after="0"/>
        <w:ind w:firstLine="0" w:left="480" w:right="0"/>
      </w:pPr>
      <w:hyperlink w:anchor="report_heading_030" w:history="1">
        <w:r>
          <w:rPr>
            <w:rFonts w:ascii="SimSun" w:hAnsi="SimSun" w:eastAsia="宋体" w:cs="SimSun"/>
            <w:b w:val="0"/>
            <w:color w:val="000000"/>
            <w:sz w:val="24"/>
            <w:u w:val="none"/>
          </w:rPr>
          <w:t>（四）模型选型与评测</w:t>
        </w:r>
      </w:hyperlink>
      <w:r>
        <w:rPr>
          <w:rFonts w:ascii="SimSun" w:hAnsi="SimSun" w:eastAsia="宋体" w:cs="SimSun"/>
          <w:color w:val="000000"/>
          <w:sz w:val="24"/>
        </w:rPr>
        <w:tab/>
      </w:r>
      <w:hyperlink w:anchor="report_heading_030" w:history="1">
        <w:r>
          <w:rPr>
            <w:rFonts w:ascii="SimSun" w:hAnsi="SimSun" w:eastAsia="宋体" w:cs="SimSun"/>
            <w:b w:val="0"/>
            <w:color w:val="000000"/>
            <w:sz w:val="24"/>
            <w:u w:val="none"/>
          </w:rPr>
          <w:t>19</w:t>
        </w:r>
      </w:hyperlink>
    </w:p>
    <w:p>
      <w:pPr>
        <w:tabs>
          <w:tab w:pos="8901" w:val="right" w:leader="dot"/>
        </w:tabs>
        <w:spacing w:lineRule="exact" w:line="480" w:before="0" w:after="0"/>
        <w:ind w:firstLine="0" w:left="0" w:right="0"/>
      </w:pPr>
      <w:hyperlink w:anchor="report_heading_031" w:history="1">
        <w:r>
          <w:rPr>
            <w:rFonts w:ascii="SimSun" w:hAnsi="SimSun" w:eastAsia="宋体" w:cs="SimSun"/>
            <w:b/>
            <w:color w:val="000000"/>
            <w:sz w:val="24"/>
            <w:u w:val="none"/>
          </w:rPr>
          <w:t>七、快速设计系统关键技术</w:t>
        </w:r>
      </w:hyperlink>
      <w:r>
        <w:rPr>
          <w:rFonts w:ascii="SimSun" w:hAnsi="SimSun" w:eastAsia="宋体" w:cs="SimSun"/>
          <w:color w:val="000000"/>
          <w:sz w:val="24"/>
        </w:rPr>
        <w:tab/>
      </w:r>
      <w:hyperlink w:anchor="report_heading_031" w:history="1">
        <w:r>
          <w:rPr>
            <w:rFonts w:ascii="SimSun" w:hAnsi="SimSun" w:eastAsia="宋体" w:cs="SimSun"/>
            <w:b/>
            <w:color w:val="000000"/>
            <w:sz w:val="24"/>
            <w:u w:val="none"/>
          </w:rPr>
          <w:t>19</w:t>
        </w:r>
      </w:hyperlink>
    </w:p>
    <w:p>
      <w:pPr>
        <w:tabs>
          <w:tab w:pos="8901" w:val="right" w:leader="dot"/>
        </w:tabs>
        <w:spacing w:lineRule="exact" w:line="480" w:before="0" w:after="0"/>
        <w:ind w:firstLine="0" w:left="480" w:right="0"/>
      </w:pPr>
      <w:hyperlink w:anchor="report_heading_032" w:history="1">
        <w:r>
          <w:rPr>
            <w:rFonts w:ascii="SimSun" w:hAnsi="SimSun" w:eastAsia="宋体" w:cs="SimSun"/>
            <w:b w:val="0"/>
            <w:color w:val="000000"/>
            <w:sz w:val="24"/>
            <w:u w:val="none"/>
          </w:rPr>
          <w:t>（一）模块化、参数化与规则化</w:t>
        </w:r>
      </w:hyperlink>
      <w:r>
        <w:rPr>
          <w:rFonts w:ascii="SimSun" w:hAnsi="SimSun" w:eastAsia="宋体" w:cs="SimSun"/>
          <w:color w:val="000000"/>
          <w:sz w:val="24"/>
        </w:rPr>
        <w:tab/>
      </w:r>
      <w:hyperlink w:anchor="report_heading_032" w:history="1">
        <w:r>
          <w:rPr>
            <w:rFonts w:ascii="SimSun" w:hAnsi="SimSun" w:eastAsia="宋体" w:cs="SimSun"/>
            <w:b w:val="0"/>
            <w:color w:val="000000"/>
            <w:sz w:val="24"/>
            <w:u w:val="none"/>
          </w:rPr>
          <w:t>19</w:t>
        </w:r>
      </w:hyperlink>
    </w:p>
    <w:p>
      <w:pPr>
        <w:tabs>
          <w:tab w:pos="8901" w:val="right" w:leader="dot"/>
        </w:tabs>
        <w:spacing w:lineRule="exact" w:line="480" w:before="0" w:after="0"/>
        <w:ind w:firstLine="0" w:left="480" w:right="0"/>
      </w:pPr>
      <w:hyperlink w:anchor="report_heading_033" w:history="1">
        <w:r>
          <w:rPr>
            <w:rFonts w:ascii="SimSun" w:hAnsi="SimSun" w:eastAsia="宋体" w:cs="SimSun"/>
            <w:b w:val="0"/>
            <w:color w:val="000000"/>
            <w:sz w:val="24"/>
            <w:u w:val="none"/>
          </w:rPr>
          <w:t>（二）快速设计流程</w:t>
        </w:r>
      </w:hyperlink>
      <w:r>
        <w:rPr>
          <w:rFonts w:ascii="SimSun" w:hAnsi="SimSun" w:eastAsia="宋体" w:cs="SimSun"/>
          <w:color w:val="000000"/>
          <w:sz w:val="24"/>
        </w:rPr>
        <w:tab/>
      </w:r>
      <w:hyperlink w:anchor="report_heading_033" w:history="1">
        <w:r>
          <w:rPr>
            <w:rFonts w:ascii="SimSun" w:hAnsi="SimSun" w:eastAsia="宋体" w:cs="SimSun"/>
            <w:b w:val="0"/>
            <w:color w:val="000000"/>
            <w:sz w:val="24"/>
            <w:u w:val="none"/>
          </w:rPr>
          <w:t>19</w:t>
        </w:r>
      </w:hyperlink>
    </w:p>
    <w:p>
      <w:pPr>
        <w:tabs>
          <w:tab w:pos="8901" w:val="right" w:leader="dot"/>
        </w:tabs>
        <w:spacing w:lineRule="exact" w:line="480" w:before="0" w:after="0"/>
        <w:ind w:firstLine="0" w:left="480" w:right="0"/>
      </w:pPr>
      <w:hyperlink w:anchor="report_heading_034" w:history="1">
        <w:r>
          <w:rPr>
            <w:rFonts w:ascii="SimSun" w:hAnsi="SimSun" w:eastAsia="宋体" w:cs="SimSun"/>
            <w:b w:val="0"/>
            <w:color w:val="000000"/>
            <w:sz w:val="24"/>
            <w:u w:val="none"/>
          </w:rPr>
          <w:t>（三）规则与约束体系</w:t>
        </w:r>
      </w:hyperlink>
      <w:r>
        <w:rPr>
          <w:rFonts w:ascii="SimSun" w:hAnsi="SimSun" w:eastAsia="宋体" w:cs="SimSun"/>
          <w:color w:val="000000"/>
          <w:sz w:val="24"/>
        </w:rPr>
        <w:tab/>
      </w:r>
      <w:hyperlink w:anchor="report_heading_034" w:history="1">
        <w:r>
          <w:rPr>
            <w:rFonts w:ascii="SimSun" w:hAnsi="SimSun" w:eastAsia="宋体" w:cs="SimSun"/>
            <w:b w:val="0"/>
            <w:color w:val="000000"/>
            <w:sz w:val="24"/>
            <w:u w:val="none"/>
          </w:rPr>
          <w:t>20</w:t>
        </w:r>
      </w:hyperlink>
    </w:p>
    <w:p>
      <w:pPr>
        <w:tabs>
          <w:tab w:pos="8901" w:val="right" w:leader="dot"/>
        </w:tabs>
        <w:spacing w:lineRule="exact" w:line="480" w:before="0" w:after="0"/>
        <w:ind w:firstLine="0" w:left="480" w:right="0"/>
      </w:pPr>
      <w:hyperlink w:anchor="report_heading_035" w:history="1">
        <w:r>
          <w:rPr>
            <w:rFonts w:ascii="SimSun" w:hAnsi="SimSun" w:eastAsia="宋体" w:cs="SimSun"/>
            <w:b w:val="0"/>
            <w:color w:val="000000"/>
            <w:sz w:val="24"/>
            <w:u w:val="none"/>
          </w:rPr>
          <w:t>（四）跨区域协同优化</w:t>
        </w:r>
      </w:hyperlink>
      <w:r>
        <w:rPr>
          <w:rFonts w:ascii="SimSun" w:hAnsi="SimSun" w:eastAsia="宋体" w:cs="SimSun"/>
          <w:color w:val="000000"/>
          <w:sz w:val="24"/>
        </w:rPr>
        <w:tab/>
      </w:r>
      <w:hyperlink w:anchor="report_heading_035" w:history="1">
        <w:r>
          <w:rPr>
            <w:rFonts w:ascii="SimSun" w:hAnsi="SimSun" w:eastAsia="宋体" w:cs="SimSun"/>
            <w:b w:val="0"/>
            <w:color w:val="000000"/>
            <w:sz w:val="24"/>
            <w:u w:val="none"/>
          </w:rPr>
          <w:t>21</w:t>
        </w:r>
      </w:hyperlink>
    </w:p>
    <w:p>
      <w:pPr>
        <w:tabs>
          <w:tab w:pos="8901" w:val="right" w:leader="dot"/>
        </w:tabs>
        <w:spacing w:lineRule="exact" w:line="480" w:before="0" w:after="0"/>
        <w:ind w:firstLine="0" w:left="480" w:right="0"/>
      </w:pPr>
      <w:hyperlink w:anchor="report_heading_036" w:history="1">
        <w:r>
          <w:rPr>
            <w:rFonts w:ascii="SimSun" w:hAnsi="SimSun" w:eastAsia="宋体" w:cs="SimSun"/>
            <w:b w:val="0"/>
            <w:color w:val="000000"/>
            <w:sz w:val="24"/>
            <w:u w:val="none"/>
          </w:rPr>
          <w:t>（五）方案检索、评价与复用</w:t>
        </w:r>
      </w:hyperlink>
      <w:r>
        <w:rPr>
          <w:rFonts w:ascii="SimSun" w:hAnsi="SimSun" w:eastAsia="宋体" w:cs="SimSun"/>
          <w:color w:val="000000"/>
          <w:sz w:val="24"/>
        </w:rPr>
        <w:tab/>
      </w:r>
      <w:hyperlink w:anchor="report_heading_036" w:history="1">
        <w:r>
          <w:rPr>
            <w:rFonts w:ascii="SimSun" w:hAnsi="SimSun" w:eastAsia="宋体" w:cs="SimSun"/>
            <w:b w:val="0"/>
            <w:color w:val="000000"/>
            <w:sz w:val="24"/>
            <w:u w:val="none"/>
          </w:rPr>
          <w:t>21</w:t>
        </w:r>
      </w:hyperlink>
    </w:p>
    <w:p>
      <w:pPr>
        <w:tabs>
          <w:tab w:pos="8901" w:val="right" w:leader="dot"/>
        </w:tabs>
        <w:spacing w:lineRule="exact" w:line="480" w:before="0" w:after="0"/>
        <w:ind w:firstLine="0" w:left="0" w:right="0"/>
      </w:pPr>
      <w:hyperlink w:anchor="report_heading_037" w:history="1">
        <w:r>
          <w:rPr>
            <w:rFonts w:ascii="SimSun" w:hAnsi="SimSun" w:eastAsia="宋体" w:cs="SimSun"/>
            <w:b/>
            <w:color w:val="000000"/>
            <w:sz w:val="24"/>
            <w:u w:val="none"/>
          </w:rPr>
          <w:t>八、平台功能模块设计</w:t>
        </w:r>
      </w:hyperlink>
      <w:r>
        <w:rPr>
          <w:rFonts w:ascii="SimSun" w:hAnsi="SimSun" w:eastAsia="宋体" w:cs="SimSun"/>
          <w:color w:val="000000"/>
          <w:sz w:val="24"/>
        </w:rPr>
        <w:tab/>
      </w:r>
      <w:hyperlink w:anchor="report_heading_037" w:history="1">
        <w:r>
          <w:rPr>
            <w:rFonts w:ascii="SimSun" w:hAnsi="SimSun" w:eastAsia="宋体" w:cs="SimSun"/>
            <w:b/>
            <w:color w:val="000000"/>
            <w:sz w:val="24"/>
            <w:u w:val="none"/>
          </w:rPr>
          <w:t>21</w:t>
        </w:r>
      </w:hyperlink>
    </w:p>
    <w:p>
      <w:pPr>
        <w:tabs>
          <w:tab w:pos="8901" w:val="right" w:leader="dot"/>
        </w:tabs>
        <w:spacing w:lineRule="exact" w:line="480" w:before="0" w:after="0"/>
        <w:ind w:firstLine="0" w:left="480" w:right="0"/>
      </w:pPr>
      <w:hyperlink w:anchor="report_heading_038" w:history="1">
        <w:r>
          <w:rPr>
            <w:rFonts w:ascii="SimSun" w:hAnsi="SimSun" w:eastAsia="宋体" w:cs="SimSun"/>
            <w:b w:val="0"/>
            <w:color w:val="000000"/>
            <w:sz w:val="24"/>
            <w:u w:val="none"/>
          </w:rPr>
          <w:t>（一）功能总体布局</w:t>
        </w:r>
      </w:hyperlink>
      <w:r>
        <w:rPr>
          <w:rFonts w:ascii="SimSun" w:hAnsi="SimSun" w:eastAsia="宋体" w:cs="SimSun"/>
          <w:color w:val="000000"/>
          <w:sz w:val="24"/>
        </w:rPr>
        <w:tab/>
      </w:r>
      <w:hyperlink w:anchor="report_heading_038" w:history="1">
        <w:r>
          <w:rPr>
            <w:rFonts w:ascii="SimSun" w:hAnsi="SimSun" w:eastAsia="宋体" w:cs="SimSun"/>
            <w:b w:val="0"/>
            <w:color w:val="000000"/>
            <w:sz w:val="24"/>
            <w:u w:val="none"/>
          </w:rPr>
          <w:t>21</w:t>
        </w:r>
      </w:hyperlink>
    </w:p>
    <w:p>
      <w:pPr>
        <w:tabs>
          <w:tab w:pos="8901" w:val="right" w:leader="dot"/>
        </w:tabs>
        <w:spacing w:lineRule="exact" w:line="480" w:before="0" w:after="0"/>
        <w:ind w:firstLine="0" w:left="480" w:right="0"/>
      </w:pPr>
      <w:hyperlink w:anchor="report_heading_039" w:history="1">
        <w:r>
          <w:rPr>
            <w:rFonts w:ascii="SimSun" w:hAnsi="SimSun" w:eastAsia="宋体" w:cs="SimSun"/>
            <w:b w:val="0"/>
            <w:color w:val="000000"/>
            <w:sz w:val="24"/>
            <w:u w:val="none"/>
          </w:rPr>
          <w:t>（二）典型业务场景</w:t>
        </w:r>
      </w:hyperlink>
      <w:r>
        <w:rPr>
          <w:rFonts w:ascii="SimSun" w:hAnsi="SimSun" w:eastAsia="宋体" w:cs="SimSun"/>
          <w:color w:val="000000"/>
          <w:sz w:val="24"/>
        </w:rPr>
        <w:tab/>
      </w:r>
      <w:hyperlink w:anchor="report_heading_039" w:history="1">
        <w:r>
          <w:rPr>
            <w:rFonts w:ascii="SimSun" w:hAnsi="SimSun" w:eastAsia="宋体" w:cs="SimSun"/>
            <w:b w:val="0"/>
            <w:color w:val="000000"/>
            <w:sz w:val="24"/>
            <w:u w:val="none"/>
          </w:rPr>
          <w:t>23</w:t>
        </w:r>
      </w:hyperlink>
    </w:p>
    <w:p>
      <w:pPr>
        <w:tabs>
          <w:tab w:pos="8901" w:val="right" w:leader="dot"/>
        </w:tabs>
        <w:spacing w:lineRule="exact" w:line="480" w:before="0" w:after="0"/>
        <w:ind w:firstLine="0" w:left="480" w:right="0"/>
      </w:pPr>
      <w:hyperlink w:anchor="report_heading_040" w:history="1">
        <w:r>
          <w:rPr>
            <w:rFonts w:ascii="SimSun" w:hAnsi="SimSun" w:eastAsia="宋体" w:cs="SimSun"/>
            <w:b w:val="0"/>
            <w:color w:val="000000"/>
            <w:sz w:val="24"/>
            <w:u w:val="none"/>
          </w:rPr>
          <w:t>（三）角色与权限</w:t>
        </w:r>
      </w:hyperlink>
      <w:r>
        <w:rPr>
          <w:rFonts w:ascii="SimSun" w:hAnsi="SimSun" w:eastAsia="宋体" w:cs="SimSun"/>
          <w:color w:val="000000"/>
          <w:sz w:val="24"/>
        </w:rPr>
        <w:tab/>
      </w:r>
      <w:hyperlink w:anchor="report_heading_040" w:history="1">
        <w:r>
          <w:rPr>
            <w:rFonts w:ascii="SimSun" w:hAnsi="SimSun" w:eastAsia="宋体" w:cs="SimSun"/>
            <w:b w:val="0"/>
            <w:color w:val="000000"/>
            <w:sz w:val="24"/>
            <w:u w:val="none"/>
          </w:rPr>
          <w:t>23</w:t>
        </w:r>
      </w:hyperlink>
    </w:p>
    <w:p>
      <w:pPr>
        <w:tabs>
          <w:tab w:pos="8901" w:val="right" w:leader="dot"/>
        </w:tabs>
        <w:spacing w:lineRule="exact" w:line="480" w:before="0" w:after="0"/>
        <w:ind w:firstLine="0" w:left="0" w:right="0"/>
      </w:pPr>
      <w:hyperlink w:anchor="report_heading_041" w:history="1">
        <w:r>
          <w:rPr>
            <w:rFonts w:ascii="SimSun" w:hAnsi="SimSun" w:eastAsia="宋体" w:cs="SimSun"/>
            <w:b/>
            <w:color w:val="000000"/>
            <w:sz w:val="24"/>
            <w:u w:val="none"/>
          </w:rPr>
          <w:t>九、数据资源与知识底座</w:t>
        </w:r>
      </w:hyperlink>
      <w:r>
        <w:rPr>
          <w:rFonts w:ascii="SimSun" w:hAnsi="SimSun" w:eastAsia="宋体" w:cs="SimSun"/>
          <w:color w:val="000000"/>
          <w:sz w:val="24"/>
        </w:rPr>
        <w:tab/>
      </w:r>
      <w:hyperlink w:anchor="report_heading_041" w:history="1">
        <w:r>
          <w:rPr>
            <w:rFonts w:ascii="SimSun" w:hAnsi="SimSun" w:eastAsia="宋体" w:cs="SimSun"/>
            <w:b/>
            <w:color w:val="000000"/>
            <w:sz w:val="24"/>
            <w:u w:val="none"/>
          </w:rPr>
          <w:t>23</w:t>
        </w:r>
      </w:hyperlink>
    </w:p>
    <w:p>
      <w:pPr>
        <w:tabs>
          <w:tab w:pos="8901" w:val="right" w:leader="dot"/>
        </w:tabs>
        <w:spacing w:lineRule="exact" w:line="480" w:before="0" w:after="0"/>
        <w:ind w:firstLine="0" w:left="480" w:right="0"/>
      </w:pPr>
      <w:hyperlink w:anchor="report_heading_042" w:history="1">
        <w:r>
          <w:rPr>
            <w:rFonts w:ascii="SimSun" w:hAnsi="SimSun" w:eastAsia="宋体" w:cs="SimSun"/>
            <w:b w:val="0"/>
            <w:color w:val="000000"/>
            <w:sz w:val="24"/>
            <w:u w:val="none"/>
          </w:rPr>
          <w:t>（一）数据资源体系</w:t>
        </w:r>
      </w:hyperlink>
      <w:r>
        <w:rPr>
          <w:rFonts w:ascii="SimSun" w:hAnsi="SimSun" w:eastAsia="宋体" w:cs="SimSun"/>
          <w:color w:val="000000"/>
          <w:sz w:val="24"/>
        </w:rPr>
        <w:tab/>
      </w:r>
      <w:hyperlink w:anchor="report_heading_042" w:history="1">
        <w:r>
          <w:rPr>
            <w:rFonts w:ascii="SimSun" w:hAnsi="SimSun" w:eastAsia="宋体" w:cs="SimSun"/>
            <w:b w:val="0"/>
            <w:color w:val="000000"/>
            <w:sz w:val="24"/>
            <w:u w:val="none"/>
          </w:rPr>
          <w:t>23</w:t>
        </w:r>
      </w:hyperlink>
    </w:p>
    <w:p>
      <w:pPr>
        <w:tabs>
          <w:tab w:pos="8901" w:val="right" w:leader="dot"/>
        </w:tabs>
        <w:spacing w:lineRule="exact" w:line="480" w:before="0" w:after="0"/>
        <w:ind w:firstLine="0" w:left="480" w:right="0"/>
      </w:pPr>
      <w:hyperlink w:anchor="report_heading_043" w:history="1">
        <w:r>
          <w:rPr>
            <w:rFonts w:ascii="SimSun" w:hAnsi="SimSun" w:eastAsia="宋体" w:cs="SimSun"/>
            <w:b w:val="0"/>
            <w:color w:val="000000"/>
            <w:sz w:val="24"/>
            <w:u w:val="none"/>
          </w:rPr>
          <w:t>（二）数据治理流程</w:t>
        </w:r>
      </w:hyperlink>
      <w:r>
        <w:rPr>
          <w:rFonts w:ascii="SimSun" w:hAnsi="SimSun" w:eastAsia="宋体" w:cs="SimSun"/>
          <w:color w:val="000000"/>
          <w:sz w:val="24"/>
        </w:rPr>
        <w:tab/>
      </w:r>
      <w:hyperlink w:anchor="report_heading_043" w:history="1">
        <w:r>
          <w:rPr>
            <w:rFonts w:ascii="SimSun" w:hAnsi="SimSun" w:eastAsia="宋体" w:cs="SimSun"/>
            <w:b w:val="0"/>
            <w:color w:val="000000"/>
            <w:sz w:val="24"/>
            <w:u w:val="none"/>
          </w:rPr>
          <w:t>25</w:t>
        </w:r>
      </w:hyperlink>
    </w:p>
    <w:p>
      <w:pPr>
        <w:tabs>
          <w:tab w:pos="8901" w:val="right" w:leader="dot"/>
        </w:tabs>
        <w:spacing w:lineRule="exact" w:line="480" w:before="0" w:after="0"/>
        <w:ind w:firstLine="0" w:left="480" w:right="0"/>
      </w:pPr>
      <w:hyperlink w:anchor="report_heading_044" w:history="1">
        <w:r>
          <w:rPr>
            <w:rFonts w:ascii="SimSun" w:hAnsi="SimSun" w:eastAsia="宋体" w:cs="SimSun"/>
            <w:b w:val="0"/>
            <w:color w:val="000000"/>
            <w:sz w:val="24"/>
            <w:u w:val="none"/>
          </w:rPr>
          <w:t>（三）数据质量控制</w:t>
        </w:r>
      </w:hyperlink>
      <w:r>
        <w:rPr>
          <w:rFonts w:ascii="SimSun" w:hAnsi="SimSun" w:eastAsia="宋体" w:cs="SimSun"/>
          <w:color w:val="000000"/>
          <w:sz w:val="24"/>
        </w:rPr>
        <w:tab/>
      </w:r>
      <w:hyperlink w:anchor="report_heading_044" w:history="1">
        <w:r>
          <w:rPr>
            <w:rFonts w:ascii="SimSun" w:hAnsi="SimSun" w:eastAsia="宋体" w:cs="SimSun"/>
            <w:b w:val="0"/>
            <w:color w:val="000000"/>
            <w:sz w:val="24"/>
            <w:u w:val="none"/>
          </w:rPr>
          <w:t>25</w:t>
        </w:r>
      </w:hyperlink>
    </w:p>
    <w:p>
      <w:pPr>
        <w:tabs>
          <w:tab w:pos="8901" w:val="right" w:leader="dot"/>
        </w:tabs>
        <w:spacing w:lineRule="exact" w:line="480" w:before="0" w:after="0"/>
        <w:ind w:firstLine="0" w:left="0" w:right="0"/>
      </w:pPr>
      <w:hyperlink w:anchor="report_heading_045" w:history="1">
        <w:r>
          <w:rPr>
            <w:rFonts w:ascii="SimSun" w:hAnsi="SimSun" w:eastAsia="宋体" w:cs="SimSun"/>
            <w:b/>
            <w:color w:val="000000"/>
            <w:sz w:val="24"/>
            <w:u w:val="none"/>
          </w:rPr>
          <w:t>十、系统集成与接口设计</w:t>
        </w:r>
      </w:hyperlink>
      <w:r>
        <w:rPr>
          <w:rFonts w:ascii="SimSun" w:hAnsi="SimSun" w:eastAsia="宋体" w:cs="SimSun"/>
          <w:color w:val="000000"/>
          <w:sz w:val="24"/>
        </w:rPr>
        <w:tab/>
      </w:r>
      <w:hyperlink w:anchor="report_heading_045" w:history="1">
        <w:r>
          <w:rPr>
            <w:rFonts w:ascii="SimSun" w:hAnsi="SimSun" w:eastAsia="宋体" w:cs="SimSun"/>
            <w:b/>
            <w:color w:val="000000"/>
            <w:sz w:val="24"/>
            <w:u w:val="none"/>
          </w:rPr>
          <w:t>25</w:t>
        </w:r>
      </w:hyperlink>
    </w:p>
    <w:p>
      <w:pPr>
        <w:tabs>
          <w:tab w:pos="8901" w:val="right" w:leader="dot"/>
        </w:tabs>
        <w:spacing w:lineRule="exact" w:line="480" w:before="0" w:after="0"/>
        <w:ind w:firstLine="0" w:left="480" w:right="0"/>
      </w:pPr>
      <w:hyperlink w:anchor="report_heading_046" w:history="1">
        <w:r>
          <w:rPr>
            <w:rFonts w:ascii="SimSun" w:hAnsi="SimSun" w:eastAsia="宋体" w:cs="SimSun"/>
            <w:b w:val="0"/>
            <w:color w:val="000000"/>
            <w:sz w:val="24"/>
            <w:u w:val="none"/>
          </w:rPr>
          <w:t>（一）与既有产品平台的交互</w:t>
        </w:r>
      </w:hyperlink>
      <w:r>
        <w:rPr>
          <w:rFonts w:ascii="SimSun" w:hAnsi="SimSun" w:eastAsia="宋体" w:cs="SimSun"/>
          <w:color w:val="000000"/>
          <w:sz w:val="24"/>
        </w:rPr>
        <w:tab/>
      </w:r>
      <w:hyperlink w:anchor="report_heading_046" w:history="1">
        <w:r>
          <w:rPr>
            <w:rFonts w:ascii="SimSun" w:hAnsi="SimSun" w:eastAsia="宋体" w:cs="SimSun"/>
            <w:b w:val="0"/>
            <w:color w:val="000000"/>
            <w:sz w:val="24"/>
            <w:u w:val="none"/>
          </w:rPr>
          <w:t>25</w:t>
        </w:r>
      </w:hyperlink>
    </w:p>
    <w:p>
      <w:pPr>
        <w:tabs>
          <w:tab w:pos="8901" w:val="right" w:leader="dot"/>
        </w:tabs>
        <w:spacing w:lineRule="exact" w:line="480" w:before="0" w:after="0"/>
        <w:ind w:firstLine="0" w:left="480" w:right="0"/>
      </w:pPr>
      <w:hyperlink w:anchor="report_heading_047" w:history="1">
        <w:r>
          <w:rPr>
            <w:rFonts w:ascii="SimSun" w:hAnsi="SimSun" w:eastAsia="宋体" w:cs="SimSun"/>
            <w:b w:val="0"/>
            <w:color w:val="000000"/>
            <w:sz w:val="24"/>
            <w:u w:val="none"/>
          </w:rPr>
          <w:t>（二）外部智能能力接入</w:t>
        </w:r>
      </w:hyperlink>
      <w:r>
        <w:rPr>
          <w:rFonts w:ascii="SimSun" w:hAnsi="SimSun" w:eastAsia="宋体" w:cs="SimSun"/>
          <w:color w:val="000000"/>
          <w:sz w:val="24"/>
        </w:rPr>
        <w:tab/>
      </w:r>
      <w:hyperlink w:anchor="report_heading_047" w:history="1">
        <w:r>
          <w:rPr>
            <w:rFonts w:ascii="SimSun" w:hAnsi="SimSun" w:eastAsia="宋体" w:cs="SimSun"/>
            <w:b w:val="0"/>
            <w:color w:val="000000"/>
            <w:sz w:val="24"/>
            <w:u w:val="none"/>
          </w:rPr>
          <w:t>26</w:t>
        </w:r>
      </w:hyperlink>
    </w:p>
    <w:p>
      <w:pPr>
        <w:tabs>
          <w:tab w:pos="8901" w:val="right" w:leader="dot"/>
        </w:tabs>
        <w:spacing w:lineRule="exact" w:line="480" w:before="0" w:after="0"/>
        <w:ind w:firstLine="0" w:left="480" w:right="0"/>
      </w:pPr>
      <w:hyperlink w:anchor="report_heading_048" w:history="1">
        <w:r>
          <w:rPr>
            <w:rFonts w:ascii="SimSun" w:hAnsi="SimSun" w:eastAsia="宋体" w:cs="SimSun"/>
            <w:b w:val="0"/>
            <w:color w:val="000000"/>
            <w:sz w:val="24"/>
            <w:u w:val="none"/>
          </w:rPr>
          <w:t>（三）接口验证</w:t>
        </w:r>
      </w:hyperlink>
      <w:r>
        <w:rPr>
          <w:rFonts w:ascii="SimSun" w:hAnsi="SimSun" w:eastAsia="宋体" w:cs="SimSun"/>
          <w:color w:val="000000"/>
          <w:sz w:val="24"/>
        </w:rPr>
        <w:tab/>
      </w:r>
      <w:hyperlink w:anchor="report_heading_048" w:history="1">
        <w:r>
          <w:rPr>
            <w:rFonts w:ascii="SimSun" w:hAnsi="SimSun" w:eastAsia="宋体" w:cs="SimSun"/>
            <w:b w:val="0"/>
            <w:color w:val="000000"/>
            <w:sz w:val="24"/>
            <w:u w:val="none"/>
          </w:rPr>
          <w:t>26</w:t>
        </w:r>
      </w:hyperlink>
    </w:p>
    <w:p>
      <w:pPr>
        <w:tabs>
          <w:tab w:pos="8901" w:val="right" w:leader="dot"/>
        </w:tabs>
        <w:spacing w:lineRule="exact" w:line="480" w:before="0" w:after="0"/>
        <w:ind w:firstLine="0" w:left="0" w:right="0"/>
      </w:pPr>
      <w:hyperlink w:anchor="report_heading_049" w:history="1">
        <w:r>
          <w:rPr>
            <w:rFonts w:ascii="SimSun" w:hAnsi="SimSun" w:eastAsia="宋体" w:cs="SimSun"/>
            <w:b/>
            <w:color w:val="000000"/>
            <w:sz w:val="24"/>
            <w:u w:val="none"/>
          </w:rPr>
          <w:t>十一、安全、质量与运行保障</w:t>
        </w:r>
      </w:hyperlink>
      <w:r>
        <w:rPr>
          <w:rFonts w:ascii="SimSun" w:hAnsi="SimSun" w:eastAsia="宋体" w:cs="SimSun"/>
          <w:color w:val="000000"/>
          <w:sz w:val="24"/>
        </w:rPr>
        <w:tab/>
      </w:r>
      <w:hyperlink w:anchor="report_heading_049" w:history="1">
        <w:r>
          <w:rPr>
            <w:rFonts w:ascii="SimSun" w:hAnsi="SimSun" w:eastAsia="宋体" w:cs="SimSun"/>
            <w:b/>
            <w:color w:val="000000"/>
            <w:sz w:val="24"/>
            <w:u w:val="none"/>
          </w:rPr>
          <w:t>26</w:t>
        </w:r>
      </w:hyperlink>
    </w:p>
    <w:p>
      <w:pPr>
        <w:tabs>
          <w:tab w:pos="8901" w:val="right" w:leader="dot"/>
        </w:tabs>
        <w:spacing w:lineRule="exact" w:line="480" w:before="0" w:after="0"/>
        <w:ind w:firstLine="0" w:left="480" w:right="0"/>
      </w:pPr>
      <w:hyperlink w:anchor="report_heading_050" w:history="1">
        <w:r>
          <w:rPr>
            <w:rFonts w:ascii="SimSun" w:hAnsi="SimSun" w:eastAsia="宋体" w:cs="SimSun"/>
            <w:b w:val="0"/>
            <w:color w:val="000000"/>
            <w:sz w:val="24"/>
            <w:u w:val="none"/>
          </w:rPr>
          <w:t>（一）安全与保密</w:t>
        </w:r>
      </w:hyperlink>
      <w:r>
        <w:rPr>
          <w:rFonts w:ascii="SimSun" w:hAnsi="SimSun" w:eastAsia="宋体" w:cs="SimSun"/>
          <w:color w:val="000000"/>
          <w:sz w:val="24"/>
        </w:rPr>
        <w:tab/>
      </w:r>
      <w:hyperlink w:anchor="report_heading_050" w:history="1">
        <w:r>
          <w:rPr>
            <w:rFonts w:ascii="SimSun" w:hAnsi="SimSun" w:eastAsia="宋体" w:cs="SimSun"/>
            <w:b w:val="0"/>
            <w:color w:val="000000"/>
            <w:sz w:val="24"/>
            <w:u w:val="none"/>
          </w:rPr>
          <w:t>26</w:t>
        </w:r>
      </w:hyperlink>
    </w:p>
    <w:p>
      <w:pPr>
        <w:tabs>
          <w:tab w:pos="8901" w:val="right" w:leader="dot"/>
        </w:tabs>
        <w:spacing w:lineRule="exact" w:line="480" w:before="0" w:after="0"/>
        <w:ind w:firstLine="0" w:left="480" w:right="0"/>
      </w:pPr>
      <w:hyperlink w:anchor="report_heading_051" w:history="1">
        <w:r>
          <w:rPr>
            <w:rFonts w:ascii="SimSun" w:hAnsi="SimSun" w:eastAsia="宋体" w:cs="SimSun"/>
            <w:b w:val="0"/>
            <w:color w:val="000000"/>
            <w:sz w:val="24"/>
            <w:u w:val="none"/>
          </w:rPr>
          <w:t>（二）可追溯设计</w:t>
        </w:r>
      </w:hyperlink>
      <w:r>
        <w:rPr>
          <w:rFonts w:ascii="SimSun" w:hAnsi="SimSun" w:eastAsia="宋体" w:cs="SimSun"/>
          <w:color w:val="000000"/>
          <w:sz w:val="24"/>
        </w:rPr>
        <w:tab/>
      </w:r>
      <w:hyperlink w:anchor="report_heading_051" w:history="1">
        <w:r>
          <w:rPr>
            <w:rFonts w:ascii="SimSun" w:hAnsi="SimSun" w:eastAsia="宋体" w:cs="SimSun"/>
            <w:b w:val="0"/>
            <w:color w:val="000000"/>
            <w:sz w:val="24"/>
            <w:u w:val="none"/>
          </w:rPr>
          <w:t>26</w:t>
        </w:r>
      </w:hyperlink>
    </w:p>
    <w:p>
      <w:pPr>
        <w:tabs>
          <w:tab w:pos="8901" w:val="right" w:leader="dot"/>
        </w:tabs>
        <w:spacing w:lineRule="exact" w:line="480" w:before="0" w:after="0"/>
        <w:ind w:firstLine="0" w:left="480" w:right="0"/>
      </w:pPr>
      <w:hyperlink w:anchor="report_heading_052" w:history="1">
        <w:r>
          <w:rPr>
            <w:rFonts w:ascii="SimSun" w:hAnsi="SimSun" w:eastAsia="宋体" w:cs="SimSun"/>
            <w:b w:val="0"/>
            <w:color w:val="000000"/>
            <w:sz w:val="24"/>
            <w:u w:val="none"/>
          </w:rPr>
          <w:t>（三）运行保障</w:t>
        </w:r>
      </w:hyperlink>
      <w:r>
        <w:rPr>
          <w:rFonts w:ascii="SimSun" w:hAnsi="SimSun" w:eastAsia="宋体" w:cs="SimSun"/>
          <w:color w:val="000000"/>
          <w:sz w:val="24"/>
        </w:rPr>
        <w:tab/>
      </w:r>
      <w:hyperlink w:anchor="report_heading_052" w:history="1">
        <w:r>
          <w:rPr>
            <w:rFonts w:ascii="SimSun" w:hAnsi="SimSun" w:eastAsia="宋体" w:cs="SimSun"/>
            <w:b w:val="0"/>
            <w:color w:val="000000"/>
            <w:sz w:val="24"/>
            <w:u w:val="none"/>
          </w:rPr>
          <w:t>27</w:t>
        </w:r>
      </w:hyperlink>
    </w:p>
    <w:p>
      <w:pPr>
        <w:tabs>
          <w:tab w:pos="8901" w:val="right" w:leader="dot"/>
        </w:tabs>
        <w:spacing w:lineRule="exact" w:line="480" w:before="0" w:after="0"/>
        <w:ind w:firstLine="0" w:left="0" w:right="0"/>
      </w:pPr>
      <w:hyperlink w:anchor="report_heading_053" w:history="1">
        <w:r>
          <w:rPr>
            <w:rFonts w:ascii="SimSun" w:hAnsi="SimSun" w:eastAsia="宋体" w:cs="SimSun"/>
            <w:b/>
            <w:color w:val="000000"/>
            <w:sz w:val="24"/>
            <w:u w:val="none"/>
          </w:rPr>
          <w:t>十二、实施技术路线与进度计划</w:t>
        </w:r>
      </w:hyperlink>
      <w:r>
        <w:rPr>
          <w:rFonts w:ascii="SimSun" w:hAnsi="SimSun" w:eastAsia="宋体" w:cs="SimSun"/>
          <w:color w:val="000000"/>
          <w:sz w:val="24"/>
        </w:rPr>
        <w:tab/>
      </w:r>
      <w:hyperlink w:anchor="report_heading_053" w:history="1">
        <w:r>
          <w:rPr>
            <w:rFonts w:ascii="SimSun" w:hAnsi="SimSun" w:eastAsia="宋体" w:cs="SimSun"/>
            <w:b/>
            <w:color w:val="000000"/>
            <w:sz w:val="24"/>
            <w:u w:val="none"/>
          </w:rPr>
          <w:t>27</w:t>
        </w:r>
      </w:hyperlink>
    </w:p>
    <w:p>
      <w:pPr>
        <w:tabs>
          <w:tab w:pos="8901" w:val="right" w:leader="dot"/>
        </w:tabs>
        <w:spacing w:lineRule="exact" w:line="480" w:before="0" w:after="0"/>
        <w:ind w:firstLine="0" w:left="480" w:right="0"/>
      </w:pPr>
      <w:hyperlink w:anchor="report_heading_054" w:history="1">
        <w:r>
          <w:rPr>
            <w:rFonts w:ascii="SimSun" w:hAnsi="SimSun" w:eastAsia="宋体" w:cs="SimSun"/>
            <w:b w:val="0"/>
            <w:color w:val="000000"/>
            <w:sz w:val="24"/>
            <w:u w:val="none"/>
          </w:rPr>
          <w:t>（一）总体实施路线</w:t>
        </w:r>
      </w:hyperlink>
      <w:r>
        <w:rPr>
          <w:rFonts w:ascii="SimSun" w:hAnsi="SimSun" w:eastAsia="宋体" w:cs="SimSun"/>
          <w:color w:val="000000"/>
          <w:sz w:val="24"/>
        </w:rPr>
        <w:tab/>
      </w:r>
      <w:hyperlink w:anchor="report_heading_054" w:history="1">
        <w:r>
          <w:rPr>
            <w:rFonts w:ascii="SimSun" w:hAnsi="SimSun" w:eastAsia="宋体" w:cs="SimSun"/>
            <w:b w:val="0"/>
            <w:color w:val="000000"/>
            <w:sz w:val="24"/>
            <w:u w:val="none"/>
          </w:rPr>
          <w:t>27</w:t>
        </w:r>
      </w:hyperlink>
    </w:p>
    <w:p>
      <w:pPr>
        <w:tabs>
          <w:tab w:pos="8901" w:val="right" w:leader="dot"/>
        </w:tabs>
        <w:spacing w:lineRule="exact" w:line="480" w:before="0" w:after="0"/>
        <w:ind w:firstLine="0" w:left="480" w:right="0"/>
      </w:pPr>
      <w:hyperlink w:anchor="report_heading_055" w:history="1">
        <w:r>
          <w:rPr>
            <w:rFonts w:ascii="SimSun" w:hAnsi="SimSun" w:eastAsia="宋体" w:cs="SimSun"/>
            <w:b w:val="0"/>
            <w:color w:val="000000"/>
            <w:sz w:val="24"/>
            <w:u w:val="none"/>
          </w:rPr>
          <w:t>（二）阶段进度计划</w:t>
        </w:r>
      </w:hyperlink>
      <w:r>
        <w:rPr>
          <w:rFonts w:ascii="SimSun" w:hAnsi="SimSun" w:eastAsia="宋体" w:cs="SimSun"/>
          <w:color w:val="000000"/>
          <w:sz w:val="24"/>
        </w:rPr>
        <w:tab/>
      </w:r>
      <w:hyperlink w:anchor="report_heading_055" w:history="1">
        <w:r>
          <w:rPr>
            <w:rFonts w:ascii="SimSun" w:hAnsi="SimSun" w:eastAsia="宋体" w:cs="SimSun"/>
            <w:b w:val="0"/>
            <w:color w:val="000000"/>
            <w:sz w:val="24"/>
            <w:u w:val="none"/>
          </w:rPr>
          <w:t>27</w:t>
        </w:r>
      </w:hyperlink>
    </w:p>
    <w:p>
      <w:pPr>
        <w:tabs>
          <w:tab w:pos="8901" w:val="right" w:leader="dot"/>
        </w:tabs>
        <w:spacing w:lineRule="exact" w:line="480" w:before="0" w:after="0"/>
        <w:ind w:firstLine="0" w:left="480" w:right="0"/>
      </w:pPr>
      <w:hyperlink w:anchor="report_heading_056" w:history="1">
        <w:r>
          <w:rPr>
            <w:rFonts w:ascii="SimSun" w:hAnsi="SimSun" w:eastAsia="宋体" w:cs="SimSun"/>
            <w:b w:val="0"/>
            <w:color w:val="000000"/>
            <w:sz w:val="24"/>
            <w:u w:val="none"/>
          </w:rPr>
          <w:t>（三）近期工作分解</w:t>
        </w:r>
      </w:hyperlink>
      <w:r>
        <w:rPr>
          <w:rFonts w:ascii="SimSun" w:hAnsi="SimSun" w:eastAsia="宋体" w:cs="SimSun"/>
          <w:color w:val="000000"/>
          <w:sz w:val="24"/>
        </w:rPr>
        <w:tab/>
      </w:r>
      <w:hyperlink w:anchor="report_heading_056" w:history="1">
        <w:r>
          <w:rPr>
            <w:rFonts w:ascii="SimSun" w:hAnsi="SimSun" w:eastAsia="宋体" w:cs="SimSun"/>
            <w:b w:val="0"/>
            <w:color w:val="000000"/>
            <w:sz w:val="24"/>
            <w:u w:val="none"/>
          </w:rPr>
          <w:t>28</w:t>
        </w:r>
      </w:hyperlink>
    </w:p>
    <w:p>
      <w:pPr>
        <w:tabs>
          <w:tab w:pos="8901" w:val="right" w:leader="dot"/>
        </w:tabs>
        <w:spacing w:lineRule="exact" w:line="480" w:before="0" w:after="0"/>
        <w:ind w:firstLine="0" w:left="480" w:right="0"/>
      </w:pPr>
      <w:hyperlink w:anchor="report_heading_057" w:history="1">
        <w:r>
          <w:rPr>
            <w:rFonts w:ascii="SimSun" w:hAnsi="SimSun" w:eastAsia="宋体" w:cs="SimSun"/>
            <w:b w:val="0"/>
            <w:color w:val="000000"/>
            <w:sz w:val="24"/>
            <w:u w:val="none"/>
          </w:rPr>
          <w:t>（四）项目组织与沟通</w:t>
        </w:r>
      </w:hyperlink>
      <w:r>
        <w:rPr>
          <w:rFonts w:ascii="SimSun" w:hAnsi="SimSun" w:eastAsia="宋体" w:cs="SimSun"/>
          <w:color w:val="000000"/>
          <w:sz w:val="24"/>
        </w:rPr>
        <w:tab/>
      </w:r>
      <w:hyperlink w:anchor="report_heading_057" w:history="1">
        <w:r>
          <w:rPr>
            <w:rFonts w:ascii="SimSun" w:hAnsi="SimSun" w:eastAsia="宋体" w:cs="SimSun"/>
            <w:b w:val="0"/>
            <w:color w:val="000000"/>
            <w:sz w:val="24"/>
            <w:u w:val="none"/>
          </w:rPr>
          <w:t>28</w:t>
        </w:r>
      </w:hyperlink>
    </w:p>
    <w:p>
      <w:pPr>
        <w:tabs>
          <w:tab w:pos="8901" w:val="right" w:leader="dot"/>
        </w:tabs>
        <w:spacing w:lineRule="exact" w:line="480" w:before="0" w:after="0"/>
        <w:ind w:firstLine="0" w:left="0" w:right="0"/>
      </w:pPr>
      <w:hyperlink w:anchor="report_heading_058" w:history="1">
        <w:r>
          <w:rPr>
            <w:rFonts w:ascii="SimSun" w:hAnsi="SimSun" w:eastAsia="宋体" w:cs="SimSun"/>
            <w:b/>
            <w:color w:val="000000"/>
            <w:sz w:val="24"/>
            <w:u w:val="none"/>
          </w:rPr>
          <w:t>十三、验证方法与验收建议</w:t>
        </w:r>
      </w:hyperlink>
      <w:r>
        <w:rPr>
          <w:rFonts w:ascii="SimSun" w:hAnsi="SimSun" w:eastAsia="宋体" w:cs="SimSun"/>
          <w:color w:val="000000"/>
          <w:sz w:val="24"/>
        </w:rPr>
        <w:tab/>
      </w:r>
      <w:hyperlink w:anchor="report_heading_058" w:history="1">
        <w:r>
          <w:rPr>
            <w:rFonts w:ascii="SimSun" w:hAnsi="SimSun" w:eastAsia="宋体" w:cs="SimSun"/>
            <w:b/>
            <w:color w:val="000000"/>
            <w:sz w:val="24"/>
            <w:u w:val="none"/>
          </w:rPr>
          <w:t>29</w:t>
        </w:r>
      </w:hyperlink>
    </w:p>
    <w:p>
      <w:pPr>
        <w:tabs>
          <w:tab w:pos="8901" w:val="right" w:leader="dot"/>
        </w:tabs>
        <w:spacing w:lineRule="exact" w:line="480" w:before="0" w:after="0"/>
        <w:ind w:firstLine="0" w:left="480" w:right="0"/>
      </w:pPr>
      <w:hyperlink w:anchor="report_heading_059" w:history="1">
        <w:r>
          <w:rPr>
            <w:rFonts w:ascii="SimSun" w:hAnsi="SimSun" w:eastAsia="宋体" w:cs="SimSun"/>
            <w:b w:val="0"/>
            <w:color w:val="000000"/>
            <w:sz w:val="24"/>
            <w:u w:val="none"/>
          </w:rPr>
          <w:t>（一）分层验证方法</w:t>
        </w:r>
      </w:hyperlink>
      <w:r>
        <w:rPr>
          <w:rFonts w:ascii="SimSun" w:hAnsi="SimSun" w:eastAsia="宋体" w:cs="SimSun"/>
          <w:color w:val="000000"/>
          <w:sz w:val="24"/>
        </w:rPr>
        <w:tab/>
      </w:r>
      <w:hyperlink w:anchor="report_heading_059" w:history="1">
        <w:r>
          <w:rPr>
            <w:rFonts w:ascii="SimSun" w:hAnsi="SimSun" w:eastAsia="宋体" w:cs="SimSun"/>
            <w:b w:val="0"/>
            <w:color w:val="000000"/>
            <w:sz w:val="24"/>
            <w:u w:val="none"/>
          </w:rPr>
          <w:t>29</w:t>
        </w:r>
      </w:hyperlink>
    </w:p>
    <w:p>
      <w:pPr>
        <w:tabs>
          <w:tab w:pos="8901" w:val="right" w:leader="dot"/>
        </w:tabs>
        <w:spacing w:lineRule="exact" w:line="480" w:before="0" w:after="0"/>
        <w:ind w:firstLine="0" w:left="480" w:right="0"/>
      </w:pPr>
      <w:hyperlink w:anchor="report_heading_060" w:history="1">
        <w:r>
          <w:rPr>
            <w:rFonts w:ascii="SimSun" w:hAnsi="SimSun" w:eastAsia="宋体" w:cs="SimSun"/>
            <w:b w:val="0"/>
            <w:color w:val="000000"/>
            <w:sz w:val="24"/>
            <w:u w:val="none"/>
          </w:rPr>
          <w:t>（二）典型验收场景</w:t>
        </w:r>
      </w:hyperlink>
      <w:r>
        <w:rPr>
          <w:rFonts w:ascii="SimSun" w:hAnsi="SimSun" w:eastAsia="宋体" w:cs="SimSun"/>
          <w:color w:val="000000"/>
          <w:sz w:val="24"/>
        </w:rPr>
        <w:tab/>
      </w:r>
      <w:hyperlink w:anchor="report_heading_060" w:history="1">
        <w:r>
          <w:rPr>
            <w:rFonts w:ascii="SimSun" w:hAnsi="SimSun" w:eastAsia="宋体" w:cs="SimSun"/>
            <w:b w:val="0"/>
            <w:color w:val="000000"/>
            <w:sz w:val="24"/>
            <w:u w:val="none"/>
          </w:rPr>
          <w:t>30</w:t>
        </w:r>
      </w:hyperlink>
    </w:p>
    <w:p>
      <w:pPr>
        <w:tabs>
          <w:tab w:pos="8901" w:val="right" w:leader="dot"/>
        </w:tabs>
        <w:spacing w:lineRule="exact" w:line="480" w:before="0" w:after="0"/>
        <w:ind w:firstLine="0" w:left="480" w:right="0"/>
      </w:pPr>
      <w:hyperlink w:anchor="report_heading_061" w:history="1">
        <w:r>
          <w:rPr>
            <w:rFonts w:ascii="SimSun" w:hAnsi="SimSun" w:eastAsia="宋体" w:cs="SimSun"/>
            <w:b w:val="0"/>
            <w:color w:val="000000"/>
            <w:sz w:val="24"/>
            <w:u w:val="none"/>
          </w:rPr>
          <w:t>（三）质量指标处理原则</w:t>
        </w:r>
      </w:hyperlink>
      <w:r>
        <w:rPr>
          <w:rFonts w:ascii="SimSun" w:hAnsi="SimSun" w:eastAsia="宋体" w:cs="SimSun"/>
          <w:color w:val="000000"/>
          <w:sz w:val="24"/>
        </w:rPr>
        <w:tab/>
      </w:r>
      <w:hyperlink w:anchor="report_heading_061" w:history="1">
        <w:r>
          <w:rPr>
            <w:rFonts w:ascii="SimSun" w:hAnsi="SimSun" w:eastAsia="宋体" w:cs="SimSun"/>
            <w:b w:val="0"/>
            <w:color w:val="000000"/>
            <w:sz w:val="24"/>
            <w:u w:val="none"/>
          </w:rPr>
          <w:t>30</w:t>
        </w:r>
      </w:hyperlink>
    </w:p>
    <w:p>
      <w:pPr>
        <w:tabs>
          <w:tab w:pos="8901" w:val="right" w:leader="dot"/>
        </w:tabs>
        <w:spacing w:lineRule="exact" w:line="480" w:before="0" w:after="0"/>
        <w:ind w:firstLine="0" w:left="0" w:right="0"/>
      </w:pPr>
      <w:hyperlink w:anchor="report_heading_062" w:history="1">
        <w:r>
          <w:rPr>
            <w:rFonts w:ascii="SimSun" w:hAnsi="SimSun" w:eastAsia="宋体" w:cs="SimSun"/>
            <w:b/>
            <w:color w:val="000000"/>
            <w:sz w:val="24"/>
            <w:u w:val="none"/>
          </w:rPr>
          <w:t>十四、主要风险与控制措施</w:t>
        </w:r>
      </w:hyperlink>
      <w:r>
        <w:rPr>
          <w:rFonts w:ascii="SimSun" w:hAnsi="SimSun" w:eastAsia="宋体" w:cs="SimSun"/>
          <w:color w:val="000000"/>
          <w:sz w:val="24"/>
        </w:rPr>
        <w:tab/>
      </w:r>
      <w:hyperlink w:anchor="report_heading_062" w:history="1">
        <w:r>
          <w:rPr>
            <w:rFonts w:ascii="SimSun" w:hAnsi="SimSun" w:eastAsia="宋体" w:cs="SimSun"/>
            <w:b/>
            <w:color w:val="000000"/>
            <w:sz w:val="24"/>
            <w:u w:val="none"/>
          </w:rPr>
          <w:t>30</w:t>
        </w:r>
      </w:hyperlink>
    </w:p>
    <w:p>
      <w:pPr>
        <w:tabs>
          <w:tab w:pos="8901" w:val="right" w:leader="dot"/>
        </w:tabs>
        <w:spacing w:lineRule="exact" w:line="480" w:before="0" w:after="0"/>
        <w:ind w:firstLine="0" w:left="480" w:right="0"/>
      </w:pPr>
      <w:hyperlink w:anchor="report_heading_063" w:history="1">
        <w:r>
          <w:rPr>
            <w:rFonts w:ascii="SimSun" w:hAnsi="SimSun" w:eastAsia="宋体" w:cs="SimSun"/>
            <w:b w:val="0"/>
            <w:color w:val="000000"/>
            <w:sz w:val="24"/>
            <w:u w:val="none"/>
          </w:rPr>
          <w:t>（一）风险管理机制</w:t>
        </w:r>
      </w:hyperlink>
      <w:r>
        <w:rPr>
          <w:rFonts w:ascii="SimSun" w:hAnsi="SimSun" w:eastAsia="宋体" w:cs="SimSun"/>
          <w:color w:val="000000"/>
          <w:sz w:val="24"/>
        </w:rPr>
        <w:tab/>
      </w:r>
      <w:hyperlink w:anchor="report_heading_063" w:history="1">
        <w:r>
          <w:rPr>
            <w:rFonts w:ascii="SimSun" w:hAnsi="SimSun" w:eastAsia="宋体" w:cs="SimSun"/>
            <w:b w:val="0"/>
            <w:color w:val="000000"/>
            <w:sz w:val="24"/>
            <w:u w:val="none"/>
          </w:rPr>
          <w:t>31</w:t>
        </w:r>
      </w:hyperlink>
    </w:p>
    <w:p>
      <w:pPr>
        <w:tabs>
          <w:tab w:pos="8901" w:val="right" w:leader="dot"/>
        </w:tabs>
        <w:spacing w:lineRule="exact" w:line="480" w:before="0" w:after="0"/>
        <w:ind w:firstLine="0" w:left="0" w:right="0"/>
      </w:pPr>
      <w:hyperlink w:anchor="report_heading_064" w:history="1">
        <w:r>
          <w:rPr>
            <w:rFonts w:ascii="SimSun" w:hAnsi="SimSun" w:eastAsia="宋体" w:cs="SimSun"/>
            <w:b/>
            <w:color w:val="000000"/>
            <w:sz w:val="24"/>
            <w:u w:val="none"/>
          </w:rPr>
          <w:t>十五、结论与建设建议</w:t>
        </w:r>
      </w:hyperlink>
      <w:r>
        <w:rPr>
          <w:rFonts w:ascii="SimSun" w:hAnsi="SimSun" w:eastAsia="宋体" w:cs="SimSun"/>
          <w:color w:val="000000"/>
          <w:sz w:val="24"/>
        </w:rPr>
        <w:tab/>
      </w:r>
      <w:hyperlink w:anchor="report_heading_064" w:history="1">
        <w:r>
          <w:rPr>
            <w:rFonts w:ascii="SimSun" w:hAnsi="SimSun" w:eastAsia="宋体" w:cs="SimSun"/>
            <w:b/>
            <w:color w:val="000000"/>
            <w:sz w:val="24"/>
            <w:u w:val="none"/>
          </w:rPr>
          <w:t>31</w:t>
        </w:r>
      </w:hyperlink>
    </w:p>
    <w:p>
      <w:pPr>
        <w:tabs>
          <w:tab w:pos="8901" w:val="right" w:leader="dot"/>
        </w:tabs>
        <w:spacing w:lineRule="exact" w:line="480" w:before="0" w:after="0"/>
        <w:ind w:firstLine="0" w:left="0" w:right="0"/>
      </w:pPr>
      <w:hyperlink w:anchor="report_heading_065" w:history="1">
        <w:r>
          <w:rPr>
            <w:rFonts w:ascii="SimSun" w:hAnsi="SimSun" w:eastAsia="宋体" w:cs="SimSun"/>
            <w:b/>
            <w:color w:val="000000"/>
            <w:sz w:val="24"/>
            <w:u w:val="none"/>
          </w:rPr>
          <w:t>附录 A 甲方关注事项与报告章节对应表</w:t>
        </w:r>
      </w:hyperlink>
      <w:r>
        <w:rPr>
          <w:rFonts w:ascii="SimSun" w:hAnsi="SimSun" w:eastAsia="宋体" w:cs="SimSun"/>
          <w:color w:val="000000"/>
          <w:sz w:val="24"/>
        </w:rPr>
        <w:tab/>
      </w:r>
      <w:hyperlink w:anchor="report_heading_065" w:history="1">
        <w:r>
          <w:rPr>
            <w:rFonts w:ascii="SimSun" w:hAnsi="SimSun" w:eastAsia="宋体" w:cs="SimSun"/>
            <w:b/>
            <w:color w:val="000000"/>
            <w:sz w:val="24"/>
            <w:u w:val="none"/>
          </w:rPr>
          <w:t>32</w:t>
        </w:r>
      </w:hyperlink>
    </w:p>
    <w:p>
      <w:pPr>
        <w:tabs>
          <w:tab w:pos="8901" w:val="right" w:leader="dot"/>
        </w:tabs>
        <w:spacing w:lineRule="exact" w:line="480" w:before="0" w:after="0"/>
        <w:ind w:firstLine="0" w:left="0" w:right="0"/>
      </w:pPr>
      <w:hyperlink w:anchor="report_heading_066" w:history="1">
        <w:r>
          <w:rPr>
            <w:rFonts w:ascii="SimSun" w:hAnsi="SimSun" w:eastAsia="宋体" w:cs="SimSun"/>
            <w:b/>
            <w:color w:val="000000"/>
            <w:sz w:val="24"/>
            <w:u w:val="none"/>
          </w:rPr>
          <w:t>附录 B 后续详细设计输入清单</w:t>
        </w:r>
      </w:hyperlink>
      <w:r>
        <w:rPr>
          <w:rFonts w:ascii="SimSun" w:hAnsi="SimSun" w:eastAsia="宋体" w:cs="SimSun"/>
          <w:color w:val="000000"/>
          <w:sz w:val="24"/>
        </w:rPr>
        <w:tab/>
      </w:r>
      <w:hyperlink w:anchor="report_heading_066" w:history="1">
        <w:r>
          <w:rPr>
            <w:rFonts w:ascii="SimSun" w:hAnsi="SimSun" w:eastAsia="宋体" w:cs="SimSun"/>
            <w:b/>
            <w:color w:val="000000"/>
            <w:sz w:val="24"/>
            <w:u w:val="none"/>
          </w:rPr>
          <w:t>33</w:t>
        </w:r>
      </w:hyperlink>
    </w:p>
    <w:p>
      <w:r>
        <w:br w:type="page"/>
      </w:r>
    </w:p>
    <w:p>
      <w:pPr>
        <w:pStyle w:val="Heading1"/>
        <w:spacing w:lineRule="exact" w:line="480" w:before="0" w:after="0"/>
        <w:ind w:firstLine="0"/>
      </w:pPr>
      <w:bookmarkStart w:id="1" w:name="report_heading_001"/>
      <w:r>
        <w:rPr>
          <w:rFonts w:ascii="SimHei" w:hAnsi="SimHei" w:eastAsia="黑体" w:cs="SimHei"/>
          <w:b/>
          <w:color w:val="000000"/>
          <w:sz w:val="28"/>
        </w:rPr>
        <w:t>摘要</w:t>
      </w:r>
      <w:bookmarkEnd w:id="1"/>
    </w:p>
    <w:p>
      <w:pPr>
        <w:widowControl/>
        <w:spacing w:lineRule="exact" w:line="480" w:before="0" w:after="0"/>
        <w:ind w:firstLine="480"/>
      </w:pPr>
      <w:r>
        <w:rPr>
          <w:rFonts w:ascii="SimSun" w:hAnsi="SimSun" w:eastAsia="宋体" w:cs="SimSun"/>
          <w:b w:val="0"/>
          <w:color w:val="000000"/>
          <w:sz w:val="24"/>
        </w:rPr>
        <w:t>本报告面向轨道交通客运装备内装模块化分区快速设计平台建设，围绕“分区识别技术、多模态应用、快速设计关键技术、平台总体架构、功能模块、数据与知识底座、实施路线及进度计划”展开研究。报告定位为平台构建前的技术指导文件：向上承接合同、技术规格书和技术标书中的目标与承诺，向下指导需求细化、数据准备、方案设计、系统开发、联调测试和阶段验收。</w:t>
      </w:r>
    </w:p>
    <w:p>
      <w:pPr>
        <w:widowControl/>
        <w:spacing w:lineRule="exact" w:line="480" w:before="0" w:after="0"/>
        <w:ind w:firstLine="480"/>
      </w:pPr>
      <w:r>
        <w:rPr>
          <w:rFonts w:ascii="SimSun" w:hAnsi="SimSun" w:eastAsia="宋体" w:cs="SimSun"/>
          <w:b w:val="0"/>
          <w:color w:val="000000"/>
          <w:sz w:val="24"/>
        </w:rPr>
        <w:t>研究以侧墙、顶部、地板、端墙、座椅、车门周边等典型客室区域为主要对象，采用模块化分解、多模态信息融合、人机协同识别、参数化设计、规则约束、方案检索与多目标评价等方法，形成从设计资料输入、区域与模块识别、设计方案生成、跨区域校核、人工评审到成果归档复用的业务闭环。平台采用分层解耦和能力适配思路，统一组织项目、资源、任务、规则、模型能力和设计成果，避免将单一算法输出直接等同于工程设计结论。</w:t>
      </w:r>
    </w:p>
    <w:p>
      <w:pPr>
        <w:widowControl/>
        <w:spacing w:lineRule="exact" w:line="480" w:before="0" w:after="0"/>
        <w:ind w:firstLine="480"/>
      </w:pPr>
      <w:r>
        <w:rPr>
          <w:rFonts w:ascii="SimSun" w:hAnsi="SimSun" w:eastAsia="宋体" w:cs="SimSun"/>
          <w:b w:val="0"/>
          <w:color w:val="000000"/>
          <w:sz w:val="24"/>
        </w:rPr>
        <w:t>本报告提出的平台蓝图包含应用层、核心能力层、平台支撑层和数据基础层，明确各层职责、接口边界、安全要求与扩展方式；同时给出分阶段建设路径、数据治理方案、验证指标、风险控制和交付物映射，可作为后续详细设计、开发实施和评审验收的统一依据。</w:t>
      </w:r>
    </w:p>
    <w:p>
      <w:pPr>
        <w:widowControl/>
        <w:spacing w:lineRule="exact" w:line="480" w:before="0" w:after="0"/>
        <w:ind w:firstLine="480"/>
      </w:pPr>
      <w:r>
        <w:rPr>
          <w:rFonts w:ascii="SimSun" w:hAnsi="SimSun" w:eastAsia="宋体" w:cs="SimSun"/>
          <w:b/>
          <w:color w:val="000000"/>
          <w:sz w:val="24"/>
        </w:rPr>
        <w:t>关键词：</w:t>
      </w:r>
      <w:r>
        <w:rPr>
          <w:rFonts w:ascii="SimSun" w:hAnsi="SimSun" w:eastAsia="宋体" w:cs="SimSun"/>
          <w:b w:val="0"/>
          <w:color w:val="000000"/>
          <w:sz w:val="24"/>
        </w:rPr>
        <w:t>轨道交通；客运装备；内装模块；分区识别；多模态应用；快速设计；平台架构</w:t>
      </w:r>
    </w:p>
    <w:p>
      <w:pPr>
        <w:pStyle w:val="Heading1"/>
        <w:spacing w:lineRule="exact" w:line="480" w:before="0" w:after="0"/>
        <w:ind w:firstLine="0"/>
      </w:pPr>
      <w:bookmarkStart w:id="2" w:name="report_heading_002"/>
      <w:r>
        <w:rPr>
          <w:rFonts w:ascii="SimHei" w:hAnsi="SimHei" w:eastAsia="黑体" w:cs="SimHei"/>
          <w:b/>
          <w:color w:val="000000"/>
          <w:sz w:val="28"/>
        </w:rPr>
        <w:t>一、报告定位与研究依据</w:t>
      </w:r>
      <w:bookmarkEnd w:id="2"/>
    </w:p>
    <w:p>
      <w:pPr>
        <w:pStyle w:val="Heading2"/>
        <w:spacing w:lineRule="exact" w:line="480" w:before="0" w:after="0"/>
        <w:ind w:firstLine="0"/>
      </w:pPr>
      <w:bookmarkStart w:id="3" w:name="report_heading_003"/>
      <w:r>
        <w:rPr>
          <w:rFonts w:ascii="KaiTi" w:hAnsi="KaiTi" w:eastAsia="楷体" w:cs="KaiTi"/>
          <w:b w:val="0"/>
          <w:color w:val="000000"/>
          <w:sz w:val="28"/>
        </w:rPr>
        <w:t>（一）报告定位</w:t>
      </w:r>
      <w:bookmarkEnd w:id="3"/>
    </w:p>
    <w:p>
      <w:pPr>
        <w:widowControl/>
        <w:spacing w:lineRule="exact" w:line="480" w:before="0" w:after="0"/>
        <w:ind w:firstLine="480"/>
      </w:pPr>
      <w:r>
        <w:rPr>
          <w:rFonts w:ascii="SimSun" w:hAnsi="SimSun" w:eastAsia="宋体" w:cs="SimSun"/>
          <w:b w:val="0"/>
          <w:color w:val="000000"/>
          <w:sz w:val="24"/>
        </w:rPr>
        <w:t>本报告不是系统操作手册，也不是对既有程序细节的说明，而是将技术标书中的总体响应扩充为可执行的平台建设指导方案。其核心任务是回答四个问题：平台为什么建设、关键技术如何落地、系统由哪些部分组成、各阶段以什么成果和指标判定完成。</w:t>
      </w:r>
    </w:p>
    <w:p>
      <w:pPr>
        <w:widowControl/>
        <w:spacing w:lineRule="exact" w:line="480" w:before="0" w:after="0"/>
        <w:ind w:firstLine="480"/>
      </w:pPr>
      <w:r>
        <w:rPr>
          <w:rFonts w:ascii="SimSun" w:hAnsi="SimSun" w:eastAsia="宋体" w:cs="SimSun"/>
          <w:b w:val="0"/>
          <w:color w:val="000000"/>
          <w:sz w:val="24"/>
        </w:rPr>
        <w:t>技术标书侧重“是否响应”和“总体如何响应”，本报告进一步细化研究对象、技术机理、数据流、功能边界、实施步骤、验证方法与风险控制，使后续参与需求、算法、设计、开发、测试和实施的人员能够基于同一技术蓝图开展工作。</w:t>
      </w:r>
    </w:p>
    <w:p>
      <w:pPr>
        <w:pStyle w:val="Caption"/>
        <w:keepNext/>
        <w:jc w:val="center"/>
      </w:pPr>
      <w:r>
        <w:rPr>
          <w:rFonts w:ascii="SimSun" w:hAnsi="SimSun" w:eastAsia="宋体" w:cs="SimSun"/>
          <w:color w:val="000000"/>
          <w:sz w:val="24"/>
        </w:rPr>
        <w:t>表 1 技术标书内容向建设指导报告的转化关系</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991"/>
        <w:gridCol w:w="2991"/>
        <w:gridCol w:w="2990"/>
      </w:tblGrid>
      <w:tr>
        <w:trPr>
          <w:cantSplit w:val="true"/>
          <w:tblHeader w:val="true"/>
        </w:trPr>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技术标书内容</w:t>
            </w:r>
          </w:p>
        </w:tc>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本报告扩充重点</w:t>
            </w:r>
          </w:p>
        </w:tc>
        <w:tc>
          <w:tcPr>
            <w:tcW w:type="dxa" w:w="2990"/>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对后续建设的指导作用</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项目理解与建设目标</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研究边界、建设目标、设计原则</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统一需求范围和验收口径</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总体技术路线</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研究流程、关键技术链、阶段门</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指导任务分解和资源配置</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系统总体架构</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分层架构、服务边界、数据流和部署边界</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指导概要设计与接口设计</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分区识别与快速设计方案</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数据、算法、人机协同、规则与评价</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指导算法研究和业务流程设计</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平台功能方案</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功能地图、角色场景、输入输出</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指导产品与详细功能设计</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实施、测试与交付</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里程碑、验证指标、证据和风险</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指导进度控制与阶段验收</w:t>
            </w:r>
          </w:p>
        </w:tc>
      </w:tr>
    </w:tbl>
    <w:p>
      <w:pPr>
        <w:keepNext/>
        <w:spacing w:before="80" w:after="0" w:line="240" w:lineRule="auto"/>
        <w:ind w:firstLine="0"/>
        <w:jc w:val="center"/>
      </w:pPr>
      <w:r>
        <w:drawing>
          <wp:inline xmlns:a="http://schemas.openxmlformats.org/drawingml/2006/main" xmlns:pic="http://schemas.openxmlformats.org/drawingml/2006/picture">
            <wp:extent cx="5650992" cy="2928241"/>
            <wp:docPr id="1" name="Picture 1" descr="图 1 平台建设指导框架"/>
            <wp:cNvGraphicFramePr>
              <a:graphicFrameLocks noChangeAspect="1"/>
            </wp:cNvGraphicFramePr>
            <a:graphic>
              <a:graphicData uri="http://schemas.openxmlformats.org/drawingml/2006/picture">
                <pic:pic>
                  <pic:nvPicPr>
                    <pic:cNvPr id="0" name="v2-figure-01-guidance-framework.png"/>
                    <pic:cNvPicPr/>
                  </pic:nvPicPr>
                  <pic:blipFill>
                    <a:blip r:embed="rId13"/>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1 平台建设指导框架</w:t>
      </w:r>
    </w:p>
    <w:p>
      <w:pPr>
        <w:pStyle w:val="Heading2"/>
        <w:spacing w:lineRule="exact" w:line="480" w:before="0" w:after="0"/>
        <w:ind w:firstLine="0"/>
      </w:pPr>
      <w:bookmarkStart w:id="4" w:name="report_heading_004"/>
      <w:r>
        <w:rPr>
          <w:rFonts w:ascii="KaiTi" w:hAnsi="KaiTi" w:eastAsia="楷体" w:cs="KaiTi"/>
          <w:b w:val="0"/>
          <w:color w:val="000000"/>
          <w:sz w:val="28"/>
        </w:rPr>
        <w:t>（二）建设依据</w:t>
      </w:r>
      <w:bookmarkEnd w:id="4"/>
    </w:p>
    <w:p>
      <w:pPr>
        <w:widowControl/>
        <w:spacing w:lineRule="exact" w:line="480" w:before="0" w:after="0"/>
        <w:ind w:firstLine="480"/>
      </w:pPr>
      <w:r>
        <w:rPr>
          <w:rFonts w:ascii="SimSun" w:hAnsi="SimSun" w:eastAsia="宋体" w:cs="SimSun"/>
          <w:b w:val="0"/>
          <w:color w:val="000000"/>
          <w:sz w:val="24"/>
        </w:rPr>
        <w:t>报告主要依据技术开发合同（26版）及附件技术规格书、技术标书第四版、甲方关于研究报告定位和图文表达的补充意见，以及项目实施过程中确认的数据、接口、部署与验收条件。不同材料出现差异时，以双方最终签署的合同、补充协议和书面确认文件为准。</w:t>
      </w:r>
    </w:p>
    <w:p>
      <w:pPr>
        <w:pStyle w:val="Heading2"/>
        <w:spacing w:lineRule="exact" w:line="480" w:before="0" w:after="0"/>
        <w:ind w:firstLine="0"/>
      </w:pPr>
      <w:bookmarkStart w:id="5" w:name="report_heading_005"/>
      <w:r>
        <w:rPr>
          <w:rFonts w:ascii="KaiTi" w:hAnsi="KaiTi" w:eastAsia="楷体" w:cs="KaiTi"/>
          <w:b w:val="0"/>
          <w:color w:val="000000"/>
          <w:sz w:val="28"/>
        </w:rPr>
        <w:t>（三）研究范围</w:t>
      </w:r>
      <w:bookmarkEnd w:id="5"/>
    </w:p>
    <w:p>
      <w:pPr>
        <w:widowControl/>
        <w:spacing w:lineRule="exact" w:line="480" w:before="0" w:after="0"/>
        <w:ind w:firstLine="480"/>
      </w:pPr>
      <w:r>
        <w:rPr>
          <w:rFonts w:ascii="SimSun" w:hAnsi="SimSun" w:eastAsia="宋体" w:cs="SimSun"/>
          <w:b w:val="0"/>
          <w:color w:val="000000"/>
          <w:sz w:val="24"/>
        </w:rPr>
        <w:t>研究范围覆盖客室内装模块分区识别、多模态信息处理、模块化与参数化快速设计、跨区域协同、方案检索评价、平台架构、数据资源、系统集成、质量验证和建设计划。工程结构计算、车辆安全认证结论和未经甲方确认的生产工艺参数不由生成模型替代，仍以专业设计、试验和审批结果为准。</w:t>
      </w:r>
    </w:p>
    <w:p>
      <w:pPr>
        <w:pStyle w:val="Heading2"/>
        <w:spacing w:lineRule="exact" w:line="480" w:before="0" w:after="0"/>
        <w:ind w:firstLine="0"/>
      </w:pPr>
      <w:bookmarkStart w:id="6" w:name="report_heading_006"/>
      <w:r>
        <w:rPr>
          <w:rFonts w:ascii="KaiTi" w:hAnsi="KaiTi" w:eastAsia="楷体" w:cs="KaiTi"/>
          <w:b w:val="0"/>
          <w:color w:val="000000"/>
          <w:sz w:val="28"/>
        </w:rPr>
        <w:t>（四）研究方法</w:t>
      </w:r>
      <w:bookmarkEnd w:id="6"/>
    </w:p>
    <w:p>
      <w:pPr>
        <w:widowControl/>
        <w:spacing w:lineRule="exact" w:line="480" w:before="0" w:after="0"/>
        <w:ind w:firstLine="480"/>
      </w:pPr>
      <w:r>
        <w:rPr>
          <w:rFonts w:ascii="SimSun" w:hAnsi="SimSun" w:eastAsia="宋体" w:cs="SimSun"/>
          <w:b w:val="0"/>
          <w:color w:val="000000"/>
          <w:sz w:val="24"/>
        </w:rPr>
        <w:t>本报告综合采用合同与需求分析、系统工程分解、领域对象建模、多模态融合、人机协同、快速原型、场景验证和风险驱动设计等方法。研究过程遵循“需求可追踪、对象可表达、能力可替换、过程可复现、结果可验证”的原则，既关注智能算法效果，也关注平台治理、人工确认和工程可用性。</w:t>
      </w:r>
    </w:p>
    <w:p>
      <w:pPr>
        <w:pStyle w:val="Heading1"/>
        <w:spacing w:lineRule="exact" w:line="480" w:before="0" w:after="0"/>
        <w:ind w:firstLine="0"/>
      </w:pPr>
      <w:bookmarkStart w:id="7" w:name="report_heading_007"/>
      <w:r>
        <w:rPr>
          <w:rFonts w:ascii="SimHei" w:hAnsi="SimHei" w:eastAsia="黑体" w:cs="SimHei"/>
          <w:b/>
          <w:color w:val="000000"/>
          <w:sz w:val="28"/>
        </w:rPr>
        <w:t>二、建设背景与总体目标</w:t>
      </w:r>
      <w:bookmarkEnd w:id="7"/>
    </w:p>
    <w:p>
      <w:pPr>
        <w:pStyle w:val="Heading2"/>
        <w:spacing w:lineRule="exact" w:line="480" w:before="0" w:after="0"/>
        <w:ind w:firstLine="0"/>
      </w:pPr>
      <w:bookmarkStart w:id="8" w:name="report_heading_008"/>
      <w:r>
        <w:rPr>
          <w:rFonts w:ascii="KaiTi" w:hAnsi="KaiTi" w:eastAsia="楷体" w:cs="KaiTi"/>
          <w:b w:val="0"/>
          <w:color w:val="000000"/>
          <w:sz w:val="28"/>
        </w:rPr>
        <w:t>（一）业务背景</w:t>
      </w:r>
      <w:bookmarkEnd w:id="8"/>
    </w:p>
    <w:p>
      <w:pPr>
        <w:widowControl/>
        <w:spacing w:lineRule="exact" w:line="480" w:before="0" w:after="0"/>
        <w:ind w:firstLine="480"/>
      </w:pPr>
      <w:r>
        <w:rPr>
          <w:rFonts w:ascii="SimSun" w:hAnsi="SimSun" w:eastAsia="宋体" w:cs="SimSun"/>
          <w:b w:val="0"/>
          <w:color w:val="000000"/>
          <w:sz w:val="24"/>
        </w:rPr>
        <w:t>中车出口客运装备面对多国家、多线路、多车型和多文化审美需求，客室内装设计需要同时兼顾安全、功能、制造、维护、成本、舒适度和视觉一致性。传统工作方式中，图像、图纸、模型、材质、规则和历史方案分散在不同目录或工具中，模块边界不统一，方案复用依赖个人经验，局部调整难以及时反映对相邻区域和整体效果的影响。</w:t>
      </w:r>
    </w:p>
    <w:p>
      <w:pPr>
        <w:widowControl/>
        <w:spacing w:lineRule="exact" w:line="480" w:before="0" w:after="0"/>
        <w:ind w:firstLine="480"/>
      </w:pPr>
      <w:r>
        <w:rPr>
          <w:rFonts w:ascii="SimSun" w:hAnsi="SimSun" w:eastAsia="宋体" w:cs="SimSun"/>
          <w:b w:val="0"/>
          <w:color w:val="000000"/>
          <w:sz w:val="24"/>
        </w:rPr>
        <w:t>平台建设的价值不只是提高单次效果图生成速度，更重要的是将设计对象、数据、规则、任务和成果纳入统一的项目上下文，使每一次识别、设计、修改和评审都能够形成可追溯、可复用的工程资产。</w:t>
      </w:r>
    </w:p>
    <w:p>
      <w:pPr>
        <w:pStyle w:val="Heading2"/>
        <w:spacing w:lineRule="exact" w:line="480" w:before="0" w:after="0"/>
        <w:ind w:firstLine="0"/>
      </w:pPr>
      <w:bookmarkStart w:id="9" w:name="report_heading_009"/>
      <w:r>
        <w:rPr>
          <w:rFonts w:ascii="KaiTi" w:hAnsi="KaiTi" w:eastAsia="楷体" w:cs="KaiTi"/>
          <w:b w:val="0"/>
          <w:color w:val="000000"/>
          <w:sz w:val="28"/>
        </w:rPr>
        <w:t>（二）总体目标</w:t>
      </w:r>
      <w:bookmarkEnd w:id="9"/>
    </w:p>
    <w:p>
      <w:pPr>
        <w:widowControl/>
        <w:spacing w:lineRule="exact" w:line="480" w:before="0" w:after="0"/>
        <w:ind w:firstLine="480"/>
      </w:pPr>
      <w:r>
        <w:rPr>
          <w:rFonts w:ascii="SimSun" w:hAnsi="SimSun" w:eastAsia="宋体" w:cs="SimSun"/>
          <w:b w:val="0"/>
          <w:color w:val="000000"/>
          <w:sz w:val="24"/>
        </w:rPr>
        <w:t>平台建设目标是形成面向客室内装设计的数字化工作环境：建立统一的区域与模块表达方法，形成多模态信息辅助的分区识别能力，构建模块化、参数化和规则化的快速设计流程，沉淀可检索的设计成果库，并预留与既有产品平台的数据和业务交互能力。</w:t>
      </w:r>
    </w:p>
    <w:p>
      <w:pPr>
        <w:pStyle w:val="Caption"/>
        <w:keepNext/>
        <w:jc w:val="center"/>
      </w:pPr>
      <w:r>
        <w:rPr>
          <w:rFonts w:ascii="SimSun" w:hAnsi="SimSun" w:eastAsia="宋体" w:cs="SimSun"/>
          <w:color w:val="000000"/>
          <w:sz w:val="24"/>
        </w:rPr>
        <w:t>表 2 平台建设目标与阶段成果</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991"/>
        <w:gridCol w:w="2991"/>
        <w:gridCol w:w="2990"/>
      </w:tblGrid>
      <w:tr>
        <w:trPr>
          <w:cantSplit w:val="true"/>
          <w:tblHeader w:val="true"/>
        </w:trPr>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建设目标</w:t>
            </w:r>
          </w:p>
        </w:tc>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主要成果</w:t>
            </w:r>
          </w:p>
        </w:tc>
        <w:tc>
          <w:tcPr>
            <w:tcW w:type="dxa" w:w="2990"/>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完成判定</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模块分区标准化</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区域分类、四级模块对象、属性与接口规范</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典型区域和模块可统一编码、描述和关联</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分区识别智能化</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多模态候选识别、人机复核、结果版本化</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识别结果可解释、可修正、可进入设计任务</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快速设计流程化</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参数模板、规则校核、生成与比选流程</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典型设计任务可形成可重复的业务闭环</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成果资源化</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设计方案、版本、评价与来源关系</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成果可查询、比较、复用和追溯</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平台能力服务化</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统一项目、资源、任务、权限和能力接口</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外部能力可替换，业务流程保持稳定</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建设过程可验收</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里程碑、测试指标和证据清单</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各阶段具有明确输入、输出和评审依据</w:t>
            </w:r>
          </w:p>
        </w:tc>
      </w:tr>
    </w:tbl>
    <w:p>
      <w:pPr>
        <w:pStyle w:val="Heading2"/>
        <w:spacing w:lineRule="exact" w:line="480" w:before="0" w:after="0"/>
        <w:ind w:firstLine="0"/>
      </w:pPr>
      <w:bookmarkStart w:id="10" w:name="report_heading_010"/>
      <w:r>
        <w:rPr>
          <w:rFonts w:ascii="KaiTi" w:hAnsi="KaiTi" w:eastAsia="楷体" w:cs="KaiTi"/>
          <w:b w:val="0"/>
          <w:color w:val="000000"/>
          <w:sz w:val="28"/>
        </w:rPr>
        <w:t>（三）建设原则</w:t>
      </w:r>
      <w:bookmarkEnd w:id="10"/>
    </w:p>
    <w:p>
      <w:pPr>
        <w:pStyle w:val="ListParagraph"/>
        <w:spacing w:lineRule="exact" w:line="480" w:before="0" w:after="0"/>
        <w:ind w:firstLine="0"/>
        <w:numPr>
          <w:ilvl w:val="0"/>
          <w:numId w:val="10"/>
        </w:numPr>
      </w:pPr>
      <w:r>
        <w:rPr>
          <w:rFonts w:ascii="SimSun" w:hAnsi="SimSun" w:eastAsia="宋体" w:cs="SimSun"/>
          <w:b w:val="0"/>
          <w:color w:val="000000"/>
          <w:sz w:val="24"/>
        </w:rPr>
        <w:t>业务牵引。以真实设计流程和工程约束确定功能，不以算法展示替代业务闭环。</w:t>
      </w:r>
    </w:p>
    <w:p>
      <w:pPr>
        <w:pStyle w:val="ListParagraph"/>
        <w:spacing w:lineRule="exact" w:line="480" w:before="0" w:after="0"/>
        <w:ind w:firstLine="0"/>
        <w:numPr>
          <w:ilvl w:val="0"/>
          <w:numId w:val="10"/>
        </w:numPr>
      </w:pPr>
      <w:r>
        <w:rPr>
          <w:rFonts w:ascii="SimSun" w:hAnsi="SimSun" w:eastAsia="宋体" w:cs="SimSun"/>
          <w:b w:val="0"/>
          <w:color w:val="000000"/>
          <w:sz w:val="24"/>
        </w:rPr>
        <w:t>模块复用。优先沉淀稳定的区域、模块、参数、规则和成果对象，支持不同车型和项目复用。</w:t>
      </w:r>
    </w:p>
    <w:p>
      <w:pPr>
        <w:pStyle w:val="ListParagraph"/>
        <w:spacing w:lineRule="exact" w:line="480" w:before="0" w:after="0"/>
        <w:ind w:firstLine="0"/>
        <w:numPr>
          <w:ilvl w:val="0"/>
          <w:numId w:val="10"/>
        </w:numPr>
      </w:pPr>
      <w:r>
        <w:rPr>
          <w:rFonts w:ascii="SimSun" w:hAnsi="SimSun" w:eastAsia="宋体" w:cs="SimSun"/>
          <w:b w:val="0"/>
          <w:color w:val="000000"/>
          <w:sz w:val="24"/>
        </w:rPr>
        <w:t>人机协同。智能能力提供候选、检索和生成建议，设计人员负责语义确认、约束判断和方案决策。</w:t>
      </w:r>
    </w:p>
    <w:p>
      <w:pPr>
        <w:pStyle w:val="ListParagraph"/>
        <w:spacing w:lineRule="exact" w:line="480" w:before="0" w:after="0"/>
        <w:ind w:firstLine="0"/>
        <w:numPr>
          <w:ilvl w:val="0"/>
          <w:numId w:val="10"/>
        </w:numPr>
      </w:pPr>
      <w:r>
        <w:rPr>
          <w:rFonts w:ascii="SimSun" w:hAnsi="SimSun" w:eastAsia="宋体" w:cs="SimSun"/>
          <w:b w:val="0"/>
          <w:color w:val="000000"/>
          <w:sz w:val="24"/>
        </w:rPr>
        <w:t>数据贯通。识别输入、设计参数、执行过程、输出结果和评审结论通过统一对象关联。</w:t>
      </w:r>
    </w:p>
    <w:p>
      <w:pPr>
        <w:pStyle w:val="ListParagraph"/>
        <w:spacing w:lineRule="exact" w:line="480" w:before="0" w:after="0"/>
        <w:ind w:firstLine="0"/>
        <w:numPr>
          <w:ilvl w:val="0"/>
          <w:numId w:val="10"/>
        </w:numPr>
      </w:pPr>
      <w:r>
        <w:rPr>
          <w:rFonts w:ascii="SimSun" w:hAnsi="SimSun" w:eastAsia="宋体" w:cs="SimSun"/>
          <w:b w:val="0"/>
          <w:color w:val="000000"/>
          <w:sz w:val="24"/>
        </w:rPr>
        <w:t>安全可控。敏感数据、模型服务和系统配置在受控环境中管理，访问和变更可审计。</w:t>
      </w:r>
    </w:p>
    <w:p>
      <w:pPr>
        <w:pStyle w:val="ListParagraph"/>
        <w:spacing w:lineRule="exact" w:line="480" w:before="0" w:after="0"/>
        <w:ind w:firstLine="0"/>
        <w:numPr>
          <w:ilvl w:val="0"/>
          <w:numId w:val="10"/>
        </w:numPr>
      </w:pPr>
      <w:r>
        <w:rPr>
          <w:rFonts w:ascii="SimSun" w:hAnsi="SimSun" w:eastAsia="宋体" w:cs="SimSun"/>
          <w:b w:val="0"/>
          <w:color w:val="000000"/>
          <w:sz w:val="24"/>
        </w:rPr>
        <w:t>分步实施。先形成标准和最小闭环，再提升自动化程度和跨区域优化能力。</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2" name="Picture 2" descr="图 2 从设计需求到成果复用的业务闭环"/>
            <wp:cNvGraphicFramePr>
              <a:graphicFrameLocks noChangeAspect="1"/>
            </wp:cNvGraphicFramePr>
            <a:graphic>
              <a:graphicData uri="http://schemas.openxmlformats.org/drawingml/2006/picture">
                <pic:pic>
                  <pic:nvPicPr>
                    <pic:cNvPr id="0" name="v2-figure-02-business-loop.png"/>
                    <pic:cNvPicPr/>
                  </pic:nvPicPr>
                  <pic:blipFill>
                    <a:blip r:embed="rId14"/>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2 从设计需求到成果复用的业务闭环</w:t>
      </w:r>
    </w:p>
    <w:p>
      <w:pPr>
        <w:pStyle w:val="Heading1"/>
        <w:spacing w:lineRule="exact" w:line="480" w:before="0" w:after="0"/>
        <w:ind w:firstLine="0"/>
      </w:pPr>
      <w:bookmarkStart w:id="11" w:name="report_heading_011"/>
      <w:r>
        <w:rPr>
          <w:rFonts w:ascii="SimHei" w:hAnsi="SimHei" w:eastAsia="黑体" w:cs="SimHei"/>
          <w:b/>
          <w:color w:val="000000"/>
          <w:sz w:val="28"/>
        </w:rPr>
        <w:t>三、总体研究框架与关键问题</w:t>
      </w:r>
      <w:bookmarkEnd w:id="11"/>
    </w:p>
    <w:p>
      <w:pPr>
        <w:pStyle w:val="Heading2"/>
        <w:spacing w:lineRule="exact" w:line="480" w:before="0" w:after="0"/>
        <w:ind w:firstLine="0"/>
      </w:pPr>
      <w:bookmarkStart w:id="12" w:name="report_heading_012"/>
      <w:r>
        <w:rPr>
          <w:rFonts w:ascii="KaiTi" w:hAnsi="KaiTi" w:eastAsia="楷体" w:cs="KaiTi"/>
          <w:b w:val="0"/>
          <w:color w:val="000000"/>
          <w:sz w:val="28"/>
        </w:rPr>
        <w:t>（一）研究内容体系</w:t>
      </w:r>
      <w:bookmarkEnd w:id="12"/>
    </w:p>
    <w:p>
      <w:pPr>
        <w:widowControl/>
        <w:spacing w:lineRule="exact" w:line="480" w:before="0" w:after="0"/>
        <w:ind w:firstLine="480"/>
      </w:pPr>
      <w:r>
        <w:rPr>
          <w:rFonts w:ascii="SimSun" w:hAnsi="SimSun" w:eastAsia="宋体" w:cs="SimSun"/>
          <w:b w:val="0"/>
          <w:color w:val="000000"/>
          <w:sz w:val="24"/>
        </w:rPr>
        <w:t>研究内容由四条相互关联的主线构成。第一条是对象主线，解决客室区域、模块、属性、接口和版本如何统一表达；第二条是技术主线，研究多模态识别、参数化生成、规则校核和跨区域优化；第三条是平台主线，建设项目、资源、任务、权限、接口和成果库；第四条是验证主线，通过数据集、指标、场景、测试和评审证明方案可行。</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3" name="Picture 3" descr="图 3 研究内容与平台建设主线"/>
            <wp:cNvGraphicFramePr>
              <a:graphicFrameLocks noChangeAspect="1"/>
            </wp:cNvGraphicFramePr>
            <a:graphic>
              <a:graphicData uri="http://schemas.openxmlformats.org/drawingml/2006/picture">
                <pic:pic>
                  <pic:nvPicPr>
                    <pic:cNvPr id="0" name="v2-figure-03-research-streams.png"/>
                    <pic:cNvPicPr/>
                  </pic:nvPicPr>
                  <pic:blipFill>
                    <a:blip r:embed="rId15"/>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3 研究内容与平台建设主线</w:t>
      </w:r>
    </w:p>
    <w:p>
      <w:pPr>
        <w:pStyle w:val="Heading2"/>
        <w:spacing w:lineRule="exact" w:line="480" w:before="0" w:after="0"/>
        <w:ind w:firstLine="0"/>
      </w:pPr>
      <w:bookmarkStart w:id="13" w:name="report_heading_013"/>
      <w:r>
        <w:rPr>
          <w:rFonts w:ascii="KaiTi" w:hAnsi="KaiTi" w:eastAsia="楷体" w:cs="KaiTi"/>
          <w:b w:val="0"/>
          <w:color w:val="000000"/>
          <w:sz w:val="28"/>
        </w:rPr>
        <w:t>（二）需要解决的关键问题</w:t>
      </w:r>
      <w:bookmarkEnd w:id="13"/>
    </w:p>
    <w:p>
      <w:pPr>
        <w:pStyle w:val="ListParagraph"/>
        <w:spacing w:lineRule="exact" w:line="480" w:before="0" w:after="0"/>
        <w:ind w:firstLine="0"/>
        <w:numPr>
          <w:ilvl w:val="0"/>
          <w:numId w:val="11"/>
        </w:numPr>
      </w:pPr>
      <w:r>
        <w:rPr>
          <w:rFonts w:ascii="SimSun" w:hAnsi="SimSun" w:eastAsia="宋体" w:cs="SimSun"/>
          <w:b w:val="0"/>
          <w:color w:val="000000"/>
          <w:sz w:val="24"/>
        </w:rPr>
        <w:t>如何把图像、三维模型、文本、属性和空间关系转换为统一的区域与模块对象。</w:t>
      </w:r>
    </w:p>
    <w:p>
      <w:pPr>
        <w:pStyle w:val="ListParagraph"/>
        <w:spacing w:lineRule="exact" w:line="480" w:before="0" w:after="0"/>
        <w:ind w:firstLine="0"/>
        <w:numPr>
          <w:ilvl w:val="0"/>
          <w:numId w:val="11"/>
        </w:numPr>
      </w:pPr>
      <w:r>
        <w:rPr>
          <w:rFonts w:ascii="SimSun" w:hAnsi="SimSun" w:eastAsia="宋体" w:cs="SimSun"/>
          <w:b w:val="0"/>
          <w:color w:val="000000"/>
          <w:sz w:val="24"/>
        </w:rPr>
        <w:t>如何在样本不足、遮挡、反光和车型差异条件下提高识别稳定性，并允许人工高效修订。</w:t>
      </w:r>
    </w:p>
    <w:p>
      <w:pPr>
        <w:pStyle w:val="ListParagraph"/>
        <w:spacing w:lineRule="exact" w:line="480" w:before="0" w:after="0"/>
        <w:ind w:firstLine="0"/>
        <w:numPr>
          <w:ilvl w:val="0"/>
          <w:numId w:val="11"/>
        </w:numPr>
      </w:pPr>
      <w:r>
        <w:rPr>
          <w:rFonts w:ascii="SimSun" w:hAnsi="SimSun" w:eastAsia="宋体" w:cs="SimSun"/>
          <w:b w:val="0"/>
          <w:color w:val="000000"/>
          <w:sz w:val="24"/>
        </w:rPr>
        <w:t>如何把生成式能力与参数、规则和工程约束结合，避免产生无法落地的“纯效果图方案”。</w:t>
      </w:r>
    </w:p>
    <w:p>
      <w:pPr>
        <w:pStyle w:val="ListParagraph"/>
        <w:spacing w:lineRule="exact" w:line="480" w:before="0" w:after="0"/>
        <w:ind w:firstLine="0"/>
        <w:numPr>
          <w:ilvl w:val="0"/>
          <w:numId w:val="11"/>
        </w:numPr>
      </w:pPr>
      <w:r>
        <w:rPr>
          <w:rFonts w:ascii="SimSun" w:hAnsi="SimSun" w:eastAsia="宋体" w:cs="SimSun"/>
          <w:b w:val="0"/>
          <w:color w:val="000000"/>
          <w:sz w:val="24"/>
        </w:rPr>
        <w:t>如何处理侧墙、顶部、地板、端墙、座椅和门区之间的接口、风格与装配联动。</w:t>
      </w:r>
    </w:p>
    <w:p>
      <w:pPr>
        <w:pStyle w:val="ListParagraph"/>
        <w:spacing w:lineRule="exact" w:line="480" w:before="0" w:after="0"/>
        <w:ind w:firstLine="0"/>
        <w:numPr>
          <w:ilvl w:val="0"/>
          <w:numId w:val="11"/>
        </w:numPr>
      </w:pPr>
      <w:r>
        <w:rPr>
          <w:rFonts w:ascii="SimSun" w:hAnsi="SimSun" w:eastAsia="宋体" w:cs="SimSun"/>
          <w:b w:val="0"/>
          <w:color w:val="000000"/>
          <w:sz w:val="24"/>
        </w:rPr>
        <w:t>如何让算法、工作流或模型升级不破坏既有平台业务、历史数据和验收证据。</w:t>
      </w:r>
    </w:p>
    <w:p>
      <w:pPr>
        <w:pStyle w:val="ListParagraph"/>
        <w:spacing w:lineRule="exact" w:line="480" w:before="0" w:after="0"/>
        <w:ind w:firstLine="0"/>
        <w:numPr>
          <w:ilvl w:val="0"/>
          <w:numId w:val="11"/>
        </w:numPr>
      </w:pPr>
      <w:r>
        <w:rPr>
          <w:rFonts w:ascii="SimSun" w:hAnsi="SimSun" w:eastAsia="宋体" w:cs="SimSun"/>
          <w:b w:val="0"/>
          <w:color w:val="000000"/>
          <w:sz w:val="24"/>
        </w:rPr>
        <w:t>如何以阶段成果、量化指标和可追溯证据控制平台搭建进度与质量。</w:t>
      </w:r>
    </w:p>
    <w:p>
      <w:pPr>
        <w:pStyle w:val="Heading2"/>
        <w:spacing w:lineRule="exact" w:line="480" w:before="0" w:after="0"/>
        <w:ind w:firstLine="0"/>
      </w:pPr>
      <w:bookmarkStart w:id="14" w:name="report_heading_014"/>
      <w:r>
        <w:rPr>
          <w:rFonts w:ascii="KaiTi" w:hAnsi="KaiTi" w:eastAsia="楷体" w:cs="KaiTi"/>
          <w:b w:val="0"/>
          <w:color w:val="000000"/>
          <w:sz w:val="28"/>
        </w:rPr>
        <w:t>（三）研究成果形态</w:t>
      </w:r>
      <w:bookmarkEnd w:id="14"/>
    </w:p>
    <w:p>
      <w:pPr>
        <w:widowControl/>
        <w:spacing w:lineRule="exact" w:line="480" w:before="0" w:after="0"/>
        <w:ind w:firstLine="480"/>
      </w:pPr>
      <w:r>
        <w:rPr>
          <w:rFonts w:ascii="SimSun" w:hAnsi="SimSun" w:eastAsia="宋体" w:cs="SimSun"/>
          <w:b w:val="0"/>
          <w:color w:val="000000"/>
          <w:sz w:val="24"/>
        </w:rPr>
        <w:t>研究成果不局限于文字报告，还应包括区域与模块分类、数据字典、标注规范、规则清单、参数模板、算法评测集、功能原型、接口规范、测试用例、设计方案样例和阶段评审记录。各成果之间通过统一编号和版本关系建立映射，避免“报告、系统、数据和验收材料各自独立”。</w:t>
      </w:r>
    </w:p>
    <w:p>
      <w:pPr>
        <w:pStyle w:val="Heading1"/>
        <w:spacing w:lineRule="exact" w:line="480" w:before="0" w:after="0"/>
        <w:ind w:firstLine="0"/>
      </w:pPr>
      <w:bookmarkStart w:id="15" w:name="report_heading_015"/>
      <w:r>
        <w:rPr>
          <w:rFonts w:ascii="SimHei" w:hAnsi="SimHei" w:eastAsia="黑体" w:cs="SimHei"/>
          <w:b/>
          <w:color w:val="000000"/>
          <w:sz w:val="28"/>
        </w:rPr>
        <w:t>四、平台总体架构设计</w:t>
      </w:r>
      <w:bookmarkEnd w:id="15"/>
    </w:p>
    <w:p>
      <w:pPr>
        <w:pStyle w:val="Heading2"/>
        <w:spacing w:lineRule="exact" w:line="480" w:before="0" w:after="0"/>
        <w:ind w:firstLine="0"/>
      </w:pPr>
      <w:bookmarkStart w:id="16" w:name="report_heading_016"/>
      <w:r>
        <w:rPr>
          <w:rFonts w:ascii="KaiTi" w:hAnsi="KaiTi" w:eastAsia="楷体" w:cs="KaiTi"/>
          <w:b w:val="0"/>
          <w:color w:val="000000"/>
          <w:sz w:val="28"/>
        </w:rPr>
        <w:t>（一）分层架构</w:t>
      </w:r>
      <w:bookmarkEnd w:id="16"/>
    </w:p>
    <w:p>
      <w:pPr>
        <w:widowControl/>
        <w:spacing w:lineRule="exact" w:line="480" w:before="0" w:after="0"/>
        <w:ind w:firstLine="480"/>
      </w:pPr>
      <w:r>
        <w:rPr>
          <w:rFonts w:ascii="SimSun" w:hAnsi="SimSun" w:eastAsia="宋体" w:cs="SimSun"/>
          <w:b w:val="0"/>
          <w:color w:val="000000"/>
          <w:sz w:val="24"/>
        </w:rPr>
        <w:t>平台采用“应用层—核心能力层—平台支撑层—数据基础层”四层架构。应用层面向设计人员、项目负责人、算法与数据人员、系统管理人员提供场景化工作台；核心能力层封装分区识别、快速设计、规则校核、方案评价和多模态助手；平台支撑层统一处理身份、项目、资源、任务、版本、通知、审计和接口适配；数据基础层保存业务数据、非结构化文件、模块知识、规则和运行记录。</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4" name="Picture 4" descr="图 4 平台四层总体架构"/>
            <wp:cNvGraphicFramePr>
              <a:graphicFrameLocks noChangeAspect="1"/>
            </wp:cNvGraphicFramePr>
            <a:graphic>
              <a:graphicData uri="http://schemas.openxmlformats.org/drawingml/2006/picture">
                <pic:pic>
                  <pic:nvPicPr>
                    <pic:cNvPr id="0" name="v2-figure-04-layered-architecture.png"/>
                    <pic:cNvPicPr/>
                  </pic:nvPicPr>
                  <pic:blipFill>
                    <a:blip r:embed="rId16"/>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4 平台四层总体架构</w:t>
      </w:r>
    </w:p>
    <w:p>
      <w:pPr>
        <w:pStyle w:val="Caption"/>
        <w:keepNext/>
        <w:jc w:val="center"/>
      </w:pPr>
      <w:r>
        <w:rPr>
          <w:rFonts w:ascii="SimSun" w:hAnsi="SimSun" w:eastAsia="宋体" w:cs="SimSun"/>
          <w:color w:val="000000"/>
          <w:sz w:val="24"/>
        </w:rPr>
        <w:t>表 3 平台各层职责与建设重点</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804"/>
        <w:gridCol w:w="3084"/>
        <w:gridCol w:w="3084"/>
      </w:tblGrid>
      <w:tr>
        <w:trPr>
          <w:cantSplit w:val="true"/>
          <w:tblHeader w:val="true"/>
        </w:trPr>
        <w:tc>
          <w:tcPr>
            <w:tcW w:type="dxa" w:w="280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架构层级</w:t>
            </w:r>
          </w:p>
        </w:tc>
        <w:tc>
          <w:tcPr>
            <w:tcW w:type="dxa" w:w="308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主要职责</w:t>
            </w:r>
          </w:p>
        </w:tc>
        <w:tc>
          <w:tcPr>
            <w:tcW w:type="dxa" w:w="308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建设重点</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应用层</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承载分区识别、快速设计、整体布置、CMF设计、方案评审与管理</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统一项目上下文、交互一致、任务状态清晰</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核心能力层</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提供识别、理解、生成、检索、规则校核和评价能力</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业务语义输入输出、人机复核、能力可替换</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平台支撑层</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提供身份权限、项目资源、任务编排、版本、通知、审计和接口适配</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数据隔离、状态一致、失败可解释、全过程留痕</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数据基础层</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管理结构化数据、文件对象、模块知识、规则参数和运行日志</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分类编码、版本关系、备份恢复和访问控制</w:t>
            </w:r>
          </w:p>
        </w:tc>
      </w:tr>
    </w:tbl>
    <w:p>
      <w:pPr>
        <w:pStyle w:val="Heading2"/>
        <w:spacing w:lineRule="exact" w:line="480" w:before="0" w:after="0"/>
        <w:ind w:firstLine="0"/>
      </w:pPr>
      <w:bookmarkStart w:id="17" w:name="report_heading_017"/>
      <w:r>
        <w:rPr>
          <w:rFonts w:ascii="KaiTi" w:hAnsi="KaiTi" w:eastAsia="楷体" w:cs="KaiTi"/>
          <w:b w:val="0"/>
          <w:color w:val="000000"/>
          <w:sz w:val="28"/>
        </w:rPr>
        <w:t>（二）服务边界</w:t>
      </w:r>
      <w:bookmarkEnd w:id="17"/>
    </w:p>
    <w:p>
      <w:pPr>
        <w:widowControl/>
        <w:spacing w:lineRule="exact" w:line="480" w:before="0" w:after="0"/>
        <w:ind w:firstLine="480"/>
      </w:pPr>
      <w:r>
        <w:rPr>
          <w:rFonts w:ascii="SimSun" w:hAnsi="SimSun" w:eastAsia="宋体" w:cs="SimSun"/>
          <w:b w:val="0"/>
          <w:color w:val="000000"/>
          <w:sz w:val="24"/>
        </w:rPr>
        <w:t>浏览器端只负责页面交互、画布操作和结果展示，不直接访问模型服务、计算节点或私有存储。平台服务负责身份校验、项目范围、业务规则、任务编排和成果登记；智能能力服务只接收经过校验的任务输入并返回标准化结果。通过该边界，页面功能、业务数据和算法实现可以独立演进。</w:t>
      </w:r>
    </w:p>
    <w:p>
      <w:pPr>
        <w:pStyle w:val="Heading2"/>
        <w:spacing w:lineRule="exact" w:line="480" w:before="0" w:after="0"/>
        <w:ind w:firstLine="0"/>
      </w:pPr>
      <w:bookmarkStart w:id="18" w:name="report_heading_018"/>
      <w:r>
        <w:rPr>
          <w:rFonts w:ascii="KaiTi" w:hAnsi="KaiTi" w:eastAsia="楷体" w:cs="KaiTi"/>
          <w:b w:val="0"/>
          <w:color w:val="000000"/>
          <w:sz w:val="28"/>
        </w:rPr>
        <w:t>（三）统一对象和业务协议</w:t>
      </w:r>
      <w:bookmarkEnd w:id="18"/>
    </w:p>
    <w:p>
      <w:pPr>
        <w:widowControl/>
        <w:spacing w:lineRule="exact" w:line="480" w:before="0" w:after="0"/>
        <w:ind w:firstLine="480"/>
      </w:pPr>
      <w:r>
        <w:rPr>
          <w:rFonts w:ascii="SimSun" w:hAnsi="SimSun" w:eastAsia="宋体" w:cs="SimSun"/>
          <w:b w:val="0"/>
          <w:color w:val="000000"/>
          <w:sz w:val="24"/>
        </w:rPr>
        <w:t>平台以项目、区域、模块、资源、任务、方案、规则和评价作为核心对象。所有耗时能力统一抽象为任务，所有输入输出统一登记为项目资源，所有正式方案具有版本和评审状态。外部能力接入时只需完成业务参数映射、任务状态转换和结果登记，不把内部节点或服务细节暴露给普通用户。</w:t>
      </w:r>
    </w:p>
    <w:p>
      <w:pPr>
        <w:pStyle w:val="Heading2"/>
        <w:spacing w:lineRule="exact" w:line="480" w:before="0" w:after="0"/>
        <w:ind w:firstLine="0"/>
      </w:pPr>
      <w:bookmarkStart w:id="19" w:name="report_heading_019"/>
      <w:r>
        <w:rPr>
          <w:rFonts w:ascii="KaiTi" w:hAnsi="KaiTi" w:eastAsia="楷体" w:cs="KaiTi"/>
          <w:b w:val="0"/>
          <w:color w:val="000000"/>
          <w:sz w:val="28"/>
        </w:rPr>
        <w:t>（四）部署与扩展架构</w:t>
      </w:r>
      <w:bookmarkEnd w:id="19"/>
    </w:p>
    <w:p>
      <w:pPr>
        <w:widowControl/>
        <w:spacing w:lineRule="exact" w:line="480" w:before="0" w:after="0"/>
        <w:ind w:firstLine="480"/>
      </w:pPr>
      <w:r>
        <w:rPr>
          <w:rFonts w:ascii="SimSun" w:hAnsi="SimSun" w:eastAsia="宋体" w:cs="SimSun"/>
          <w:b w:val="0"/>
          <w:color w:val="000000"/>
          <w:sz w:val="24"/>
        </w:rPr>
        <w:t>部署方案按照访问入口、平台服务区、能力服务区、数据基础设施区和计算资源区进行逻辑分区。各区域之间采用受控接口通信，敏感配置和密钥仅保存在服务端；计算密集型能力可根据任务规模独立扩容。系统应支持开发、测试和生产环境隔离，并形成备份、恢复、监控和升级回退方案。</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5" name="Picture 5" descr="图 5 平台服务边界与部署拓扑"/>
            <wp:cNvGraphicFramePr>
              <a:graphicFrameLocks noChangeAspect="1"/>
            </wp:cNvGraphicFramePr>
            <a:graphic>
              <a:graphicData uri="http://schemas.openxmlformats.org/drawingml/2006/picture">
                <pic:pic>
                  <pic:nvPicPr>
                    <pic:cNvPr id="0" name="v2-figure-05-deployment-boundary.png"/>
                    <pic:cNvPicPr/>
                  </pic:nvPicPr>
                  <pic:blipFill>
                    <a:blip r:embed="rId17"/>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5 平台服务边界与部署拓扑</w:t>
      </w:r>
    </w:p>
    <w:p>
      <w:pPr>
        <w:pStyle w:val="Heading1"/>
        <w:spacing w:lineRule="exact" w:line="480" w:before="0" w:after="0"/>
        <w:ind w:firstLine="0"/>
      </w:pPr>
      <w:bookmarkStart w:id="20" w:name="report_heading_020"/>
      <w:r>
        <w:rPr>
          <w:rFonts w:ascii="SimHei" w:hAnsi="SimHei" w:eastAsia="黑体" w:cs="SimHei"/>
          <w:b/>
          <w:color w:val="000000"/>
          <w:sz w:val="28"/>
        </w:rPr>
        <w:t>五、内装模块分区识别关键技术</w:t>
      </w:r>
      <w:bookmarkEnd w:id="20"/>
    </w:p>
    <w:p>
      <w:pPr>
        <w:pStyle w:val="Heading2"/>
        <w:spacing w:lineRule="exact" w:line="480" w:before="0" w:after="0"/>
        <w:ind w:firstLine="0"/>
      </w:pPr>
      <w:bookmarkStart w:id="21" w:name="report_heading_021"/>
      <w:r>
        <w:rPr>
          <w:rFonts w:ascii="KaiTi" w:hAnsi="KaiTi" w:eastAsia="楷体" w:cs="KaiTi"/>
          <w:b w:val="0"/>
          <w:color w:val="000000"/>
          <w:sz w:val="28"/>
        </w:rPr>
        <w:t>（一）区域与模块对象模型</w:t>
      </w:r>
      <w:bookmarkEnd w:id="21"/>
    </w:p>
    <w:p>
      <w:pPr>
        <w:widowControl/>
        <w:spacing w:lineRule="exact" w:line="480" w:before="0" w:after="0"/>
        <w:ind w:firstLine="480"/>
      </w:pPr>
      <w:r>
        <w:rPr>
          <w:rFonts w:ascii="SimSun" w:hAnsi="SimSun" w:eastAsia="宋体" w:cs="SimSun"/>
          <w:b w:val="0"/>
          <w:color w:val="000000"/>
          <w:sz w:val="24"/>
        </w:rPr>
        <w:t>分区识别首先是业务对象建模问题。平台应按空间位置、功能边界、装配关系和设计任务划分侧墙、顶部、地板、端墙、座椅、车门周边等区域，并在区域下组织系统级、子系统级、组件级和零件级模块。每个对象至少包含名称、编码、类别、适用车型、空间范围、接口、材料、颜色、纹理、版本和来源信息。</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6" name="Picture 6" descr="图 6 客室内装四级模块对象体系"/>
            <wp:cNvGraphicFramePr>
              <a:graphicFrameLocks noChangeAspect="1"/>
            </wp:cNvGraphicFramePr>
            <a:graphic>
              <a:graphicData uri="http://schemas.openxmlformats.org/drawingml/2006/picture">
                <pic:pic>
                  <pic:nvPicPr>
                    <pic:cNvPr id="0" name="v2-figure-06-module-hierarchy.png"/>
                    <pic:cNvPicPr/>
                  </pic:nvPicPr>
                  <pic:blipFill>
                    <a:blip r:embed="rId18"/>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6 客室内装四级模块对象体系</w:t>
      </w:r>
    </w:p>
    <w:p>
      <w:pPr>
        <w:pStyle w:val="Caption"/>
        <w:keepNext/>
        <w:jc w:val="center"/>
      </w:pPr>
      <w:r>
        <w:rPr>
          <w:rFonts w:ascii="SimSun" w:hAnsi="SimSun" w:eastAsia="宋体" w:cs="SimSun"/>
          <w:color w:val="000000"/>
          <w:sz w:val="24"/>
        </w:rPr>
        <w:t>表 4 典型区域的识别对象与设计关注点</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1751"/>
        <w:gridCol w:w="2407"/>
        <w:gridCol w:w="2407"/>
        <w:gridCol w:w="2407"/>
      </w:tblGrid>
      <w:tr>
        <w:trPr>
          <w:cantSplit w:val="true"/>
          <w:tblHeader w:val="true"/>
        </w:trPr>
        <w:tc>
          <w:tcPr>
            <w:tcW w:type="dxa" w:w="175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客室区域</w:t>
            </w:r>
          </w:p>
        </w:tc>
        <w:tc>
          <w:tcPr>
            <w:tcW w:type="dxa" w:w="2407"/>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主要识别对象</w:t>
            </w:r>
          </w:p>
        </w:tc>
        <w:tc>
          <w:tcPr>
            <w:tcW w:type="dxa" w:w="2407"/>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关键属性</w:t>
            </w:r>
          </w:p>
        </w:tc>
        <w:tc>
          <w:tcPr>
            <w:tcW w:type="dxa" w:w="2407"/>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跨区域关系</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侧墙</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墙板、窗带、装饰带、检修构件</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边界、开口、材质、色彩、安装接口</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与顶部、地板、座椅和窗区衔接</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顶部</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顶板、灯带、风口、扶手安装区</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高度、分段、设备避让、照明关系</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与侧墙、端墙和设备区协调</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地板</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地板面、分区铺装、设备固定区</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通道、拼接、耐磨、防滑、清洁</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与座椅、门区和端墙过渡</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端墙</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端墙板、显示区、设备门、贯通区</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开口、检修、信息显示、视觉中心</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与侧墙、顶部和通道关系</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座椅</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座椅单元、扶手、桌板、固定点</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布置、间距、方向、材料与维护</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与地板固定、侧墙距离和通道净宽相关</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车门周边</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门框、门套、踏步、提示与防护构件</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安全边界、开启范围、警示与耐久</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与侧墙、地板、通道和无障碍要求相关</w:t>
            </w:r>
          </w:p>
        </w:tc>
      </w:tr>
    </w:tbl>
    <w:p>
      <w:pPr>
        <w:pStyle w:val="Heading2"/>
        <w:spacing w:lineRule="exact" w:line="480" w:before="0" w:after="0"/>
        <w:ind w:firstLine="0"/>
      </w:pPr>
      <w:bookmarkStart w:id="22" w:name="report_heading_022"/>
      <w:r>
        <w:rPr>
          <w:rFonts w:ascii="KaiTi" w:hAnsi="KaiTi" w:eastAsia="楷体" w:cs="KaiTi"/>
          <w:b w:val="0"/>
          <w:color w:val="000000"/>
          <w:sz w:val="28"/>
        </w:rPr>
        <w:t>（二）多模态输入与预处理</w:t>
      </w:r>
      <w:bookmarkEnd w:id="22"/>
    </w:p>
    <w:p>
      <w:pPr>
        <w:widowControl/>
        <w:spacing w:lineRule="exact" w:line="480" w:before="0" w:after="0"/>
        <w:ind w:firstLine="480"/>
      </w:pPr>
      <w:r>
        <w:rPr>
          <w:rFonts w:ascii="SimSun" w:hAnsi="SimSun" w:eastAsia="宋体" w:cs="SimSun"/>
          <w:b w:val="0"/>
          <w:color w:val="000000"/>
          <w:sz w:val="24"/>
        </w:rPr>
        <w:t>识别数据包括客室照片、效果图、二维图纸、三维模型、部件清单、设计说明、材料属性和历史方案。数据进入识别流程前应完成格式检查、去重、质量分级、坐标或视角对齐、敏感信息处理和版本登记。低质量或来源不明的数据不得直接进入正式训练集和验收集。</w:t>
      </w:r>
    </w:p>
    <w:p>
      <w:pPr>
        <w:pStyle w:val="Caption"/>
        <w:keepNext/>
        <w:jc w:val="center"/>
      </w:pPr>
      <w:r>
        <w:rPr>
          <w:rFonts w:ascii="SimSun" w:hAnsi="SimSun" w:eastAsia="宋体" w:cs="SimSun"/>
          <w:color w:val="000000"/>
          <w:sz w:val="24"/>
        </w:rPr>
        <w:t>表 5 多模态数据的处理方式</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243"/>
        <w:gridCol w:w="2243"/>
        <w:gridCol w:w="2243"/>
        <w:gridCol w:w="2243"/>
      </w:tblGrid>
      <w:tr>
        <w:trPr>
          <w:cantSplit w:val="true"/>
          <w:tblHeader w:val="true"/>
        </w:trPr>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数据类型</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可提取信息</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预处理重点</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主要用途</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图像与效果图</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区域边界、部件外观、材质色彩、遮挡关系</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去畸变、裁切、质量评估、视角标记</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检测、分割、外观理解与结果对比</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二维图纸</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轮廓、尺寸、编号、空间与接口</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图层整理、比例确认、文字识别</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几何校核和区域边界辅助</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三维模型</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几何、层级、装配和空间关系</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坐标统一、轻量化、属性映射</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模块定位、干涉分析和整体布置</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文本资料</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部件名称、功能、约束、市场和风格要求</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术语归一、条款切分、实体提取</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语义补充、规则建立和设计意图理解</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结构化属性</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编码、车型、材料、供应和版本</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字段映射、完整性和一致性校验</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对象关联、检索和规则判断</w:t>
            </w:r>
          </w:p>
        </w:tc>
      </w:tr>
    </w:tbl>
    <w:p>
      <w:pPr>
        <w:pStyle w:val="Heading2"/>
        <w:spacing w:lineRule="exact" w:line="480" w:before="0" w:after="0"/>
        <w:ind w:firstLine="0"/>
      </w:pPr>
      <w:bookmarkStart w:id="23" w:name="report_heading_023"/>
      <w:r>
        <w:rPr>
          <w:rFonts w:ascii="KaiTi" w:hAnsi="KaiTi" w:eastAsia="楷体" w:cs="KaiTi"/>
          <w:b w:val="0"/>
          <w:color w:val="000000"/>
          <w:sz w:val="28"/>
        </w:rPr>
        <w:t>（三）候选识别与多模态融合</w:t>
      </w:r>
      <w:bookmarkEnd w:id="23"/>
    </w:p>
    <w:p>
      <w:pPr>
        <w:widowControl/>
        <w:spacing w:lineRule="exact" w:line="480" w:before="0" w:after="0"/>
        <w:ind w:firstLine="480"/>
      </w:pPr>
      <w:r>
        <w:rPr>
          <w:rFonts w:ascii="SimSun" w:hAnsi="SimSun" w:eastAsia="宋体" w:cs="SimSun"/>
          <w:b w:val="0"/>
          <w:color w:val="000000"/>
          <w:sz w:val="24"/>
        </w:rPr>
        <w:t>候选识别可组合目标检测、语义分割、实例分割、文字识别、视觉特征提取和相似度检索等方法。不同方法输出的类别、边界、置信度和语义描述先转换为统一候选对象，再结合区域先验、模块属性、空间邻接和文本要求进行融合。融合结果应保留证据来源和置信信息，便于人工判断。</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7" name="Picture 7" descr="图 7 多模态分区识别技术流程"/>
            <wp:cNvGraphicFramePr>
              <a:graphicFrameLocks noChangeAspect="1"/>
            </wp:cNvGraphicFramePr>
            <a:graphic>
              <a:graphicData uri="http://schemas.openxmlformats.org/drawingml/2006/picture">
                <pic:pic>
                  <pic:nvPicPr>
                    <pic:cNvPr id="0" name="v2-figure-07-multimodal-recognition.png"/>
                    <pic:cNvPicPr/>
                  </pic:nvPicPr>
                  <pic:blipFill>
                    <a:blip r:embed="rId19"/>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7 多模态分区识别技术流程</w:t>
      </w:r>
    </w:p>
    <w:p>
      <w:pPr>
        <w:pStyle w:val="Heading2"/>
        <w:spacing w:lineRule="exact" w:line="480" w:before="0" w:after="0"/>
        <w:ind w:firstLine="0"/>
      </w:pPr>
      <w:bookmarkStart w:id="24" w:name="report_heading_024"/>
      <w:r>
        <w:rPr>
          <w:rFonts w:ascii="KaiTi" w:hAnsi="KaiTi" w:eastAsia="楷体" w:cs="KaiTi"/>
          <w:b w:val="0"/>
          <w:color w:val="000000"/>
          <w:sz w:val="28"/>
        </w:rPr>
        <w:t>（四）人机协同复核</w:t>
      </w:r>
      <w:bookmarkEnd w:id="24"/>
    </w:p>
    <w:p>
      <w:pPr>
        <w:widowControl/>
        <w:spacing w:lineRule="exact" w:line="480" w:before="0" w:after="0"/>
        <w:ind w:firstLine="480"/>
      </w:pPr>
      <w:r>
        <w:rPr>
          <w:rFonts w:ascii="SimSun" w:hAnsi="SimSun" w:eastAsia="宋体" w:cs="SimSun"/>
          <w:b w:val="0"/>
          <w:color w:val="000000"/>
          <w:sz w:val="24"/>
        </w:rPr>
        <w:t>自动识别的目标不是完全替代设计人员，而是降低定位、描边、归类和资料检索的重复劳动。系统可按置信度和规则冲突情况分流：高置信且无冲突的候选进入快速确认，中等置信候选进入重点复核，低置信或违反硬约束的候选要求重新标注。人工修订应保留原始候选、修订内容、确认人和时间，形成可用于后续优化的数据闭环。</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8" name="Picture 8" descr="图 8 识别结果的人机协同决策逻辑"/>
            <wp:cNvGraphicFramePr>
              <a:graphicFrameLocks noChangeAspect="1"/>
            </wp:cNvGraphicFramePr>
            <a:graphic>
              <a:graphicData uri="http://schemas.openxmlformats.org/drawingml/2006/picture">
                <pic:pic>
                  <pic:nvPicPr>
                    <pic:cNvPr id="0" name="v2-figure-08-human-review.png"/>
                    <pic:cNvPicPr/>
                  </pic:nvPicPr>
                  <pic:blipFill>
                    <a:blip r:embed="rId20"/>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8 识别结果的人机协同决策逻辑</w:t>
      </w:r>
    </w:p>
    <w:p>
      <w:pPr>
        <w:pStyle w:val="Heading2"/>
        <w:spacing w:lineRule="exact" w:line="480" w:before="0" w:after="0"/>
        <w:ind w:firstLine="0"/>
      </w:pPr>
      <w:bookmarkStart w:id="25" w:name="report_heading_025"/>
      <w:r>
        <w:rPr>
          <w:rFonts w:ascii="KaiTi" w:hAnsi="KaiTi" w:eastAsia="楷体" w:cs="KaiTi"/>
          <w:b w:val="0"/>
          <w:color w:val="000000"/>
          <w:sz w:val="28"/>
        </w:rPr>
        <w:t>（五）识别数据集与评价指标</w:t>
      </w:r>
      <w:bookmarkEnd w:id="25"/>
    </w:p>
    <w:p>
      <w:pPr>
        <w:widowControl/>
        <w:spacing w:lineRule="exact" w:line="480" w:before="0" w:after="0"/>
        <w:ind w:firstLine="480"/>
      </w:pPr>
      <w:r>
        <w:rPr>
          <w:rFonts w:ascii="SimSun" w:hAnsi="SimSun" w:eastAsia="宋体" w:cs="SimSun"/>
          <w:b w:val="0"/>
          <w:color w:val="000000"/>
          <w:sz w:val="24"/>
        </w:rPr>
        <w:t>数据集应按车型、区域、视角、光照、遮挡、图像质量和来源进行分层，训练、验证和测试样本按项目或场景隔离，避免相近图片同时出现在不同集合。评价既关注算法精度，也关注人工修订成本和设计任务可用性。</w:t>
      </w:r>
    </w:p>
    <w:p>
      <w:pPr>
        <w:pStyle w:val="Caption"/>
        <w:keepNext/>
        <w:jc w:val="center"/>
      </w:pPr>
      <w:r>
        <w:rPr>
          <w:rFonts w:ascii="SimSun" w:hAnsi="SimSun" w:eastAsia="宋体" w:cs="SimSun"/>
          <w:color w:val="000000"/>
          <w:sz w:val="24"/>
        </w:rPr>
        <w:t>表 6 分区识别建议评价指标</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991"/>
        <w:gridCol w:w="2991"/>
        <w:gridCol w:w="2990"/>
      </w:tblGrid>
      <w:tr>
        <w:trPr>
          <w:cantSplit w:val="true"/>
          <w:tblHeader w:val="true"/>
        </w:trPr>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指标类别</w:t>
            </w:r>
          </w:p>
        </w:tc>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指标示例</w:t>
            </w:r>
          </w:p>
        </w:tc>
        <w:tc>
          <w:tcPr>
            <w:tcW w:type="dxa" w:w="2990"/>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评价目的</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类别识别</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准确率、召回率、F1值</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判断模块和区域类别识别能力</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区域分割</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交并比、平均交并比、边界F值</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判断区域覆盖和边界质量</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小目标与遮挡</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小目标召回率、遮挡场景召回率</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判断复杂客室场景适应性</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人机效率</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单图确认时间、边界修订量、重标率</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判断识别结果是否真正降低人工成本</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业务可用性</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可进入设计任务比例、规则冲突率</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判断输出是否满足后续快速设计需要</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稳定性</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不同车型、视角和光照下的指标波动</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判断跨场景泛化能力</w:t>
            </w:r>
          </w:p>
        </w:tc>
      </w:tr>
    </w:tbl>
    <w:p>
      <w:pPr>
        <w:pStyle w:val="Heading1"/>
        <w:spacing w:lineRule="exact" w:line="480" w:before="0" w:after="0"/>
        <w:ind w:firstLine="0"/>
      </w:pPr>
      <w:bookmarkStart w:id="26" w:name="report_heading_026"/>
      <w:r>
        <w:rPr>
          <w:rFonts w:ascii="SimHei" w:hAnsi="SimHei" w:eastAsia="黑体" w:cs="SimHei"/>
          <w:b/>
          <w:color w:val="000000"/>
          <w:sz w:val="28"/>
        </w:rPr>
        <w:t>六、多模态应用关键技术</w:t>
      </w:r>
      <w:bookmarkEnd w:id="26"/>
    </w:p>
    <w:p>
      <w:pPr>
        <w:pStyle w:val="Heading2"/>
        <w:spacing w:lineRule="exact" w:line="480" w:before="0" w:after="0"/>
        <w:ind w:firstLine="0"/>
      </w:pPr>
      <w:bookmarkStart w:id="27" w:name="report_heading_027"/>
      <w:r>
        <w:rPr>
          <w:rFonts w:ascii="KaiTi" w:hAnsi="KaiTi" w:eastAsia="楷体" w:cs="KaiTi"/>
          <w:b w:val="0"/>
          <w:color w:val="000000"/>
          <w:sz w:val="28"/>
        </w:rPr>
        <w:t>（一）多模态能力定位</w:t>
      </w:r>
      <w:bookmarkEnd w:id="27"/>
    </w:p>
    <w:p>
      <w:pPr>
        <w:widowControl/>
        <w:spacing w:lineRule="exact" w:line="480" w:before="0" w:after="0"/>
        <w:ind w:firstLine="480"/>
      </w:pPr>
      <w:r>
        <w:rPr>
          <w:rFonts w:ascii="SimSun" w:hAnsi="SimSun" w:eastAsia="宋体" w:cs="SimSun"/>
          <w:b w:val="0"/>
          <w:color w:val="000000"/>
          <w:sz w:val="24"/>
        </w:rPr>
        <w:t>多模态能力用于理解不同资料之间的互补关系，而不是简单把图像和文字同时提交给模型。平台应建立统一的项目术语、区域编码和模块编码，使图像中的候选区域、图纸中的编号、三维模型中的节点、文本中的部件名称能够映射到同一业务对象。</w:t>
      </w:r>
    </w:p>
    <w:p>
      <w:pPr>
        <w:pStyle w:val="Heading2"/>
        <w:spacing w:lineRule="exact" w:line="480" w:before="0" w:after="0"/>
        <w:ind w:firstLine="0"/>
      </w:pPr>
      <w:bookmarkStart w:id="28" w:name="report_heading_028"/>
      <w:r>
        <w:rPr>
          <w:rFonts w:ascii="KaiTi" w:hAnsi="KaiTi" w:eastAsia="楷体" w:cs="KaiTi"/>
          <w:b w:val="0"/>
          <w:color w:val="000000"/>
          <w:sz w:val="28"/>
        </w:rPr>
        <w:t>（二）语义对齐与知识增强</w:t>
      </w:r>
      <w:bookmarkEnd w:id="28"/>
    </w:p>
    <w:p>
      <w:pPr>
        <w:widowControl/>
        <w:spacing w:lineRule="exact" w:line="480" w:before="0" w:after="0"/>
        <w:ind w:firstLine="480"/>
      </w:pPr>
      <w:r>
        <w:rPr>
          <w:rFonts w:ascii="SimSun" w:hAnsi="SimSun" w:eastAsia="宋体" w:cs="SimSun"/>
          <w:b w:val="0"/>
          <w:color w:val="000000"/>
          <w:sz w:val="24"/>
        </w:rPr>
        <w:t>系统可通过术语词典、模块知识库、向量检索和规则库为多模态理解提供上下文。模型生成的描述或分类结果需要经过对象词典和项目范围校验，不能引用无权限资料。对设计问答和资料推荐，应同时返回关联对象、来源和适用范围，便于设计人员判断可靠性。</w:t>
      </w:r>
    </w:p>
    <w:p>
      <w:pPr>
        <w:pStyle w:val="Heading2"/>
        <w:spacing w:lineRule="exact" w:line="480" w:before="0" w:after="0"/>
        <w:ind w:firstLine="0"/>
      </w:pPr>
      <w:bookmarkStart w:id="29" w:name="report_heading_029"/>
      <w:r>
        <w:rPr>
          <w:rFonts w:ascii="KaiTi" w:hAnsi="KaiTi" w:eastAsia="楷体" w:cs="KaiTi"/>
          <w:b w:val="0"/>
          <w:color w:val="000000"/>
          <w:sz w:val="28"/>
        </w:rPr>
        <w:t>（三）能力编排</w:t>
      </w:r>
      <w:bookmarkEnd w:id="29"/>
    </w:p>
    <w:p>
      <w:pPr>
        <w:widowControl/>
        <w:spacing w:lineRule="exact" w:line="480" w:before="0" w:after="0"/>
        <w:ind w:firstLine="480"/>
      </w:pPr>
      <w:r>
        <w:rPr>
          <w:rFonts w:ascii="SimSun" w:hAnsi="SimSun" w:eastAsia="宋体" w:cs="SimSun"/>
          <w:b w:val="0"/>
          <w:color w:val="000000"/>
          <w:sz w:val="24"/>
        </w:rPr>
        <w:t>复杂任务通常由多个能力协同完成。例如“根据端墙参考图修改材质并保持设备开口”需要依次完成对象识别、区域确认、参考资料检索、设计参数生成、局部方案生成、结构保持检查和人工评审。平台通过统一任务编排管理各步骤的输入、状态、超时、失败和输出，使单项能力可以替换而不改变完整业务流程。</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9" name="Picture 9" descr="图 9 多模态能力编排与结果约束"/>
            <wp:cNvGraphicFramePr>
              <a:graphicFrameLocks noChangeAspect="1"/>
            </wp:cNvGraphicFramePr>
            <a:graphic>
              <a:graphicData uri="http://schemas.openxmlformats.org/drawingml/2006/picture">
                <pic:pic>
                  <pic:nvPicPr>
                    <pic:cNvPr id="0" name="v2-figure-09-capability-orchestration.png"/>
                    <pic:cNvPicPr/>
                  </pic:nvPicPr>
                  <pic:blipFill>
                    <a:blip r:embed="rId21"/>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9 多模态能力编排与结果约束</w:t>
      </w:r>
    </w:p>
    <w:p>
      <w:pPr>
        <w:pStyle w:val="Heading2"/>
        <w:spacing w:lineRule="exact" w:line="480" w:before="0" w:after="0"/>
        <w:ind w:firstLine="0"/>
      </w:pPr>
      <w:bookmarkStart w:id="30" w:name="report_heading_030"/>
      <w:r>
        <w:rPr>
          <w:rFonts w:ascii="KaiTi" w:hAnsi="KaiTi" w:eastAsia="楷体" w:cs="KaiTi"/>
          <w:b w:val="0"/>
          <w:color w:val="000000"/>
          <w:sz w:val="28"/>
        </w:rPr>
        <w:t>（四）模型选型与评测</w:t>
      </w:r>
      <w:bookmarkEnd w:id="30"/>
    </w:p>
    <w:p>
      <w:pPr>
        <w:widowControl/>
        <w:spacing w:lineRule="exact" w:line="480" w:before="0" w:after="0"/>
        <w:ind w:firstLine="480"/>
      </w:pPr>
      <w:r>
        <w:rPr>
          <w:rFonts w:ascii="SimSun" w:hAnsi="SimSun" w:eastAsia="宋体" w:cs="SimSun"/>
          <w:b w:val="0"/>
          <w:color w:val="000000"/>
          <w:sz w:val="24"/>
        </w:rPr>
        <w:t>模型选型应以能力类别、数据安全、中文理解、结构保持、部署条件、响应时间和综合成本为依据，不在业务页面中绑定单一模型。正式选型前使用代表性样例开展对比试验，记录输入条件、模型配置、输出质量、失败类型和设计人员评价。影响尺寸、接口、装配和安全的结论必须由结构化规则或专业人员确认。</w:t>
      </w:r>
    </w:p>
    <w:p>
      <w:pPr>
        <w:pStyle w:val="Heading1"/>
        <w:spacing w:lineRule="exact" w:line="480" w:before="0" w:after="0"/>
        <w:ind w:firstLine="0"/>
      </w:pPr>
      <w:bookmarkStart w:id="31" w:name="report_heading_031"/>
      <w:r>
        <w:rPr>
          <w:rFonts w:ascii="SimHei" w:hAnsi="SimHei" w:eastAsia="黑体" w:cs="SimHei"/>
          <w:b/>
          <w:color w:val="000000"/>
          <w:sz w:val="28"/>
        </w:rPr>
        <w:t>七、快速设计系统关键技术</w:t>
      </w:r>
      <w:bookmarkEnd w:id="31"/>
    </w:p>
    <w:p>
      <w:pPr>
        <w:pStyle w:val="Heading2"/>
        <w:spacing w:lineRule="exact" w:line="480" w:before="0" w:after="0"/>
        <w:ind w:firstLine="0"/>
      </w:pPr>
      <w:bookmarkStart w:id="32" w:name="report_heading_032"/>
      <w:r>
        <w:rPr>
          <w:rFonts w:ascii="KaiTi" w:hAnsi="KaiTi" w:eastAsia="楷体" w:cs="KaiTi"/>
          <w:b w:val="0"/>
          <w:color w:val="000000"/>
          <w:sz w:val="28"/>
        </w:rPr>
        <w:t>（一）模块化、参数化与规则化</w:t>
      </w:r>
      <w:bookmarkEnd w:id="32"/>
    </w:p>
    <w:p>
      <w:pPr>
        <w:widowControl/>
        <w:spacing w:lineRule="exact" w:line="480" w:before="0" w:after="0"/>
        <w:ind w:firstLine="480"/>
      </w:pPr>
      <w:r>
        <w:rPr>
          <w:rFonts w:ascii="SimSun" w:hAnsi="SimSun" w:eastAsia="宋体" w:cs="SimSun"/>
          <w:b w:val="0"/>
          <w:color w:val="000000"/>
          <w:sz w:val="24"/>
        </w:rPr>
        <w:t>快速设计的基础是把可复用模块、可调整参数和必须满足的规则分开管理。模块定义“可选什么”，参数定义“可以怎样调整”，规则定义“哪些组合允许进入正式评审”。三者共同作用，使设计方案既具有生成式探索空间，又保持工程边界。</w:t>
      </w:r>
    </w:p>
    <w:p>
      <w:pPr>
        <w:pStyle w:val="Heading2"/>
        <w:spacing w:lineRule="exact" w:line="480" w:before="0" w:after="0"/>
        <w:ind w:firstLine="0"/>
      </w:pPr>
      <w:bookmarkStart w:id="33" w:name="report_heading_033"/>
      <w:r>
        <w:rPr>
          <w:rFonts w:ascii="KaiTi" w:hAnsi="KaiTi" w:eastAsia="楷体" w:cs="KaiTi"/>
          <w:b w:val="0"/>
          <w:color w:val="000000"/>
          <w:sz w:val="28"/>
        </w:rPr>
        <w:t>（二）快速设计流程</w:t>
      </w:r>
      <w:bookmarkEnd w:id="33"/>
    </w:p>
    <w:p>
      <w:pPr>
        <w:widowControl/>
        <w:spacing w:lineRule="exact" w:line="480" w:before="0" w:after="0"/>
        <w:ind w:firstLine="480"/>
      </w:pPr>
      <w:r>
        <w:rPr>
          <w:rFonts w:ascii="SimSun" w:hAnsi="SimSun" w:eastAsia="宋体" w:cs="SimSun"/>
          <w:b w:val="0"/>
          <w:color w:val="000000"/>
          <w:sz w:val="24"/>
        </w:rPr>
        <w:t>设计人员在项目和目标区域下选择模块或历史方案，配置形态、材质、色彩、纹理及业务参数，系统生成候选方案并执行规则校核。通过的方案进入对比评价，不通过的方案返回冲突原因和调整建议。人工确认后的结果形成新版本并进入成果库，可继续深化或复用于其他项目。</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10" name="Picture 10" descr="图 10 快速设计引擎与方案闭环"/>
            <wp:cNvGraphicFramePr>
              <a:graphicFrameLocks noChangeAspect="1"/>
            </wp:cNvGraphicFramePr>
            <a:graphic>
              <a:graphicData uri="http://schemas.openxmlformats.org/drawingml/2006/picture">
                <pic:pic>
                  <pic:nvPicPr>
                    <pic:cNvPr id="0" name="v2-figure-10-rapid-design-engine.png"/>
                    <pic:cNvPicPr/>
                  </pic:nvPicPr>
                  <pic:blipFill>
                    <a:blip r:embed="rId22"/>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10 快速设计引擎与方案闭环</w:t>
      </w:r>
    </w:p>
    <w:p>
      <w:pPr>
        <w:pStyle w:val="Heading2"/>
        <w:spacing w:lineRule="exact" w:line="480" w:before="0" w:after="0"/>
        <w:ind w:firstLine="0"/>
      </w:pPr>
      <w:bookmarkStart w:id="34" w:name="report_heading_034"/>
      <w:r>
        <w:rPr>
          <w:rFonts w:ascii="KaiTi" w:hAnsi="KaiTi" w:eastAsia="楷体" w:cs="KaiTi"/>
          <w:b w:val="0"/>
          <w:color w:val="000000"/>
          <w:sz w:val="28"/>
        </w:rPr>
        <w:t>（三）规则与约束体系</w:t>
      </w:r>
      <w:bookmarkEnd w:id="34"/>
    </w:p>
    <w:p>
      <w:pPr>
        <w:widowControl/>
        <w:spacing w:lineRule="exact" w:line="480" w:before="0" w:after="0"/>
        <w:ind w:firstLine="480"/>
      </w:pPr>
      <w:r>
        <w:rPr>
          <w:rFonts w:ascii="SimSun" w:hAnsi="SimSun" w:eastAsia="宋体" w:cs="SimSun"/>
          <w:b w:val="0"/>
          <w:color w:val="000000"/>
          <w:sz w:val="24"/>
        </w:rPr>
        <w:t>规则体系分为硬约束、条件规则和软目标。硬约束包括区域边界、接口尺寸、设备避让、通道与安全要求，不满足时阻止方案进入正式评审；条件规则由车型、市场、材料、供应或维护条件触发；软目标用于评价美观、协调、独特性、制造与维护便利性。</w:t>
      </w:r>
    </w:p>
    <w:p>
      <w:pPr>
        <w:pStyle w:val="Caption"/>
        <w:keepNext/>
        <w:jc w:val="center"/>
      </w:pPr>
      <w:r>
        <w:rPr>
          <w:rFonts w:ascii="SimSun" w:hAnsi="SimSun" w:eastAsia="宋体" w:cs="SimSun"/>
          <w:color w:val="000000"/>
          <w:sz w:val="24"/>
        </w:rPr>
        <w:t>表 7 设计约束分类与处理策略</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1751"/>
        <w:gridCol w:w="2407"/>
        <w:gridCol w:w="2407"/>
        <w:gridCol w:w="2407"/>
      </w:tblGrid>
      <w:tr>
        <w:trPr>
          <w:cantSplit w:val="true"/>
          <w:tblHeader w:val="true"/>
        </w:trPr>
        <w:tc>
          <w:tcPr>
            <w:tcW w:type="dxa" w:w="175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约束类别</w:t>
            </w:r>
          </w:p>
        </w:tc>
        <w:tc>
          <w:tcPr>
            <w:tcW w:type="dxa" w:w="2407"/>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典型内容</w:t>
            </w:r>
          </w:p>
        </w:tc>
        <w:tc>
          <w:tcPr>
            <w:tcW w:type="dxa" w:w="2407"/>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系统处理方式</w:t>
            </w:r>
          </w:p>
        </w:tc>
        <w:tc>
          <w:tcPr>
            <w:tcW w:type="dxa" w:w="2407"/>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结果表达</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硬约束</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边界、尺寸、接口、干涉、安全和法规要求</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自动校核，失败则阻断</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冲突对象、规则依据和修改建议</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条件规则</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车型、市场、材料、供应和维护条件</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条件触发，限制选项或参数范围</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触发条件、可选范围和替代项</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软目标</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美观、色彩协调、独特性、成本、复用率</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多目标评分和排序</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分项得分、权重和综合评价</w:t>
            </w:r>
          </w:p>
        </w:tc>
      </w:tr>
      <w:tr>
        <w:trPr>
          <w:cantSplit w:val="true"/>
        </w:trPr>
        <w:tc>
          <w:tcPr>
            <w:tcW w:type="dxa" w:w="175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人工判断</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风格取舍、品牌表达和例外批准</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评审确认并记录理由</w:t>
            </w:r>
          </w:p>
        </w:tc>
        <w:tc>
          <w:tcPr>
            <w:tcW w:type="dxa" w:w="240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评审结论、责任人和适用范围</w:t>
            </w:r>
          </w:p>
        </w:tc>
      </w:tr>
    </w:tbl>
    <w:p>
      <w:pPr>
        <w:pStyle w:val="Heading2"/>
        <w:spacing w:lineRule="exact" w:line="480" w:before="0" w:after="0"/>
        <w:ind w:firstLine="0"/>
      </w:pPr>
      <w:bookmarkStart w:id="35" w:name="report_heading_035"/>
      <w:r>
        <w:rPr>
          <w:rFonts w:ascii="KaiTi" w:hAnsi="KaiTi" w:eastAsia="楷体" w:cs="KaiTi"/>
          <w:b w:val="0"/>
          <w:color w:val="000000"/>
          <w:sz w:val="28"/>
        </w:rPr>
        <w:t>（四）跨区域协同优化</w:t>
      </w:r>
      <w:bookmarkEnd w:id="35"/>
    </w:p>
    <w:p>
      <w:pPr>
        <w:widowControl/>
        <w:spacing w:lineRule="exact" w:line="480" w:before="0" w:after="0"/>
        <w:ind w:firstLine="480"/>
      </w:pPr>
      <w:r>
        <w:rPr>
          <w:rFonts w:ascii="SimSun" w:hAnsi="SimSun" w:eastAsia="宋体" w:cs="SimSun"/>
          <w:b w:val="0"/>
          <w:color w:val="000000"/>
          <w:sz w:val="24"/>
        </w:rPr>
        <w:t>客室各区域通过空间邻接、装配接口、功能影响和视觉连续性形成区域依赖图。局部调整后，系统识别受影响的相邻区域和关联模块，执行接口、材质、色彩、纹理和整体风格检查。优化过程采用“硬约束先过滤、条件规则再限制、软目标后排序、人工评审最终确认”的顺序。</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11" name="Picture 11" descr="图 11 跨区域依赖与协同优化逻辑"/>
            <wp:cNvGraphicFramePr>
              <a:graphicFrameLocks noChangeAspect="1"/>
            </wp:cNvGraphicFramePr>
            <a:graphic>
              <a:graphicData uri="http://schemas.openxmlformats.org/drawingml/2006/picture">
                <pic:pic>
                  <pic:nvPicPr>
                    <pic:cNvPr id="0" name="v2-figure-11-cross-region-optimization.png"/>
                    <pic:cNvPicPr/>
                  </pic:nvPicPr>
                  <pic:blipFill>
                    <a:blip r:embed="rId23"/>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11 跨区域依赖与协同优化逻辑</w:t>
      </w:r>
    </w:p>
    <w:p>
      <w:pPr>
        <w:pStyle w:val="Heading2"/>
        <w:spacing w:lineRule="exact" w:line="480" w:before="0" w:after="0"/>
        <w:ind w:firstLine="0"/>
      </w:pPr>
      <w:bookmarkStart w:id="36" w:name="report_heading_036"/>
      <w:r>
        <w:rPr>
          <w:rFonts w:ascii="KaiTi" w:hAnsi="KaiTi" w:eastAsia="楷体" w:cs="KaiTi"/>
          <w:b w:val="0"/>
          <w:color w:val="000000"/>
          <w:sz w:val="28"/>
        </w:rPr>
        <w:t>（五）方案检索、评价与复用</w:t>
      </w:r>
      <w:bookmarkEnd w:id="36"/>
    </w:p>
    <w:p>
      <w:pPr>
        <w:widowControl/>
        <w:spacing w:lineRule="exact" w:line="480" w:before="0" w:after="0"/>
        <w:ind w:firstLine="480"/>
      </w:pPr>
      <w:r>
        <w:rPr>
          <w:rFonts w:ascii="SimSun" w:hAnsi="SimSun" w:eastAsia="宋体" w:cs="SimSun"/>
          <w:b w:val="0"/>
          <w:color w:val="000000"/>
          <w:sz w:val="24"/>
        </w:rPr>
        <w:t>成果库支持按车型、区域、模块、材料、色彩、风格、项目和评审状态检索，并可通过语义与视觉特征召回相似方案。复用时不直接覆盖原方案，而是建立来源关系并生成新版本；设计人员可查看差异、适用条件和历史评价，减少重复劳动并保留创新空间。</w:t>
      </w:r>
    </w:p>
    <w:p>
      <w:pPr>
        <w:pStyle w:val="Heading1"/>
        <w:spacing w:lineRule="exact" w:line="480" w:before="0" w:after="0"/>
        <w:ind w:firstLine="0"/>
      </w:pPr>
      <w:bookmarkStart w:id="37" w:name="report_heading_037"/>
      <w:r>
        <w:rPr>
          <w:rFonts w:ascii="SimHei" w:hAnsi="SimHei" w:eastAsia="黑体" w:cs="SimHei"/>
          <w:b/>
          <w:color w:val="000000"/>
          <w:sz w:val="28"/>
        </w:rPr>
        <w:t>八、平台功能模块设计</w:t>
      </w:r>
      <w:bookmarkEnd w:id="37"/>
    </w:p>
    <w:p>
      <w:pPr>
        <w:pStyle w:val="Heading2"/>
        <w:spacing w:lineRule="exact" w:line="480" w:before="0" w:after="0"/>
        <w:ind w:firstLine="0"/>
      </w:pPr>
      <w:bookmarkStart w:id="38" w:name="report_heading_038"/>
      <w:r>
        <w:rPr>
          <w:rFonts w:ascii="KaiTi" w:hAnsi="KaiTi" w:eastAsia="楷体" w:cs="KaiTi"/>
          <w:b w:val="0"/>
          <w:color w:val="000000"/>
          <w:sz w:val="28"/>
        </w:rPr>
        <w:t>（一）功能总体布局</w:t>
      </w:r>
      <w:bookmarkEnd w:id="38"/>
    </w:p>
    <w:p>
      <w:pPr>
        <w:widowControl/>
        <w:spacing w:lineRule="exact" w:line="480" w:before="0" w:after="0"/>
        <w:ind w:firstLine="480"/>
      </w:pPr>
      <w:r>
        <w:rPr>
          <w:rFonts w:ascii="SimSun" w:hAnsi="SimSun" w:eastAsia="宋体" w:cs="SimSun"/>
          <w:b w:val="0"/>
          <w:color w:val="000000"/>
          <w:sz w:val="24"/>
        </w:rPr>
        <w:t>平台以设计工作台为统一入口，围绕项目上下文组织资料准备、分区识别、快速设计、任务执行、方案评审和成果归档。业务功能与管理功能分离，设计人员看到业务语义和结果，系统管理人员负责能力、规则、权限、数据和运行配置。</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12" name="Picture 12" descr="图 12 平台功能模块地图"/>
            <wp:cNvGraphicFramePr>
              <a:graphicFrameLocks noChangeAspect="1"/>
            </wp:cNvGraphicFramePr>
            <a:graphic>
              <a:graphicData uri="http://schemas.openxmlformats.org/drawingml/2006/picture">
                <pic:pic>
                  <pic:nvPicPr>
                    <pic:cNvPr id="0" name="v2-figure-12-function-map.png"/>
                    <pic:cNvPicPr/>
                  </pic:nvPicPr>
                  <pic:blipFill>
                    <a:blip r:embed="rId24"/>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12 平台功能模块地图</w:t>
      </w:r>
    </w:p>
    <w:p>
      <w:pPr>
        <w:pStyle w:val="Caption"/>
        <w:keepNext/>
        <w:jc w:val="center"/>
      </w:pPr>
      <w:r>
        <w:rPr>
          <w:rFonts w:ascii="SimSun" w:hAnsi="SimSun" w:eastAsia="宋体" w:cs="SimSun"/>
          <w:color w:val="000000"/>
          <w:sz w:val="24"/>
        </w:rPr>
        <w:t>表 8 平台功能模块及主要输入输出</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243"/>
        <w:gridCol w:w="2243"/>
        <w:gridCol w:w="2243"/>
        <w:gridCol w:w="2243"/>
      </w:tblGrid>
      <w:tr>
        <w:trPr>
          <w:cantSplit w:val="true"/>
          <w:tblHeader w:val="true"/>
        </w:trPr>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功能模块</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主要输入</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主要处理</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主要输出</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项目与协作</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项目信息、成员和范围</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项目建立、成员协作、权限控制</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项目空间和协作记录</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设计资源管理</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图像、图纸、模型、材料和文档</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分类、编码、标签、版本和权限</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可检索的项目资源</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分区识别</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客室资料、区域规则和模块知识</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候选识别、融合、人工复核</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区域与模块识别结果</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模块化快速设计</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目标区域、模块、参数和约束</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方案生成、规则校核、调整</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零部件和大部件候选方案</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整体布置设计</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多区域方案和空间关系</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组合、位置调整、跨区域检查</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客室整体布置方案</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形态与CMF设计</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形态、材质、色彩、纹理和参考资料</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配置、生成、对比和评价</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装配效果和CMF方案</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方案成果库</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确认方案、评价和来源关系</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版本、检索、比较和复用</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可追溯的设计成果</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任务与通知</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识别、生成、检索和报告任务</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排队、执行、进度、取消和失败处理</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任务状态、结果和通知</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规则与能力管理</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规则、参数模板和能力配置</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测试、发布、停用、回退</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受控的业务能力版本</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用户与运行管理</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用户、角色、日志和运行指标</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身份、权限、审计和监控</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安全可控的运行环境</w:t>
            </w:r>
          </w:p>
        </w:tc>
      </w:tr>
    </w:tbl>
    <w:p>
      <w:pPr>
        <w:pStyle w:val="Heading2"/>
        <w:spacing w:lineRule="exact" w:line="480" w:before="0" w:after="0"/>
        <w:ind w:firstLine="0"/>
      </w:pPr>
      <w:bookmarkStart w:id="39" w:name="report_heading_039"/>
      <w:r>
        <w:rPr>
          <w:rFonts w:ascii="KaiTi" w:hAnsi="KaiTi" w:eastAsia="楷体" w:cs="KaiTi"/>
          <w:b w:val="0"/>
          <w:color w:val="000000"/>
          <w:sz w:val="28"/>
        </w:rPr>
        <w:t>（二）典型业务场景</w:t>
      </w:r>
      <w:bookmarkEnd w:id="39"/>
    </w:p>
    <w:p>
      <w:pPr>
        <w:widowControl/>
        <w:spacing w:lineRule="exact" w:line="480" w:before="0" w:after="0"/>
        <w:ind w:firstLine="480"/>
      </w:pPr>
      <w:r>
        <w:rPr>
          <w:rFonts w:ascii="SimSun" w:hAnsi="SimSun" w:eastAsia="宋体" w:cs="SimSun"/>
          <w:b w:val="0"/>
          <w:color w:val="000000"/>
          <w:sz w:val="24"/>
        </w:rPr>
        <w:t>典型场景从项目建立开始：导入客室资料，选择目标区域，调用分区识别并完成人工确认；系统将确认结果转换为模块清单、参数和约束，设计人员生成候选方案并比较；方案通过规则检查和评审后入库，再用于整体布置、深化设计或后续项目复用。全过程应能够查看任务状态、来源关系和版本差异。</w:t>
      </w:r>
    </w:p>
    <w:p>
      <w:pPr>
        <w:pStyle w:val="Heading2"/>
        <w:spacing w:lineRule="exact" w:line="480" w:before="0" w:after="0"/>
        <w:ind w:firstLine="0"/>
      </w:pPr>
      <w:bookmarkStart w:id="40" w:name="report_heading_040"/>
      <w:r>
        <w:rPr>
          <w:rFonts w:ascii="KaiTi" w:hAnsi="KaiTi" w:eastAsia="楷体" w:cs="KaiTi"/>
          <w:b w:val="0"/>
          <w:color w:val="000000"/>
          <w:sz w:val="28"/>
        </w:rPr>
        <w:t>（三）角色与权限</w:t>
      </w:r>
      <w:bookmarkEnd w:id="40"/>
    </w:p>
    <w:p>
      <w:pPr>
        <w:widowControl/>
        <w:spacing w:lineRule="exact" w:line="480" w:before="0" w:after="0"/>
        <w:ind w:firstLine="480"/>
      </w:pPr>
      <w:r>
        <w:rPr>
          <w:rFonts w:ascii="SimSun" w:hAnsi="SimSun" w:eastAsia="宋体" w:cs="SimSun"/>
          <w:b w:val="0"/>
          <w:color w:val="000000"/>
          <w:sz w:val="24"/>
        </w:rPr>
        <w:t>设计人员负责资料选择、分区确认、方案生成和评审；项目负责人负责范围、成员、阶段成果和风险；算法与数据人员负责数据集、识别能力、规则与评测；系统管理人员负责用户、权限、能力发布、运行监控和备份。权限必须由平台服务统一校验，页面按钮隐藏不能代替数据范围控制。</w:t>
      </w:r>
    </w:p>
    <w:p>
      <w:pPr>
        <w:pStyle w:val="Heading1"/>
        <w:spacing w:lineRule="exact" w:line="480" w:before="0" w:after="0"/>
        <w:ind w:firstLine="0"/>
      </w:pPr>
      <w:bookmarkStart w:id="41" w:name="report_heading_041"/>
      <w:r>
        <w:rPr>
          <w:rFonts w:ascii="SimHei" w:hAnsi="SimHei" w:eastAsia="黑体" w:cs="SimHei"/>
          <w:b/>
          <w:color w:val="000000"/>
          <w:sz w:val="28"/>
        </w:rPr>
        <w:t>九、数据资源与知识底座</w:t>
      </w:r>
      <w:bookmarkEnd w:id="41"/>
    </w:p>
    <w:p>
      <w:pPr>
        <w:pStyle w:val="Heading2"/>
        <w:spacing w:lineRule="exact" w:line="480" w:before="0" w:after="0"/>
        <w:ind w:firstLine="0"/>
      </w:pPr>
      <w:bookmarkStart w:id="42" w:name="report_heading_042"/>
      <w:r>
        <w:rPr>
          <w:rFonts w:ascii="KaiTi" w:hAnsi="KaiTi" w:eastAsia="楷体" w:cs="KaiTi"/>
          <w:b w:val="0"/>
          <w:color w:val="000000"/>
          <w:sz w:val="28"/>
        </w:rPr>
        <w:t>（一）数据资源体系</w:t>
      </w:r>
      <w:bookmarkEnd w:id="42"/>
    </w:p>
    <w:p>
      <w:pPr>
        <w:widowControl/>
        <w:spacing w:lineRule="exact" w:line="480" w:before="0" w:after="0"/>
        <w:ind w:firstLine="480"/>
      </w:pPr>
      <w:r>
        <w:rPr>
          <w:rFonts w:ascii="SimSun" w:hAnsi="SimSun" w:eastAsia="宋体" w:cs="SimSun"/>
          <w:b w:val="0"/>
          <w:color w:val="000000"/>
          <w:sz w:val="24"/>
        </w:rPr>
        <w:t>平台数据底座由客室基础资料、内装模块库、材料色彩纹理库、规则与参数库、设计成果库和运行审计数据构成。各类数据使用统一分类、编码、标签、版本和归属关系，结构化数据与文件资料通过资源标识关联。</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13" name="Picture 13" descr="图 13 平台数据资源与知识底座"/>
            <wp:cNvGraphicFramePr>
              <a:graphicFrameLocks noChangeAspect="1"/>
            </wp:cNvGraphicFramePr>
            <a:graphic>
              <a:graphicData uri="http://schemas.openxmlformats.org/drawingml/2006/picture">
                <pic:pic>
                  <pic:nvPicPr>
                    <pic:cNvPr id="0" name="v2-figure-13-data-foundation.png"/>
                    <pic:cNvPicPr/>
                  </pic:nvPicPr>
                  <pic:blipFill>
                    <a:blip r:embed="rId25"/>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13 平台数据资源与知识底座</w:t>
      </w:r>
    </w:p>
    <w:p>
      <w:pPr>
        <w:pStyle w:val="Caption"/>
        <w:keepNext/>
        <w:jc w:val="center"/>
      </w:pPr>
      <w:r>
        <w:rPr>
          <w:rFonts w:ascii="SimSun" w:hAnsi="SimSun" w:eastAsia="宋体" w:cs="SimSun"/>
          <w:color w:val="000000"/>
          <w:sz w:val="24"/>
        </w:rPr>
        <w:t>表 9 数据资源建设内容</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243"/>
        <w:gridCol w:w="2243"/>
        <w:gridCol w:w="2243"/>
        <w:gridCol w:w="2243"/>
      </w:tblGrid>
      <w:tr>
        <w:trPr>
          <w:cantSplit w:val="true"/>
          <w:tblHeader w:val="true"/>
        </w:trPr>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数据资源</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主要内容</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建设要求</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主要应用</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客室基础资料</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车型、区域、图纸、模型、照片和设计条件</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来源明确、版本可查、权限受控</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需求分析和识别输入</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内装模块库</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四级模块对象、属性、接口和适用范围</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编码唯一、层级清晰、可扩展</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分区识别、模块选择和组合</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材料色彩纹理库</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材料、颜色、纹理、工艺和样例</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参数规范、样例关联、适用条件明确</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CMF配置和方案评价</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规则与参数库</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约束、条件规则、参数范围和模板</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规则可解释、可测试、可版本化</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快速设计和自动校核</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设计成果库</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方案、版本、评价、评审和输出文件</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来源可追溯、状态可管理</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检索、比较、复用和交付</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运行与审计数据</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任务、操作、异常、接口和监控记录</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最小必要、敏感信息脱敏</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问题定位、质量证明和安全审计</w:t>
            </w:r>
          </w:p>
        </w:tc>
      </w:tr>
    </w:tbl>
    <w:p>
      <w:pPr>
        <w:pStyle w:val="Heading2"/>
        <w:spacing w:lineRule="exact" w:line="480" w:before="0" w:after="0"/>
        <w:ind w:firstLine="0"/>
      </w:pPr>
      <w:bookmarkStart w:id="43" w:name="report_heading_043"/>
      <w:r>
        <w:rPr>
          <w:rFonts w:ascii="KaiTi" w:hAnsi="KaiTi" w:eastAsia="楷体" w:cs="KaiTi"/>
          <w:b w:val="0"/>
          <w:color w:val="000000"/>
          <w:sz w:val="28"/>
        </w:rPr>
        <w:t>（二）数据治理流程</w:t>
      </w:r>
      <w:bookmarkEnd w:id="43"/>
    </w:p>
    <w:p>
      <w:pPr>
        <w:widowControl/>
        <w:spacing w:lineRule="exact" w:line="480" w:before="0" w:after="0"/>
        <w:ind w:firstLine="480"/>
      </w:pPr>
      <w:r>
        <w:rPr>
          <w:rFonts w:ascii="SimSun" w:hAnsi="SimSun" w:eastAsia="宋体" w:cs="SimSun"/>
          <w:b w:val="0"/>
          <w:color w:val="000000"/>
          <w:sz w:val="24"/>
        </w:rPr>
        <w:t>数据治理包括资料清点、分类编码、质量检查、权限确认、入库、使用、变更、归档和清理。训练数据和验收数据分别管理；规则、参数模板和模块知识变更前必须经过评审与测试。设计成果对外共享或进入正式交付前，应确认来源、授权、版本和适用范围。</w:t>
      </w:r>
    </w:p>
    <w:p>
      <w:pPr>
        <w:pStyle w:val="Heading2"/>
        <w:spacing w:lineRule="exact" w:line="480" w:before="0" w:after="0"/>
        <w:ind w:firstLine="0"/>
      </w:pPr>
      <w:bookmarkStart w:id="44" w:name="report_heading_044"/>
      <w:r>
        <w:rPr>
          <w:rFonts w:ascii="KaiTi" w:hAnsi="KaiTi" w:eastAsia="楷体" w:cs="KaiTi"/>
          <w:b w:val="0"/>
          <w:color w:val="000000"/>
          <w:sz w:val="28"/>
        </w:rPr>
        <w:t>（三）数据质量控制</w:t>
      </w:r>
      <w:bookmarkEnd w:id="44"/>
    </w:p>
    <w:p>
      <w:pPr>
        <w:widowControl/>
        <w:spacing w:lineRule="exact" w:line="480" w:before="0" w:after="0"/>
        <w:ind w:firstLine="480"/>
      </w:pPr>
      <w:r>
        <w:rPr>
          <w:rFonts w:ascii="SimSun" w:hAnsi="SimSun" w:eastAsia="宋体" w:cs="SimSun"/>
          <w:b w:val="0"/>
          <w:color w:val="000000"/>
          <w:sz w:val="24"/>
        </w:rPr>
        <w:t>数据质量从完整性、一致性、准确性、唯一性、及时性和可追溯性六个维度评价。平台应为必填字段、编码冲突、无效关联、孤立文件和过期版本设置检查规则，并建立问题修复责任和关闭记录。</w:t>
      </w:r>
    </w:p>
    <w:p>
      <w:pPr>
        <w:pStyle w:val="Heading1"/>
        <w:spacing w:lineRule="exact" w:line="480" w:before="0" w:after="0"/>
        <w:ind w:firstLine="0"/>
      </w:pPr>
      <w:bookmarkStart w:id="45" w:name="report_heading_045"/>
      <w:r>
        <w:rPr>
          <w:rFonts w:ascii="SimHei" w:hAnsi="SimHei" w:eastAsia="黑体" w:cs="SimHei"/>
          <w:b/>
          <w:color w:val="000000"/>
          <w:sz w:val="28"/>
        </w:rPr>
        <w:t>十、系统集成与接口设计</w:t>
      </w:r>
      <w:bookmarkEnd w:id="45"/>
    </w:p>
    <w:p>
      <w:pPr>
        <w:pStyle w:val="Heading2"/>
        <w:spacing w:lineRule="exact" w:line="480" w:before="0" w:after="0"/>
        <w:ind w:firstLine="0"/>
      </w:pPr>
      <w:bookmarkStart w:id="46" w:name="report_heading_046"/>
      <w:r>
        <w:rPr>
          <w:rFonts w:ascii="KaiTi" w:hAnsi="KaiTi" w:eastAsia="楷体" w:cs="KaiTi"/>
          <w:b w:val="0"/>
          <w:color w:val="000000"/>
          <w:sz w:val="28"/>
        </w:rPr>
        <w:t>（一）与既有产品平台的交互</w:t>
      </w:r>
      <w:bookmarkEnd w:id="46"/>
    </w:p>
    <w:p>
      <w:pPr>
        <w:widowControl/>
        <w:spacing w:lineRule="exact" w:line="480" w:before="0" w:after="0"/>
        <w:ind w:firstLine="480"/>
      </w:pPr>
      <w:r>
        <w:rPr>
          <w:rFonts w:ascii="SimSun" w:hAnsi="SimSun" w:eastAsia="宋体" w:cs="SimSun"/>
          <w:b w:val="0"/>
          <w:color w:val="000000"/>
          <w:sz w:val="24"/>
        </w:rPr>
        <w:t>平台预留项目、车型、模块、设计资料、任务状态和成果方案等接口。具体字段、调用方向、身份方式、网络边界和错误处理应在项目启动阶段与甲方确认。接口设计遵循最小权限、版本兼容、重复提交可识别、异常可定位和数据可追溯原则。</w:t>
      </w:r>
    </w:p>
    <w:p>
      <w:pPr>
        <w:pStyle w:val="Caption"/>
        <w:keepNext/>
        <w:jc w:val="center"/>
      </w:pPr>
      <w:r>
        <w:rPr>
          <w:rFonts w:ascii="SimSun" w:hAnsi="SimSun" w:eastAsia="宋体" w:cs="SimSun"/>
          <w:color w:val="000000"/>
          <w:sz w:val="24"/>
        </w:rPr>
        <w:t>表 10 建议的系统集成对象</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087"/>
        <w:gridCol w:w="2295"/>
        <w:gridCol w:w="2295"/>
        <w:gridCol w:w="2295"/>
      </w:tblGrid>
      <w:tr>
        <w:trPr>
          <w:cantSplit w:val="true"/>
          <w:tblHeader w:val="true"/>
        </w:trPr>
        <w:tc>
          <w:tcPr>
            <w:tcW w:type="dxa" w:w="2087"/>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集成对象</w:t>
            </w:r>
          </w:p>
        </w:tc>
        <w:tc>
          <w:tcPr>
            <w:tcW w:type="dxa" w:w="2295"/>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交换内容</w:t>
            </w:r>
          </w:p>
        </w:tc>
        <w:tc>
          <w:tcPr>
            <w:tcW w:type="dxa" w:w="2295"/>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建议方式</w:t>
            </w:r>
          </w:p>
        </w:tc>
        <w:tc>
          <w:tcPr>
            <w:tcW w:type="dxa" w:w="2295"/>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关键控制</w:t>
            </w:r>
          </w:p>
        </w:tc>
      </w:tr>
      <w:tr>
        <w:trPr>
          <w:cantSplit w:val="true"/>
        </w:trPr>
        <w:tc>
          <w:tcPr>
            <w:tcW w:type="dxa" w:w="208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项目与车型</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项目编号、车型、市场、阶段和成员范围</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结构化接口或受控导入</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主数据映射、权限和版本</w:t>
            </w:r>
          </w:p>
        </w:tc>
      </w:tr>
      <w:tr>
        <w:trPr>
          <w:cantSplit w:val="true"/>
        </w:trPr>
        <w:tc>
          <w:tcPr>
            <w:tcW w:type="dxa" w:w="208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设计资料</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图像、图纸、模型、说明和属性</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资源标识与受控文件传输</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文件校验、断点和来源记录</w:t>
            </w:r>
          </w:p>
        </w:tc>
      </w:tr>
      <w:tr>
        <w:trPr>
          <w:cantSplit w:val="true"/>
        </w:trPr>
        <w:tc>
          <w:tcPr>
            <w:tcW w:type="dxa" w:w="208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模块与规则</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模块编码、属性、接口、参数和规则版本</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版本化结构数据</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冲突检测、适用范围和审批</w:t>
            </w:r>
          </w:p>
        </w:tc>
      </w:tr>
      <w:tr>
        <w:trPr>
          <w:cantSplit w:val="true"/>
        </w:trPr>
        <w:tc>
          <w:tcPr>
            <w:tcW w:type="dxa" w:w="208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任务与进度</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任务编号、状态、进度、错误和结果</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查询、事件通知或消息方式</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幂等、超时、重试和状态一致</w:t>
            </w:r>
          </w:p>
        </w:tc>
      </w:tr>
      <w:tr>
        <w:trPr>
          <w:cantSplit w:val="true"/>
        </w:trPr>
        <w:tc>
          <w:tcPr>
            <w:tcW w:type="dxa" w:w="208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设计成果</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方案版本、评价、输出文件和评审状态</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结构化数据与资源引用</w:t>
            </w:r>
          </w:p>
        </w:tc>
        <w:tc>
          <w:tcPr>
            <w:tcW w:type="dxa" w:w="229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来源关系、签收和回传确认</w:t>
            </w:r>
          </w:p>
        </w:tc>
      </w:tr>
    </w:tbl>
    <w:p>
      <w:pPr>
        <w:pStyle w:val="Heading2"/>
        <w:spacing w:lineRule="exact" w:line="480" w:before="0" w:after="0"/>
        <w:ind w:firstLine="0"/>
      </w:pPr>
      <w:bookmarkStart w:id="47" w:name="report_heading_047"/>
      <w:r>
        <w:rPr>
          <w:rFonts w:ascii="KaiTi" w:hAnsi="KaiTi" w:eastAsia="楷体" w:cs="KaiTi"/>
          <w:b w:val="0"/>
          <w:color w:val="000000"/>
          <w:sz w:val="28"/>
        </w:rPr>
        <w:t>（二）外部智能能力接入</w:t>
      </w:r>
      <w:bookmarkEnd w:id="47"/>
    </w:p>
    <w:p>
      <w:pPr>
        <w:widowControl/>
        <w:spacing w:lineRule="exact" w:line="480" w:before="0" w:after="0"/>
        <w:ind w:firstLine="480"/>
      </w:pPr>
      <w:r>
        <w:rPr>
          <w:rFonts w:ascii="SimSun" w:hAnsi="SimSun" w:eastAsia="宋体" w:cs="SimSun"/>
          <w:b w:val="0"/>
          <w:color w:val="000000"/>
          <w:sz w:val="24"/>
        </w:rPr>
        <w:t>识别、理解、生成、检索或三维处理能力通过独立适配层接入。适配层负责业务参数转换、资源准备、任务提交、进度获取、错误映射和结果登记。外部服务未配置、超时或返回无效结果时必须明确失败，不生成虚假成果。</w:t>
      </w:r>
    </w:p>
    <w:p>
      <w:pPr>
        <w:pStyle w:val="Heading2"/>
        <w:spacing w:lineRule="exact" w:line="480" w:before="0" w:after="0"/>
        <w:ind w:firstLine="0"/>
      </w:pPr>
      <w:bookmarkStart w:id="48" w:name="report_heading_048"/>
      <w:r>
        <w:rPr>
          <w:rFonts w:ascii="KaiTi" w:hAnsi="KaiTi" w:eastAsia="楷体" w:cs="KaiTi"/>
          <w:b w:val="0"/>
          <w:color w:val="000000"/>
          <w:sz w:val="28"/>
        </w:rPr>
        <w:t>（三）接口验证</w:t>
      </w:r>
      <w:bookmarkEnd w:id="48"/>
    </w:p>
    <w:p>
      <w:pPr>
        <w:widowControl/>
        <w:spacing w:lineRule="exact" w:line="480" w:before="0" w:after="0"/>
        <w:ind w:firstLine="480"/>
      </w:pPr>
      <w:r>
        <w:rPr>
          <w:rFonts w:ascii="SimSun" w:hAnsi="SimSun" w:eastAsia="宋体" w:cs="SimSun"/>
          <w:b w:val="0"/>
          <w:color w:val="000000"/>
          <w:sz w:val="24"/>
        </w:rPr>
        <w:t>接口验证至少覆盖身份权限、字段映射、大文件传输、重复请求、超时重试、状态回调、版本兼容、异常恢复和审计留痕。联调记录应包含输入、预期、实际结果、问题原因、修复版本和复验结论。</w:t>
      </w:r>
    </w:p>
    <w:p>
      <w:pPr>
        <w:pStyle w:val="Heading1"/>
        <w:spacing w:lineRule="exact" w:line="480" w:before="0" w:after="0"/>
        <w:ind w:firstLine="0"/>
      </w:pPr>
      <w:bookmarkStart w:id="49" w:name="report_heading_049"/>
      <w:r>
        <w:rPr>
          <w:rFonts w:ascii="SimHei" w:hAnsi="SimHei" w:eastAsia="黑体" w:cs="SimHei"/>
          <w:b/>
          <w:color w:val="000000"/>
          <w:sz w:val="28"/>
        </w:rPr>
        <w:t>十一、安全、质量与运行保障</w:t>
      </w:r>
      <w:bookmarkEnd w:id="49"/>
    </w:p>
    <w:p>
      <w:pPr>
        <w:pStyle w:val="Heading2"/>
        <w:spacing w:lineRule="exact" w:line="480" w:before="0" w:after="0"/>
        <w:ind w:firstLine="0"/>
      </w:pPr>
      <w:bookmarkStart w:id="50" w:name="report_heading_050"/>
      <w:r>
        <w:rPr>
          <w:rFonts w:ascii="KaiTi" w:hAnsi="KaiTi" w:eastAsia="楷体" w:cs="KaiTi"/>
          <w:b w:val="0"/>
          <w:color w:val="000000"/>
          <w:sz w:val="28"/>
        </w:rPr>
        <w:t>（一）安全与保密</w:t>
      </w:r>
      <w:bookmarkEnd w:id="50"/>
    </w:p>
    <w:p>
      <w:pPr>
        <w:widowControl/>
        <w:spacing w:lineRule="exact" w:line="480" w:before="0" w:after="0"/>
        <w:ind w:firstLine="480"/>
      </w:pPr>
      <w:r>
        <w:rPr>
          <w:rFonts w:ascii="SimSun" w:hAnsi="SimSun" w:eastAsia="宋体" w:cs="SimSun"/>
          <w:b w:val="0"/>
          <w:color w:val="000000"/>
          <w:sz w:val="24"/>
        </w:rPr>
        <w:t>平台按照甲方网络分区、身份认证、访问控制和数据保密要求部署。项目资料、模型、接口协议、测试结果和设计成果不得通过未授权渠道传输；敏感配置仅在服务端受控保存。核心人员按项目要求签署保密承诺，资料使用、导出和共享保留审批与审计记录。</w:t>
      </w:r>
    </w:p>
    <w:p>
      <w:pPr>
        <w:pStyle w:val="Heading2"/>
        <w:spacing w:lineRule="exact" w:line="480" w:before="0" w:after="0"/>
        <w:ind w:firstLine="0"/>
      </w:pPr>
      <w:bookmarkStart w:id="51" w:name="report_heading_051"/>
      <w:r>
        <w:rPr>
          <w:rFonts w:ascii="KaiTi" w:hAnsi="KaiTi" w:eastAsia="楷体" w:cs="KaiTi"/>
          <w:b w:val="0"/>
          <w:color w:val="000000"/>
          <w:sz w:val="28"/>
        </w:rPr>
        <w:t>（二）可追溯设计</w:t>
      </w:r>
      <w:bookmarkEnd w:id="51"/>
    </w:p>
    <w:p>
      <w:pPr>
        <w:widowControl/>
        <w:spacing w:lineRule="exact" w:line="480" w:before="0" w:after="0"/>
        <w:ind w:firstLine="480"/>
      </w:pPr>
      <w:r>
        <w:rPr>
          <w:rFonts w:ascii="SimSun" w:hAnsi="SimSun" w:eastAsia="宋体" w:cs="SimSun"/>
          <w:b w:val="0"/>
          <w:color w:val="000000"/>
          <w:sz w:val="24"/>
        </w:rPr>
        <w:t>平台为每个设计方案保留项目、区域、模块、输入资料、参数、规则版本、任务过程、输出结果、人工修订和评审结论。可追溯设计既服务于问题定位，也为研究评测、成果复用和合同验收提供证据。</w:t>
      </w:r>
    </w:p>
    <w:p>
      <w:pPr>
        <w:pStyle w:val="Heading2"/>
        <w:spacing w:lineRule="exact" w:line="480" w:before="0" w:after="0"/>
        <w:ind w:firstLine="0"/>
      </w:pPr>
      <w:bookmarkStart w:id="52" w:name="report_heading_052"/>
      <w:r>
        <w:rPr>
          <w:rFonts w:ascii="KaiTi" w:hAnsi="KaiTi" w:eastAsia="楷体" w:cs="KaiTi"/>
          <w:b w:val="0"/>
          <w:color w:val="000000"/>
          <w:sz w:val="28"/>
        </w:rPr>
        <w:t>（三）运行保障</w:t>
      </w:r>
      <w:bookmarkEnd w:id="52"/>
    </w:p>
    <w:p>
      <w:pPr>
        <w:widowControl/>
        <w:spacing w:lineRule="exact" w:line="480" w:before="0" w:after="0"/>
        <w:ind w:firstLine="480"/>
      </w:pPr>
      <w:r>
        <w:rPr>
          <w:rFonts w:ascii="SimSun" w:hAnsi="SimSun" w:eastAsia="宋体" w:cs="SimSun"/>
          <w:b w:val="0"/>
          <w:color w:val="000000"/>
          <w:sz w:val="24"/>
        </w:rPr>
        <w:t>运行保障包括服务监控、任务监控、容量预警、日志留存、数据备份、恢复演练、版本升级和故障回退。正式运行前应明确服务等级、数据保留期限、备份频率、恢复目标和问题响应机制，并在目标环境中完成验证。</w:t>
      </w:r>
    </w:p>
    <w:p>
      <w:pPr>
        <w:pStyle w:val="Heading1"/>
        <w:spacing w:lineRule="exact" w:line="480" w:before="0" w:after="0"/>
        <w:ind w:firstLine="0"/>
      </w:pPr>
      <w:bookmarkStart w:id="53" w:name="report_heading_053"/>
      <w:r>
        <w:rPr>
          <w:rFonts w:ascii="SimHei" w:hAnsi="SimHei" w:eastAsia="黑体" w:cs="SimHei"/>
          <w:b/>
          <w:color w:val="000000"/>
          <w:sz w:val="28"/>
        </w:rPr>
        <w:t>十二、实施技术路线与进度计划</w:t>
      </w:r>
      <w:bookmarkEnd w:id="53"/>
    </w:p>
    <w:p>
      <w:pPr>
        <w:pStyle w:val="Heading2"/>
        <w:spacing w:lineRule="exact" w:line="480" w:before="0" w:after="0"/>
        <w:ind w:firstLine="0"/>
      </w:pPr>
      <w:bookmarkStart w:id="54" w:name="report_heading_054"/>
      <w:r>
        <w:rPr>
          <w:rFonts w:ascii="KaiTi" w:hAnsi="KaiTi" w:eastAsia="楷体" w:cs="KaiTi"/>
          <w:b w:val="0"/>
          <w:color w:val="000000"/>
          <w:sz w:val="28"/>
        </w:rPr>
        <w:t>（一）总体实施路线</w:t>
      </w:r>
      <w:bookmarkEnd w:id="54"/>
    </w:p>
    <w:p>
      <w:pPr>
        <w:widowControl/>
        <w:spacing w:lineRule="exact" w:line="480" w:before="0" w:after="0"/>
        <w:ind w:firstLine="480"/>
      </w:pPr>
      <w:r>
        <w:rPr>
          <w:rFonts w:ascii="SimSun" w:hAnsi="SimSun" w:eastAsia="宋体" w:cs="SimSun"/>
          <w:b w:val="0"/>
          <w:color w:val="000000"/>
          <w:sz w:val="24"/>
        </w:rPr>
        <w:t>实施按照“需求与数据梳理—关键技术研究—模块与规则体系建设—平台开发集成—联调验证—成果固化”推进。每个阶段设置输入条件、输出成果和评审门，不满足前置条件时不应直接进入下一阶段，以减少后期返工。</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14" name="Picture 14" descr="图 14 平台建设技术路线与阶段门"/>
            <wp:cNvGraphicFramePr>
              <a:graphicFrameLocks noChangeAspect="1"/>
            </wp:cNvGraphicFramePr>
            <a:graphic>
              <a:graphicData uri="http://schemas.openxmlformats.org/drawingml/2006/picture">
                <pic:pic>
                  <pic:nvPicPr>
                    <pic:cNvPr id="0" name="v2-figure-14-technical-roadmap.png"/>
                    <pic:cNvPicPr/>
                  </pic:nvPicPr>
                  <pic:blipFill>
                    <a:blip r:embed="rId26"/>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14 平台建设技术路线与阶段门</w:t>
      </w:r>
    </w:p>
    <w:p>
      <w:pPr>
        <w:pStyle w:val="Heading2"/>
        <w:spacing w:lineRule="exact" w:line="480" w:before="0" w:after="0"/>
        <w:ind w:firstLine="0"/>
      </w:pPr>
      <w:bookmarkStart w:id="55" w:name="report_heading_055"/>
      <w:r>
        <w:rPr>
          <w:rFonts w:ascii="KaiTi" w:hAnsi="KaiTi" w:eastAsia="楷体" w:cs="KaiTi"/>
          <w:b w:val="0"/>
          <w:color w:val="000000"/>
          <w:sz w:val="28"/>
        </w:rPr>
        <w:t>（二）阶段进度计划</w:t>
      </w:r>
      <w:bookmarkEnd w:id="55"/>
    </w:p>
    <w:p>
      <w:pPr>
        <w:pStyle w:val="Caption"/>
        <w:keepNext/>
        <w:jc w:val="center"/>
      </w:pPr>
      <w:r>
        <w:rPr>
          <w:rFonts w:ascii="SimSun" w:hAnsi="SimSun" w:eastAsia="宋体" w:cs="SimSun"/>
          <w:color w:val="000000"/>
          <w:sz w:val="24"/>
        </w:rPr>
        <w:t>表 11 建设阶段、主要工作与里程碑</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1794"/>
        <w:gridCol w:w="1794"/>
        <w:gridCol w:w="1794"/>
        <w:gridCol w:w="1794"/>
        <w:gridCol w:w="1796"/>
      </w:tblGrid>
      <w:tr>
        <w:trPr>
          <w:cantSplit w:val="true"/>
          <w:tblHeader w:val="true"/>
        </w:trPr>
        <w:tc>
          <w:tcPr>
            <w:tcW w:type="dxa" w:w="179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阶段</w:t>
            </w:r>
          </w:p>
        </w:tc>
        <w:tc>
          <w:tcPr>
            <w:tcW w:type="dxa" w:w="179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计划节点</w:t>
            </w:r>
          </w:p>
        </w:tc>
        <w:tc>
          <w:tcPr>
            <w:tcW w:type="dxa" w:w="179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主要工作</w:t>
            </w:r>
          </w:p>
        </w:tc>
        <w:tc>
          <w:tcPr>
            <w:tcW w:type="dxa" w:w="179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主要成果</w:t>
            </w:r>
          </w:p>
        </w:tc>
        <w:tc>
          <w:tcPr>
            <w:tcW w:type="dxa" w:w="1796"/>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阶段门</w:t>
            </w:r>
          </w:p>
        </w:tc>
      </w:tr>
      <w:tr>
        <w:trPr>
          <w:cantSplit w:val="true"/>
        </w:trPr>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第一阶段：研究与总体设计</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2026-09-30前</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需求、数据、分区识别、快速设计关键技术和总体架构研究</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研究报告、总体架构、技术路线、功能蓝图和数据方案</w:t>
            </w:r>
          </w:p>
        </w:tc>
        <w:tc>
          <w:tcPr>
            <w:tcW w:type="dxa" w:w="179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研究报告通过专家评审，建设范围和路线获得确认</w:t>
            </w:r>
          </w:p>
        </w:tc>
      </w:tr>
      <w:tr>
        <w:trPr>
          <w:cantSplit w:val="true"/>
        </w:trPr>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第二阶段：平台构建与检测</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2026-10至2026-12-31</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模块与规则整理、核心功能开发、外部能力接入、内部联调和第三方检测</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快速设计系统阶段版本、测试资料和问题闭环</w:t>
            </w:r>
          </w:p>
        </w:tc>
        <w:tc>
          <w:tcPr>
            <w:tcW w:type="dxa" w:w="179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主要功能完成，第三方检测和甲方阶段验收通过</w:t>
            </w:r>
          </w:p>
        </w:tc>
      </w:tr>
      <w:tr>
        <w:trPr>
          <w:cantSplit w:val="true"/>
        </w:trPr>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第三阶段：完善、集成与交付</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2027-01至2027-03-31</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产品平台接口、系统测试、性能安全优化、资料固化和培训</w:t>
            </w:r>
          </w:p>
        </w:tc>
        <w:tc>
          <w:tcPr>
            <w:tcW w:type="dxa" w:w="179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交付系统、源程序、使用手册、软著及验收材料</w:t>
            </w:r>
          </w:p>
        </w:tc>
        <w:tc>
          <w:tcPr>
            <w:tcW w:type="dxa" w:w="179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系统测试和最终验收通过，成果完成归档移交</w:t>
            </w:r>
          </w:p>
        </w:tc>
      </w:tr>
    </w:tbl>
    <w:p>
      <w:pPr>
        <w:pStyle w:val="Heading2"/>
        <w:spacing w:lineRule="exact" w:line="480" w:before="0" w:after="0"/>
        <w:ind w:firstLine="0"/>
      </w:pPr>
      <w:bookmarkStart w:id="56" w:name="report_heading_056"/>
      <w:r>
        <w:rPr>
          <w:rFonts w:ascii="KaiTi" w:hAnsi="KaiTi" w:eastAsia="楷体" w:cs="KaiTi"/>
          <w:b w:val="0"/>
          <w:color w:val="000000"/>
          <w:sz w:val="28"/>
        </w:rPr>
        <w:t>（三）近期工作分解</w:t>
      </w:r>
      <w:bookmarkEnd w:id="56"/>
    </w:p>
    <w:p>
      <w:pPr>
        <w:pStyle w:val="ListParagraph"/>
        <w:spacing w:lineRule="exact" w:line="480" w:before="0" w:after="0"/>
        <w:ind w:firstLine="0"/>
        <w:numPr>
          <w:ilvl w:val="0"/>
          <w:numId w:val="12"/>
        </w:numPr>
      </w:pPr>
      <w:r>
        <w:rPr>
          <w:rFonts w:ascii="SimSun" w:hAnsi="SimSun" w:eastAsia="宋体" w:cs="SimSun"/>
          <w:b w:val="0"/>
          <w:color w:val="000000"/>
          <w:sz w:val="24"/>
        </w:rPr>
        <w:t>完成客室区域、四级模块、属性、接口和编码规则评审。</w:t>
      </w:r>
    </w:p>
    <w:p>
      <w:pPr>
        <w:pStyle w:val="ListParagraph"/>
        <w:spacing w:lineRule="exact" w:line="480" w:before="0" w:after="0"/>
        <w:ind w:firstLine="0"/>
        <w:numPr>
          <w:ilvl w:val="0"/>
          <w:numId w:val="12"/>
        </w:numPr>
      </w:pPr>
      <w:r>
        <w:rPr>
          <w:rFonts w:ascii="SimSun" w:hAnsi="SimSun" w:eastAsia="宋体" w:cs="SimSun"/>
          <w:b w:val="0"/>
          <w:color w:val="000000"/>
          <w:sz w:val="24"/>
        </w:rPr>
        <w:t>建立数据清单、样本分层、标注规范和数据授权记录。</w:t>
      </w:r>
    </w:p>
    <w:p>
      <w:pPr>
        <w:pStyle w:val="ListParagraph"/>
        <w:spacing w:lineRule="exact" w:line="480" w:before="0" w:after="0"/>
        <w:ind w:firstLine="0"/>
        <w:numPr>
          <w:ilvl w:val="0"/>
          <w:numId w:val="12"/>
        </w:numPr>
      </w:pPr>
      <w:r>
        <w:rPr>
          <w:rFonts w:ascii="SimSun" w:hAnsi="SimSun" w:eastAsia="宋体" w:cs="SimSun"/>
          <w:b w:val="0"/>
          <w:color w:val="000000"/>
          <w:sz w:val="24"/>
        </w:rPr>
        <w:t>选取侧墙、顶部、地板等典型场景开展识别和快速设计原型验证。</w:t>
      </w:r>
    </w:p>
    <w:p>
      <w:pPr>
        <w:pStyle w:val="ListParagraph"/>
        <w:spacing w:lineRule="exact" w:line="480" w:before="0" w:after="0"/>
        <w:ind w:firstLine="0"/>
        <w:numPr>
          <w:ilvl w:val="0"/>
          <w:numId w:val="12"/>
        </w:numPr>
      </w:pPr>
      <w:r>
        <w:rPr>
          <w:rFonts w:ascii="SimSun" w:hAnsi="SimSun" w:eastAsia="宋体" w:cs="SimSun"/>
          <w:b w:val="0"/>
          <w:color w:val="000000"/>
          <w:sz w:val="24"/>
        </w:rPr>
        <w:t>固化项目、资源、任务、方案、规则和评价对象及其关系。</w:t>
      </w:r>
    </w:p>
    <w:p>
      <w:pPr>
        <w:pStyle w:val="ListParagraph"/>
        <w:spacing w:lineRule="exact" w:line="480" w:before="0" w:after="0"/>
        <w:ind w:firstLine="0"/>
        <w:numPr>
          <w:ilvl w:val="0"/>
          <w:numId w:val="12"/>
        </w:numPr>
      </w:pPr>
      <w:r>
        <w:rPr>
          <w:rFonts w:ascii="SimSun" w:hAnsi="SimSun" w:eastAsia="宋体" w:cs="SimSun"/>
          <w:b w:val="0"/>
          <w:color w:val="000000"/>
          <w:sz w:val="24"/>
        </w:rPr>
        <w:t>完成平台概要设计、功能原型、接口清单和部署条件确认。</w:t>
      </w:r>
    </w:p>
    <w:p>
      <w:pPr>
        <w:pStyle w:val="ListParagraph"/>
        <w:spacing w:lineRule="exact" w:line="480" w:before="0" w:after="0"/>
        <w:ind w:firstLine="0"/>
        <w:numPr>
          <w:ilvl w:val="0"/>
          <w:numId w:val="12"/>
        </w:numPr>
      </w:pPr>
      <w:r>
        <w:rPr>
          <w:rFonts w:ascii="SimSun" w:hAnsi="SimSun" w:eastAsia="宋体" w:cs="SimSun"/>
          <w:b w:val="0"/>
          <w:color w:val="000000"/>
          <w:sz w:val="24"/>
        </w:rPr>
        <w:t>建立需求—设计—功能—测试—交付的追踪矩阵。</w:t>
      </w:r>
    </w:p>
    <w:p>
      <w:pPr>
        <w:pStyle w:val="Heading2"/>
        <w:spacing w:lineRule="exact" w:line="480" w:before="0" w:after="0"/>
        <w:ind w:firstLine="0"/>
      </w:pPr>
      <w:bookmarkStart w:id="57" w:name="report_heading_057"/>
      <w:r>
        <w:rPr>
          <w:rFonts w:ascii="KaiTi" w:hAnsi="KaiTi" w:eastAsia="楷体" w:cs="KaiTi"/>
          <w:b w:val="0"/>
          <w:color w:val="000000"/>
          <w:sz w:val="28"/>
        </w:rPr>
        <w:t>（四）项目组织与沟通</w:t>
      </w:r>
      <w:bookmarkEnd w:id="57"/>
    </w:p>
    <w:p>
      <w:pPr>
        <w:widowControl/>
        <w:spacing w:lineRule="exact" w:line="480" w:before="0" w:after="0"/>
        <w:ind w:firstLine="480"/>
      </w:pPr>
      <w:r>
        <w:rPr>
          <w:rFonts w:ascii="SimSun" w:hAnsi="SimSun" w:eastAsia="宋体" w:cs="SimSun"/>
          <w:b w:val="0"/>
          <w:color w:val="000000"/>
          <w:sz w:val="24"/>
        </w:rPr>
        <w:t>项目组织建议设置项目负责人、技术负责人、算法与数据负责人、系统设计与开发负责人、测试负责人和实施培训负责人。项目启动后按合同要求提交实施计划，定期汇报完成情况、下一步安排、问题和风险；重大变更和关键接口条件以书面方式确认。</w:t>
      </w:r>
    </w:p>
    <w:p>
      <w:pPr>
        <w:pStyle w:val="Heading1"/>
        <w:spacing w:lineRule="exact" w:line="480" w:before="0" w:after="0"/>
        <w:ind w:firstLine="0"/>
      </w:pPr>
      <w:bookmarkStart w:id="58" w:name="report_heading_058"/>
      <w:r>
        <w:rPr>
          <w:rFonts w:ascii="SimHei" w:hAnsi="SimHei" w:eastAsia="黑体" w:cs="SimHei"/>
          <w:b/>
          <w:color w:val="000000"/>
          <w:sz w:val="28"/>
        </w:rPr>
        <w:t>十三、验证方法与验收建议</w:t>
      </w:r>
      <w:bookmarkEnd w:id="58"/>
    </w:p>
    <w:p>
      <w:pPr>
        <w:pStyle w:val="Heading2"/>
        <w:spacing w:lineRule="exact" w:line="480" w:before="0" w:after="0"/>
        <w:ind w:firstLine="0"/>
      </w:pPr>
      <w:bookmarkStart w:id="59" w:name="report_heading_059"/>
      <w:r>
        <w:rPr>
          <w:rFonts w:ascii="KaiTi" w:hAnsi="KaiTi" w:eastAsia="楷体" w:cs="KaiTi"/>
          <w:b w:val="0"/>
          <w:color w:val="000000"/>
          <w:sz w:val="28"/>
        </w:rPr>
        <w:t>（一）分层验证方法</w:t>
      </w:r>
      <w:bookmarkEnd w:id="59"/>
    </w:p>
    <w:p>
      <w:pPr>
        <w:widowControl/>
        <w:spacing w:lineRule="exact" w:line="480" w:before="0" w:after="0"/>
        <w:ind w:firstLine="480"/>
      </w:pPr>
      <w:r>
        <w:rPr>
          <w:rFonts w:ascii="SimSun" w:hAnsi="SimSun" w:eastAsia="宋体" w:cs="SimSun"/>
          <w:b w:val="0"/>
          <w:color w:val="000000"/>
          <w:sz w:val="24"/>
        </w:rPr>
        <w:t>验证分为算法与规则验证、模块功能验证、系统集成验证、业务场景验证和验收资料核查。算法验证关注识别和评价指标，功能验证关注输入输出与异常处理，集成验证关注数据和状态一致性，场景验证关注设计人员能否完成完整任务，验收核查关注成果物和证据是否齐全。</w:t>
      </w:r>
    </w:p>
    <w:p>
      <w:pPr>
        <w:keepNext/>
        <w:spacing w:before="80" w:after="0" w:line="240" w:lineRule="auto"/>
        <w:ind w:firstLine="0"/>
        <w:jc w:val="center"/>
      </w:pPr>
      <w:r>
        <w:drawing>
          <wp:inline xmlns:a="http://schemas.openxmlformats.org/drawingml/2006/main" xmlns:pic="http://schemas.openxmlformats.org/drawingml/2006/picture">
            <wp:extent cx="5650992" cy="2928241"/>
            <wp:docPr id="15" name="Picture 15" descr="图 15 从关键技术到验收证据的验证体系"/>
            <wp:cNvGraphicFramePr>
              <a:graphicFrameLocks noChangeAspect="1"/>
            </wp:cNvGraphicFramePr>
            <a:graphic>
              <a:graphicData uri="http://schemas.openxmlformats.org/drawingml/2006/picture">
                <pic:pic>
                  <pic:nvPicPr>
                    <pic:cNvPr id="0" name="v2-figure-15-verification-system.png"/>
                    <pic:cNvPicPr/>
                  </pic:nvPicPr>
                  <pic:blipFill>
                    <a:blip r:embed="rId27"/>
                    <a:stretch>
                      <a:fillRect/>
                    </a:stretch>
                  </pic:blipFill>
                  <pic:spPr>
                    <a:xfrm>
                      <a:off x="0" y="0"/>
                      <a:ext cx="5650992" cy="2928241"/>
                    </a:xfrm>
                    <a:prstGeom prst="rect"/>
                  </pic:spPr>
                </pic:pic>
              </a:graphicData>
            </a:graphic>
          </wp:inline>
        </w:drawing>
      </w:r>
    </w:p>
    <w:p>
      <w:pPr>
        <w:pStyle w:val="Caption"/>
        <w:keepNext w:val="0"/>
      </w:pPr>
      <w:r>
        <w:rPr>
          <w:rFonts w:ascii="SimSun" w:hAnsi="SimSun" w:eastAsia="宋体" w:cs="SimSun"/>
          <w:color w:val="000000"/>
          <w:sz w:val="24"/>
        </w:rPr>
        <w:t>图 15 从关键技术到验收证据的验证体系</w:t>
      </w:r>
    </w:p>
    <w:p>
      <w:pPr>
        <w:pStyle w:val="Caption"/>
        <w:keepNext/>
        <w:jc w:val="center"/>
      </w:pPr>
      <w:r>
        <w:rPr>
          <w:rFonts w:ascii="SimSun" w:hAnsi="SimSun" w:eastAsia="宋体" w:cs="SimSun"/>
          <w:color w:val="000000"/>
          <w:sz w:val="24"/>
        </w:rPr>
        <w:t>表 12 建议验证指标与证据</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804"/>
        <w:gridCol w:w="3084"/>
        <w:gridCol w:w="3084"/>
      </w:tblGrid>
      <w:tr>
        <w:trPr>
          <w:cantSplit w:val="true"/>
          <w:tblHeader w:val="true"/>
        </w:trPr>
        <w:tc>
          <w:tcPr>
            <w:tcW w:type="dxa" w:w="280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验证维度</w:t>
            </w:r>
          </w:p>
        </w:tc>
        <w:tc>
          <w:tcPr>
            <w:tcW w:type="dxa" w:w="308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建议指标或检查项</w:t>
            </w:r>
          </w:p>
        </w:tc>
        <w:tc>
          <w:tcPr>
            <w:tcW w:type="dxa" w:w="3084"/>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主要证据</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技术可行性</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识别精度、边界质量、人工修订时间、规则命中正确性</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算法评测报告、样例和复核记录</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功能完整性</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约定功能完成率、正常与异常流程覆盖</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需求追踪矩阵、功能测试记录</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流程可用性</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典型任务成功率、平均操作时间、用户问题数</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场景测试、试用反馈和改进记录</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系统质量</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测试用例通过率、严重缺陷、连续运行稳定性</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测试报告、缺陷台账和运行监控</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安全合规</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身份、权限、数据隔离、审计、备份恢复</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安全测试、权限矩阵和恢复演练记录</w:t>
            </w:r>
          </w:p>
        </w:tc>
      </w:tr>
      <w:tr>
        <w:trPr>
          <w:cantSplit w:val="true"/>
        </w:trPr>
        <w:tc>
          <w:tcPr>
            <w:tcW w:type="dxa" w:w="280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交付完整性</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报告、系统、源程序、手册和测试资料一致</w:t>
            </w:r>
          </w:p>
        </w:tc>
        <w:tc>
          <w:tcPr>
            <w:tcW w:type="dxa" w:w="308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交付清单、版本清单和签收记录</w:t>
            </w:r>
          </w:p>
        </w:tc>
      </w:tr>
    </w:tbl>
    <w:p>
      <w:pPr>
        <w:pStyle w:val="Heading2"/>
        <w:spacing w:lineRule="exact" w:line="480" w:before="0" w:after="0"/>
        <w:ind w:firstLine="0"/>
      </w:pPr>
      <w:bookmarkStart w:id="60" w:name="report_heading_060"/>
      <w:r>
        <w:rPr>
          <w:rFonts w:ascii="KaiTi" w:hAnsi="KaiTi" w:eastAsia="楷体" w:cs="KaiTi"/>
          <w:b w:val="0"/>
          <w:color w:val="000000"/>
          <w:sz w:val="28"/>
        </w:rPr>
        <w:t>（二）典型验收场景</w:t>
      </w:r>
      <w:bookmarkEnd w:id="60"/>
    </w:p>
    <w:p>
      <w:pPr>
        <w:widowControl/>
        <w:spacing w:lineRule="exact" w:line="480" w:before="0" w:after="0"/>
        <w:ind w:firstLine="480"/>
      </w:pPr>
      <w:r>
        <w:rPr>
          <w:rFonts w:ascii="SimSun" w:hAnsi="SimSun" w:eastAsia="宋体" w:cs="SimSun"/>
          <w:b w:val="0"/>
          <w:color w:val="000000"/>
          <w:sz w:val="24"/>
        </w:rPr>
        <w:t>验收场景应覆盖项目建立、资料导入、分区候选识别、人工复核、参数配置、候选方案生成、规则冲突提示、跨区域检查、方案评价、成果入库、历史方案检索、版本比较、权限隔离、任务失败和恢复等完整流程。测试数据、环境、角色和预期结果需提前固化。</w:t>
      </w:r>
    </w:p>
    <w:p>
      <w:pPr>
        <w:pStyle w:val="Heading2"/>
        <w:spacing w:lineRule="exact" w:line="480" w:before="0" w:after="0"/>
        <w:ind w:firstLine="0"/>
      </w:pPr>
      <w:bookmarkStart w:id="61" w:name="report_heading_061"/>
      <w:r>
        <w:rPr>
          <w:rFonts w:ascii="KaiTi" w:hAnsi="KaiTi" w:eastAsia="楷体" w:cs="KaiTi"/>
          <w:b w:val="0"/>
          <w:color w:val="000000"/>
          <w:sz w:val="28"/>
        </w:rPr>
        <w:t>（三）质量指标处理原则</w:t>
      </w:r>
      <w:bookmarkEnd w:id="61"/>
    </w:p>
    <w:p>
      <w:pPr>
        <w:widowControl/>
        <w:spacing w:lineRule="exact" w:line="480" w:before="0" w:after="0"/>
        <w:ind w:firstLine="480"/>
      </w:pPr>
      <w:r>
        <w:rPr>
          <w:rFonts w:ascii="SimSun" w:hAnsi="SimSun" w:eastAsia="宋体" w:cs="SimSun"/>
          <w:b w:val="0"/>
          <w:color w:val="000000"/>
          <w:sz w:val="24"/>
        </w:rPr>
        <w:t>合同规定的功能完成率、测试通过率、严重缺陷和稳定运行指标应通过可复核证据证明。技术标书、合同或后续书面文件对整改时限等要求不一致时，以最终生效文件为准，并在验收计划中明确起算条件、责任人和复验方式。</w:t>
      </w:r>
    </w:p>
    <w:p>
      <w:pPr>
        <w:pStyle w:val="Heading1"/>
        <w:spacing w:lineRule="exact" w:line="480" w:before="0" w:after="0"/>
        <w:ind w:firstLine="0"/>
      </w:pPr>
      <w:bookmarkStart w:id="62" w:name="report_heading_062"/>
      <w:r>
        <w:rPr>
          <w:rFonts w:ascii="SimHei" w:hAnsi="SimHei" w:eastAsia="黑体" w:cs="SimHei"/>
          <w:b/>
          <w:color w:val="000000"/>
          <w:sz w:val="28"/>
        </w:rPr>
        <w:t>十四、主要风险与控制措施</w:t>
      </w:r>
      <w:bookmarkEnd w:id="62"/>
    </w:p>
    <w:p>
      <w:pPr>
        <w:pStyle w:val="Caption"/>
        <w:keepNext/>
        <w:jc w:val="center"/>
      </w:pPr>
      <w:r>
        <w:rPr>
          <w:rFonts w:ascii="SimSun" w:hAnsi="SimSun" w:eastAsia="宋体" w:cs="SimSun"/>
          <w:color w:val="000000"/>
          <w:sz w:val="24"/>
        </w:rPr>
        <w:t>表 13 平台建设主要风险与控制措施</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243"/>
        <w:gridCol w:w="2243"/>
        <w:gridCol w:w="2243"/>
        <w:gridCol w:w="2243"/>
      </w:tblGrid>
      <w:tr>
        <w:trPr>
          <w:cantSplit w:val="true"/>
          <w:tblHeader w:val="true"/>
        </w:trPr>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风险</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可能影响</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预警信号</w:t>
            </w:r>
          </w:p>
        </w:tc>
        <w:tc>
          <w:tcPr>
            <w:tcW w:type="dxa" w:w="2243"/>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控制措施</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数据不足或质量不稳定</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识别效果波动，难以形成可靠评测</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样本集中、标注分歧大、低质量资料占比高</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分层采样、标注复核、质量分级和数据补充计划</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模块与区域标准不统一</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数据无法关联，功能反复调整</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同一对象多名称、多编码、边界争议</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优先完成分类编码和数据字典评审</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智能结果与工程约束脱节</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方案不可制造或不可评审</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规则冲突多、人工推翻率高</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结构化参数、硬约束过滤和人工终审</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外部能力不稳定</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任务积压、失败或结果不一致</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超时增加、版本变化、输出格式漂移</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适配层、能力版本、超时重试和替代方案</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产品平台接口条件滞后</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联调延期、字段反复修改</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接口责任人和测试环境未明确</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提前形成接口清单、模拟验证和书面确认</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范围扩张与进度冲突</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里程碑延期、质量下降</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新需求持续进入且无取舍</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变更评估、优先级和阶段范围冻结</w:t>
            </w:r>
          </w:p>
        </w:tc>
      </w:tr>
      <w:tr>
        <w:trPr>
          <w:cantSplit w:val="true"/>
        </w:trPr>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安全与授权不清</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数据无法使用或产生合规风险</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数据来源、许可或共享范围缺失</w:t>
            </w:r>
          </w:p>
        </w:tc>
        <w:tc>
          <w:tcPr>
            <w:tcW w:type="dxa" w:w="22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数据授权清单、最小权限和导出审批</w:t>
            </w:r>
          </w:p>
        </w:tc>
      </w:tr>
    </w:tbl>
    <w:p>
      <w:pPr>
        <w:pStyle w:val="Heading2"/>
        <w:spacing w:lineRule="exact" w:line="480" w:before="0" w:after="0"/>
        <w:ind w:firstLine="0"/>
      </w:pPr>
      <w:bookmarkStart w:id="63" w:name="report_heading_063"/>
      <w:r>
        <w:rPr>
          <w:rFonts w:ascii="KaiTi" w:hAnsi="KaiTi" w:eastAsia="楷体" w:cs="KaiTi"/>
          <w:b w:val="0"/>
          <w:color w:val="000000"/>
          <w:sz w:val="28"/>
        </w:rPr>
        <w:t>（一）风险管理机制</w:t>
      </w:r>
      <w:bookmarkEnd w:id="63"/>
    </w:p>
    <w:p>
      <w:pPr>
        <w:widowControl/>
        <w:spacing w:lineRule="exact" w:line="480" w:before="0" w:after="0"/>
        <w:ind w:firstLine="480"/>
      </w:pPr>
      <w:r>
        <w:rPr>
          <w:rFonts w:ascii="SimSun" w:hAnsi="SimSun" w:eastAsia="宋体" w:cs="SimSun"/>
          <w:b w:val="0"/>
          <w:color w:val="000000"/>
          <w:sz w:val="24"/>
        </w:rPr>
        <w:t>项目建立风险台账，记录风险等级、责任人、触发条件、应对措施、计划日期和关闭证据。高风险事项纳入阶段评审，影响里程碑、数据安全或核心技术路线的风险及时向甲方报告并形成书面决策。</w:t>
      </w:r>
    </w:p>
    <w:p>
      <w:pPr>
        <w:pStyle w:val="Heading1"/>
        <w:spacing w:lineRule="exact" w:line="480" w:before="0" w:after="0"/>
        <w:ind w:firstLine="0"/>
      </w:pPr>
      <w:bookmarkStart w:id="64" w:name="report_heading_064"/>
      <w:r>
        <w:rPr>
          <w:rFonts w:ascii="SimHei" w:hAnsi="SimHei" w:eastAsia="黑体" w:cs="SimHei"/>
          <w:b/>
          <w:color w:val="000000"/>
          <w:sz w:val="28"/>
        </w:rPr>
        <w:t>十五、结论与建设建议</w:t>
      </w:r>
      <w:bookmarkEnd w:id="64"/>
    </w:p>
    <w:p>
      <w:pPr>
        <w:widowControl/>
        <w:spacing w:lineRule="exact" w:line="480" w:before="0" w:after="0"/>
        <w:ind w:firstLine="480"/>
      </w:pPr>
      <w:r>
        <w:rPr>
          <w:rFonts w:ascii="SimSun" w:hAnsi="SimSun" w:eastAsia="宋体" w:cs="SimSun"/>
          <w:b w:val="0"/>
          <w:color w:val="000000"/>
          <w:sz w:val="24"/>
        </w:rPr>
        <w:t>本报告围绕平台搭建的关键技术和实施方法，形成了从模块对象、多模态分区识别、快速设计、规则约束、跨区域优化到平台架构、数据底座、系统集成和验证计划的完整指导框架。其核心思想是以稳定的业务对象和平台治理承载可演进的智能能力，以人工复核和显式规则保证工程可用性，以项目资源、任务和版本关系保证全过程可追溯。</w:t>
      </w:r>
    </w:p>
    <w:p>
      <w:pPr>
        <w:widowControl/>
        <w:spacing w:lineRule="exact" w:line="480" w:before="0" w:after="0"/>
        <w:ind w:firstLine="480"/>
      </w:pPr>
      <w:r>
        <w:rPr>
          <w:rFonts w:ascii="SimSun" w:hAnsi="SimSun" w:eastAsia="宋体" w:cs="SimSun"/>
          <w:b w:val="0"/>
          <w:color w:val="000000"/>
          <w:sz w:val="24"/>
        </w:rPr>
        <w:t>后续建设应优先完成区域与四级模块标准、数据清单、标注规范、规则参数和典型场景定义，在此基础上同步推进识别原型、快速设计闭环和平台支撑能力。第一阶段重点固化研究结论和总体设计；第二阶段围绕核心功能、能力接入和检测形成可运行系统；第三阶段完成产品平台集成、系统级验证和成果交付。所有阶段均应以可检查的成果和证据关闭，而不以页面展示或模型单次成功替代工程完成判定。</w:t>
      </w:r>
    </w:p>
    <w:p>
      <w:pPr>
        <w:pStyle w:val="Heading1"/>
        <w:spacing w:lineRule="exact" w:line="480" w:before="0" w:after="0"/>
        <w:ind w:firstLine="0"/>
      </w:pPr>
      <w:bookmarkStart w:id="65" w:name="report_heading_065"/>
      <w:r>
        <w:rPr>
          <w:rFonts w:ascii="SimHei" w:hAnsi="SimHei" w:eastAsia="黑体" w:cs="SimHei"/>
          <w:b/>
          <w:color w:val="000000"/>
          <w:sz w:val="28"/>
        </w:rPr>
        <w:t>附录 A 甲方关注事项与报告章节对应表</w:t>
      </w:r>
      <w:bookmarkEnd w:id="65"/>
    </w:p>
    <w:p>
      <w:pPr>
        <w:pStyle w:val="Caption"/>
        <w:keepNext/>
        <w:jc w:val="center"/>
      </w:pPr>
      <w:r>
        <w:rPr>
          <w:rFonts w:ascii="SimSun" w:hAnsi="SimSun" w:eastAsia="宋体" w:cs="SimSun"/>
          <w:color w:val="000000"/>
          <w:sz w:val="24"/>
        </w:rPr>
        <w:t>表 14 甲方要求追踪矩阵</w:t>
      </w:r>
    </w:p>
    <w:tbl>
      <w:tblPr>
        <w:tblStyle w:val="TableGrid"/>
        <w:tblW w:type="dxa" w:w="8972"/>
        <w:jc w:val="left"/>
        <w:tblLayout w:type="fixed"/>
        <w:tblLook w:firstColumn="1" w:firstRow="1" w:lastColumn="0" w:lastRow="0" w:noHBand="0" w:noVBand="1" w:val="04A0"/>
        <w:tblInd w:type="dxa" w:w="100"/>
        <w:tblBorders>
          <w:top w:val="single" w:sz="4" w:color="C9D1DA"/>
          <w:left w:val="single" w:sz="4" w:color="C9D1DA"/>
          <w:bottom w:val="single" w:sz="4" w:color="C9D1DA"/>
          <w:right w:val="single" w:sz="4" w:color="C9D1DA"/>
          <w:insideH w:val="single" w:sz="4" w:color="C9D1DA"/>
          <w:insideV w:val="single" w:sz="4" w:color="C9D1DA"/>
        </w:tblBorders>
      </w:tblPr>
      <w:tblGrid>
        <w:gridCol w:w="2991"/>
        <w:gridCol w:w="2991"/>
        <w:gridCol w:w="2990"/>
      </w:tblGrid>
      <w:tr>
        <w:trPr>
          <w:cantSplit w:val="true"/>
          <w:tblHeader w:val="true"/>
        </w:trPr>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甲方关注事项</w:t>
            </w:r>
          </w:p>
        </w:tc>
        <w:tc>
          <w:tcPr>
            <w:tcW w:type="dxa" w:w="2991"/>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对应章节</w:t>
            </w:r>
          </w:p>
        </w:tc>
        <w:tc>
          <w:tcPr>
            <w:tcW w:type="dxa" w:w="2990"/>
            <w:tcMar>
              <w:top w:w="80" w:type="dxa"/>
              <w:bottom w:w="80" w:type="dxa"/>
              <w:start w:w="100" w:type="dxa"/>
              <w:end w:w="100" w:type="dxa"/>
            </w:tcMar>
            <w:vAlign w:val="center"/>
            <w:shd w:fill="EEF1F5"/>
          </w:tcPr>
          <w:p>
            <w:pPr>
              <w:spacing w:lineRule="exact" w:line="480" w:before="0" w:after="0"/>
              <w:ind w:firstLine="0"/>
              <w:jc w:val="left"/>
            </w:pPr>
            <w:r>
              <w:rPr>
                <w:rFonts w:ascii="SimSun" w:hAnsi="SimSun" w:eastAsia="宋体" w:cs="SimSun"/>
                <w:b/>
                <w:color w:val="000000"/>
                <w:sz w:val="24"/>
              </w:rPr>
              <w:t>本报告响应</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聚焦平台搭建技术点</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第五、六、七章</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系统论述分区识别、多模态应用、参数化与规则化快速设计关键技术</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说明平台搭建架构</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第四、九、十章</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给出分层架构、服务边界、数据底座、部署和接口设计</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明确技术路线</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第三、十二章</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给出研究主线、实施路线、阶段门和近期任务分解</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明确功能模块</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第八章</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给出功能地图、主要输入输出、典型场景和角色职责</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明确搭建进度计划</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第十二章</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对齐三阶段时间节点、主要工作、成果和完成条件</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报告作为建设前指导文件</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第一章及全文</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从投标响应扩展到对象、数据、技术、功能、实施和验证方法</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图文并茂</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全文</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统一设置15幅技术图和14张数据表，并在正文中逐一引用</w:t>
            </w:r>
          </w:p>
        </w:tc>
      </w:tr>
      <w:tr>
        <w:trPr>
          <w:cantSplit w:val="true"/>
        </w:trPr>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可用于后续落地与验收</w:t>
            </w:r>
          </w:p>
        </w:tc>
        <w:tc>
          <w:tcPr>
            <w:tcW w:type="dxa" w:w="29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第十至十四章</w:t>
            </w:r>
          </w:p>
        </w:tc>
        <w:tc>
          <w:tcPr>
            <w:tcW w:type="dxa" w:w="299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明确接口、安全、运行、验证、证据和风险控制方法</w:t>
            </w:r>
          </w:p>
        </w:tc>
      </w:tr>
    </w:tbl>
    <w:p>
      <w:pPr>
        <w:pStyle w:val="Heading1"/>
        <w:spacing w:lineRule="exact" w:line="480" w:before="0" w:after="0"/>
        <w:ind w:firstLine="0"/>
      </w:pPr>
      <w:bookmarkStart w:id="66" w:name="report_heading_066"/>
      <w:r>
        <w:rPr>
          <w:rFonts w:ascii="SimHei" w:hAnsi="SimHei" w:eastAsia="黑体" w:cs="SimHei"/>
          <w:b/>
          <w:color w:val="000000"/>
          <w:sz w:val="28"/>
        </w:rPr>
        <w:t>附录 B 后续详细设计输入清单</w:t>
      </w:r>
      <w:bookmarkEnd w:id="66"/>
    </w:p>
    <w:p>
      <w:pPr>
        <w:pStyle w:val="ListParagraph"/>
        <w:spacing w:lineRule="exact" w:line="480" w:before="0" w:after="0"/>
        <w:ind w:firstLine="0"/>
        <w:numPr>
          <w:ilvl w:val="0"/>
          <w:numId w:val="13"/>
        </w:numPr>
      </w:pPr>
      <w:r>
        <w:rPr>
          <w:rFonts w:ascii="SimSun" w:hAnsi="SimSun" w:eastAsia="宋体" w:cs="SimSun"/>
          <w:b w:val="0"/>
          <w:color w:val="000000"/>
          <w:sz w:val="24"/>
        </w:rPr>
        <w:t>经确认的区域分类、四级模块清单、编码规则和对象数据字典。</w:t>
      </w:r>
    </w:p>
    <w:p>
      <w:pPr>
        <w:pStyle w:val="ListParagraph"/>
        <w:spacing w:lineRule="exact" w:line="480" w:before="0" w:after="0"/>
        <w:ind w:firstLine="0"/>
        <w:numPr>
          <w:ilvl w:val="0"/>
          <w:numId w:val="13"/>
        </w:numPr>
      </w:pPr>
      <w:r>
        <w:rPr>
          <w:rFonts w:ascii="SimSun" w:hAnsi="SimSun" w:eastAsia="宋体" w:cs="SimSun"/>
          <w:b w:val="0"/>
          <w:color w:val="000000"/>
          <w:sz w:val="24"/>
        </w:rPr>
        <w:t>数据来源、样本规模、质量等级、授权范围和标注规范。</w:t>
      </w:r>
    </w:p>
    <w:p>
      <w:pPr>
        <w:pStyle w:val="ListParagraph"/>
        <w:spacing w:lineRule="exact" w:line="480" w:before="0" w:after="0"/>
        <w:ind w:firstLine="0"/>
        <w:numPr>
          <w:ilvl w:val="0"/>
          <w:numId w:val="13"/>
        </w:numPr>
      </w:pPr>
      <w:r>
        <w:rPr>
          <w:rFonts w:ascii="SimSun" w:hAnsi="SimSun" w:eastAsia="宋体" w:cs="SimSun"/>
          <w:b w:val="0"/>
          <w:color w:val="000000"/>
          <w:sz w:val="24"/>
        </w:rPr>
        <w:t>典型车型、典型区域、典型设计任务和验收样例。</w:t>
      </w:r>
    </w:p>
    <w:p>
      <w:pPr>
        <w:pStyle w:val="ListParagraph"/>
        <w:spacing w:lineRule="exact" w:line="480" w:before="0" w:after="0"/>
        <w:ind w:firstLine="0"/>
        <w:numPr>
          <w:ilvl w:val="0"/>
          <w:numId w:val="13"/>
        </w:numPr>
      </w:pPr>
      <w:r>
        <w:rPr>
          <w:rFonts w:ascii="SimSun" w:hAnsi="SimSun" w:eastAsia="宋体" w:cs="SimSun"/>
          <w:b w:val="0"/>
          <w:color w:val="000000"/>
          <w:sz w:val="24"/>
        </w:rPr>
        <w:t>设计参数、硬约束、条件规则、软目标和例外审批机制。</w:t>
      </w:r>
    </w:p>
    <w:p>
      <w:pPr>
        <w:pStyle w:val="ListParagraph"/>
        <w:spacing w:lineRule="exact" w:line="480" w:before="0" w:after="0"/>
        <w:ind w:firstLine="0"/>
        <w:numPr>
          <w:ilvl w:val="0"/>
          <w:numId w:val="13"/>
        </w:numPr>
      </w:pPr>
      <w:r>
        <w:rPr>
          <w:rFonts w:ascii="SimSun" w:hAnsi="SimSun" w:eastAsia="宋体" w:cs="SimSun"/>
          <w:b w:val="0"/>
          <w:color w:val="000000"/>
          <w:sz w:val="24"/>
        </w:rPr>
        <w:t>既有产品平台的主数据、接口字段、身份方式和测试环境。</w:t>
      </w:r>
    </w:p>
    <w:p>
      <w:pPr>
        <w:pStyle w:val="ListParagraph"/>
        <w:spacing w:lineRule="exact" w:line="480" w:before="0" w:after="0"/>
        <w:ind w:firstLine="0"/>
        <w:numPr>
          <w:ilvl w:val="0"/>
          <w:numId w:val="13"/>
        </w:numPr>
      </w:pPr>
      <w:r>
        <w:rPr>
          <w:rFonts w:ascii="SimSun" w:hAnsi="SimSun" w:eastAsia="宋体" w:cs="SimSun"/>
          <w:b w:val="0"/>
          <w:color w:val="000000"/>
          <w:sz w:val="24"/>
        </w:rPr>
        <w:t>模型能力、计算资源、网络分区、存储容量和安全要求。</w:t>
      </w:r>
    </w:p>
    <w:p>
      <w:pPr>
        <w:pStyle w:val="ListParagraph"/>
        <w:spacing w:lineRule="exact" w:line="480" w:before="0" w:after="0"/>
        <w:ind w:firstLine="0"/>
        <w:numPr>
          <w:ilvl w:val="0"/>
          <w:numId w:val="13"/>
        </w:numPr>
      </w:pPr>
      <w:r>
        <w:rPr>
          <w:rFonts w:ascii="SimSun" w:hAnsi="SimSun" w:eastAsia="宋体" w:cs="SimSun"/>
          <w:b w:val="0"/>
          <w:color w:val="000000"/>
          <w:sz w:val="24"/>
        </w:rPr>
        <w:t>用户角色、项目权限、成果共享、审计和保密要求。</w:t>
      </w:r>
    </w:p>
    <w:p>
      <w:pPr>
        <w:pStyle w:val="ListParagraph"/>
        <w:spacing w:lineRule="exact" w:line="480" w:before="0" w:after="0"/>
        <w:ind w:firstLine="0"/>
        <w:numPr>
          <w:ilvl w:val="0"/>
          <w:numId w:val="13"/>
        </w:numPr>
      </w:pPr>
      <w:r>
        <w:rPr>
          <w:rFonts w:ascii="SimSun" w:hAnsi="SimSun" w:eastAsia="宋体" w:cs="SimSun"/>
          <w:b w:val="0"/>
          <w:color w:val="000000"/>
          <w:sz w:val="24"/>
        </w:rPr>
        <w:t>阶段里程碑、交付物、质量指标、评审组织和整改流程。</w:t>
      </w:r>
    </w:p>
    <w:sectPr w:rsidR="00FC693F" w:rsidRPr="0006063C" w:rsidSect="00034616">
      <w:headerReference w:type="default" r:id="rId11"/>
      <w:footerReference w:type="default" r:id="rId12"/>
      <w:pgSz w:w="11906" w:h="16838"/>
      <w:pgMar w:top="1417" w:right="1361" w:bottom="1417" w:left="1474"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Rule="exact" w:line="480" w:before="0" w:after="0"/>
      <w:ind w:firstLine="0"/>
      <w:jc w:val="right"/>
    </w:pPr>
    <w:r>
      <w:rPr>
        <w:rFonts w:ascii="SimSun" w:hAnsi="SimSun" w:eastAsia="宋体" w:cs="SimSun"/>
        <w:color w:val="000000"/>
        <w:sz w:val="18"/>
      </w:rPr>
      <w:t xml:space="preserve">第 </w:t>
    </w:r>
    <w:r>
      <w:rPr>
        <w:rFonts w:ascii="SimSun" w:hAnsi="SimSun" w:eastAsia="宋体" w:cs="SimSun"/>
        <w:color w:val="000000"/>
        <w:sz w:val="18"/>
      </w:rPr>
      <w:fldChar w:fldCharType="begin"/>
    </w:r>
    <w:r>
      <w:rPr>
        <w:rFonts w:ascii="SimSun" w:hAnsi="SimSun" w:eastAsia="宋体" w:cs="SimSun"/>
        <w:color w:val="000000"/>
        <w:sz w:val="18"/>
      </w:rPr>
      <w:instrText xml:space="preserve"> PAGE </w:instrText>
    </w:r>
    <w:r>
      <w:rPr>
        <w:rFonts w:ascii="SimSun" w:hAnsi="SimSun" w:eastAsia="宋体" w:cs="SimSun"/>
        <w:color w:val="000000"/>
        <w:sz w:val="18"/>
      </w:rPr>
      <w:fldChar w:fldCharType="separate"/>
    </w:r>
    <w:r>
      <w:rPr>
        <w:rFonts w:ascii="SimSun" w:hAnsi="SimSun" w:eastAsia="宋体" w:cs="SimSun"/>
        <w:color w:val="000000"/>
        <w:sz w:val="18"/>
      </w:rPr>
      <w:t>1</w:t>
    </w:r>
    <w:r>
      <w:rPr>
        <w:rFonts w:ascii="SimSun" w:hAnsi="SimSun" w:eastAsia="宋体" w:cs="SimSun"/>
        <w:color w:val="000000"/>
        <w:sz w:val="18"/>
      </w:rPr>
      <w:fldChar w:fldCharType="end"/>
    </w:r>
    <w:r>
      <w:rPr>
        <w:rFonts w:ascii="SimSun" w:hAnsi="SimSun" w:eastAsia="宋体" w:cs="SimSun"/>
        <w:color w:val="000000"/>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Rule="exact" w:line="480" w:before="0" w:after="0"/>
      <w:ind w:firstLine="0"/>
      <w:jc w:val="right"/>
    </w:pPr>
    <w:r>
      <w:rPr>
        <w:rFonts w:ascii="SimSun" w:hAnsi="SimSun" w:eastAsia="宋体" w:cs="SimSun"/>
        <w:color w:val="000000"/>
        <w:sz w:val="18"/>
      </w:rPr>
      <w:t xml:space="preserve">第 </w:t>
    </w:r>
    <w:r>
      <w:rPr>
        <w:rFonts w:ascii="SimSun" w:hAnsi="SimSun" w:eastAsia="宋体" w:cs="SimSun"/>
        <w:color w:val="000000"/>
        <w:sz w:val="18"/>
      </w:rPr>
      <w:fldChar w:fldCharType="begin"/>
    </w:r>
    <w:r>
      <w:rPr>
        <w:rFonts w:ascii="SimSun" w:hAnsi="SimSun" w:eastAsia="宋体" w:cs="SimSun"/>
        <w:color w:val="000000"/>
        <w:sz w:val="18"/>
      </w:rPr>
      <w:instrText xml:space="preserve"> PAGE </w:instrText>
    </w:r>
    <w:r>
      <w:rPr>
        <w:rFonts w:ascii="SimSun" w:hAnsi="SimSun" w:eastAsia="宋体" w:cs="SimSun"/>
        <w:color w:val="000000"/>
        <w:sz w:val="18"/>
      </w:rPr>
      <w:fldChar w:fldCharType="separate"/>
    </w:r>
    <w:r>
      <w:rPr>
        <w:rFonts w:ascii="SimSun" w:hAnsi="SimSun" w:eastAsia="宋体" w:cs="SimSun"/>
        <w:color w:val="000000"/>
        <w:sz w:val="18"/>
      </w:rPr>
      <w:t>1</w:t>
    </w:r>
    <w:r>
      <w:rPr>
        <w:rFonts w:ascii="SimSun" w:hAnsi="SimSun" w:eastAsia="宋体" w:cs="SimSun"/>
        <w:color w:val="000000"/>
        <w:sz w:val="18"/>
      </w:rPr>
      <w:fldChar w:fldCharType="end"/>
    </w:r>
    <w:r>
      <w:rPr>
        <w:rFonts w:ascii="SimSun" w:hAnsi="SimSun" w:eastAsia="宋体" w:cs="SimSun"/>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ind w:left="480" w:hanging="240"/>
        <w:spacing w:before="0" w:after="0" w:line="480" w:lineRule="exact"/>
      </w:pPr>
    </w:lvl>
  </w:abstractNum>
  <w:num w:numId="10">
    <w:abstractNumId w:val="9"/>
  </w:num>
  <w:abstractNum w:abstractNumId="10">
    <w:multiLevelType w:val="singleLevel"/>
    <w:lvl w:ilvl="0">
      <w:start w:val="1"/>
      <w:numFmt w:val="decimal"/>
      <w:lvlText w:val="%1．"/>
      <w:suff w:val="space"/>
      <w:pPr>
        <w:ind w:left="480" w:hanging="240"/>
        <w:spacing w:before="0" w:after="0" w:line="480" w:lineRule="exact"/>
      </w:pPr>
    </w:lvl>
  </w:abstractNum>
  <w:num w:numId="11">
    <w:abstractNumId w:val="10"/>
  </w:num>
  <w:abstractNum w:abstractNumId="11">
    <w:multiLevelType w:val="singleLevel"/>
    <w:lvl w:ilvl="0">
      <w:start w:val="1"/>
      <w:numFmt w:val="decimal"/>
      <w:lvlText w:val="%1．"/>
      <w:suff w:val="space"/>
      <w:pPr>
        <w:ind w:left="480" w:hanging="240"/>
        <w:spacing w:before="0" w:after="0" w:line="480" w:lineRule="exact"/>
      </w:pPr>
    </w:lvl>
  </w:abstractNum>
  <w:num w:numId="12">
    <w:abstractNumId w:val="11"/>
  </w:num>
  <w:abstractNum w:abstractNumId="12">
    <w:multiLevelType w:val="singleLevel"/>
    <w:lvl w:ilvl="0">
      <w:start w:val="1"/>
      <w:numFmt w:val="decimal"/>
      <w:lvlText w:val="%1．"/>
      <w:suff w:val="space"/>
      <w:pPr>
        <w:ind w:left="480" w:hanging="240"/>
        <w:spacing w:before="0" w:after="0" w:line="480" w:lineRule="exact"/>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80" w:before="0" w:after="0"/>
      <w:ind w:firstLine="480"/>
      <w:jc w:val="both"/>
    </w:pPr>
    <w:rPr>
      <w:rFonts w:ascii="SimSun" w:hAnsi="SimSun" w:eastAsia="宋体" w:cs="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Rule="exact" w:line="480"/>
      <w:ind w:firstLine="0"/>
      <w:outlineLvl w:val="0"/>
    </w:pPr>
    <w:rPr>
      <w:rFonts w:ascii="SimHei" w:hAnsi="SimHei" w:eastAsia="黑体" w:cs="Sim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0" w:lineRule="exact" w:line="480"/>
      <w:ind w:firstLine="0"/>
      <w:outlineLvl w:val="1"/>
    </w:pPr>
    <w:rPr>
      <w:rFonts w:ascii="KaiTi" w:hAnsi="KaiTi" w:eastAsia="楷体" w:cs="KaiTi"/>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0" w:lineRule="exact" w:line="480"/>
      <w:ind w:firstLine="0"/>
      <w:outlineLvl w:val="2"/>
    </w:pPr>
    <w:rPr>
      <w:rFonts w:ascii="SimSun" w:hAnsi="SimSun" w:eastAsia="宋体" w:cs="SimSun"/>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40" w:after="0" w:lineRule="exact" w:line="480"/>
      <w:ind w:firstLine="0"/>
      <w:outlineLvl w:val="3"/>
    </w:pPr>
    <w:rPr>
      <w:rFonts w:ascii="SimSun" w:hAnsi="SimSun" w:eastAsia="宋体" w:cs="SimSun"/>
      <w:b w:val="0"/>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Rule="exact" w:line="480" w:before="0" w:after="0"/>
      <w:ind w:left="720" w:firstLine="0"/>
      <w:contextualSpacing/>
    </w:pPr>
    <w:rPr>
      <w:rFonts w:ascii="SimSun" w:hAnsi="SimSun" w:eastAsia="宋体" w:cs="SimSun"/>
      <w:color w:val="000000"/>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480" w:lineRule="exact" w:before="0" w:after="0"/>
      <w:ind w:firstLine="0"/>
      <w:jc w:val="center"/>
    </w:pPr>
    <w:rPr>
      <w:rFonts w:ascii="SimSun" w:hAnsi="SimSun" w:eastAsia="宋体" w:cs="SimSu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基于轨道交通客运装备的内装模块分区识别与快速设计系统构建研究报告</dc:title>
  <dc:subject>轨道交通客运装备内装模块分区识别与快速设计平台建设指导</dc:subject>
  <dc:creator>轨道客室智能设计平台项目组</dc:creator>
  <cp:keywords>轨道交通, 客室内装, 模块分区, 多模态识别, 快速设计, 平台架构</cp:keywords>
  <dc:description>文档编号 RAIL-CONTRACT-RP-001；版本 V2.0；建设指导评审稿</dc:description>
  <cp:lastModifiedBy/>
  <cp:revision>1</cp:revision>
  <dcterms:created xsi:type="dcterms:W3CDTF">2013-12-23T23:15:00Z</dcterms:created>
  <dcterms:modified xsi:type="dcterms:W3CDTF">2013-12-23T23:15:00Z</dcterms:modified>
  <cp:category/>
</cp:coreProperties>
</file>