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br/>
        <w:br/>
      </w:r>
    </w:p>
    <w:p>
      <w:pPr>
        <w:spacing w:after="360"/>
        <w:jc w:val="center"/>
      </w:pPr>
      <w:r>
        <w:rPr>
          <w:rFonts w:ascii="SimHei" w:hAnsi="SimHei" w:eastAsia="黑体" w:cs="SimHei"/>
          <w:b/>
          <w:color w:val="B91C32"/>
          <w:sz w:val="24"/>
        </w:rPr>
        <w:t>合同研究报告 · 建设指导评审稿</w:t>
      </w:r>
    </w:p>
    <w:p>
      <w:pPr>
        <w:spacing w:line="259" w:lineRule="auto" w:after="360"/>
        <w:jc w:val="center"/>
      </w:pPr>
      <w:r>
        <w:rPr>
          <w:rFonts w:ascii="SimHei" w:hAnsi="SimHei" w:eastAsia="黑体" w:cs="SimHei"/>
          <w:b/>
          <w:color w:val="000000"/>
          <w:sz w:val="54"/>
        </w:rPr>
        <w:t>基于轨道交通客运装备的</w:t>
        <w:br/>
        <w:t>内装模块分区识别与快速设计</w:t>
        <w:br/>
        <w:t>系统构建研究报告</w:t>
      </w:r>
    </w:p>
    <w:p>
      <w:pPr>
        <w:spacing w:after="840"/>
        <w:jc w:val="center"/>
      </w:pPr>
      <w:r>
        <w:rPr>
          <w:rFonts w:ascii="KaiTi" w:hAnsi="KaiTi" w:eastAsia="楷体" w:cs="KaiTi"/>
          <w:color w:val="000000"/>
          <w:sz w:val="28"/>
        </w:rPr>
        <w:t>客运装备内装模块化分区快速设计平台</w:t>
      </w:r>
    </w:p>
    <w:p>
      <w:pPr>
        <w:spacing w:after="120"/>
        <w:jc w:val="center"/>
      </w:pPr>
      <w:r>
        <w:rPr>
          <w:rFonts w:ascii="SimSun" w:hAnsi="SimSun" w:eastAsia="宋体" w:cs="SimSun"/>
          <w:b/>
          <w:color w:val="000000"/>
          <w:sz w:val="22"/>
        </w:rPr>
        <w:t>文档编号：RAIL-CONTRACT-RP-001    文档版本：V2.2</w:t>
      </w:r>
    </w:p>
    <w:p>
      <w:pPr>
        <w:spacing w:after="120"/>
        <w:jc w:val="center"/>
      </w:pPr>
      <w:r>
        <w:rPr>
          <w:rFonts w:ascii="SimSun" w:hAnsi="SimSun" w:eastAsia="宋体" w:cs="SimSun"/>
          <w:b w:val="0"/>
          <w:color w:val="000000"/>
          <w:sz w:val="22"/>
        </w:rPr>
        <w:t>文档性质：平台构建前技术指导文件</w:t>
      </w:r>
    </w:p>
    <w:p>
      <w:pPr>
        <w:spacing w:after="120"/>
        <w:jc w:val="center"/>
      </w:pPr>
      <w:r>
        <w:rPr>
          <w:rFonts w:ascii="SimSun" w:hAnsi="SimSun" w:eastAsia="宋体" w:cs="SimSun"/>
          <w:b w:val="0"/>
          <w:color w:val="000000"/>
          <w:sz w:val="22"/>
        </w:rPr>
        <w:t>合同依据：技术开发合同（26版）及附件技术规格书</w:t>
      </w:r>
    </w:p>
    <w:p>
      <w:pPr>
        <w:spacing w:after="120"/>
        <w:jc w:val="center"/>
      </w:pPr>
      <w:r>
        <w:rPr>
          <w:rFonts w:ascii="SimSun" w:hAnsi="SimSun" w:eastAsia="宋体" w:cs="SimSun"/>
          <w:b w:val="0"/>
          <w:color w:val="000000"/>
          <w:sz w:val="22"/>
        </w:rPr>
        <w:t>委托单位：中车工业研究院有限公司</w:t>
      </w:r>
    </w:p>
    <w:p>
      <w:pPr>
        <w:spacing w:after="120"/>
        <w:jc w:val="center"/>
      </w:pPr>
      <w:r>
        <w:rPr>
          <w:rFonts w:ascii="SimSun" w:hAnsi="SimSun" w:eastAsia="宋体" w:cs="SimSun"/>
          <w:b w:val="0"/>
          <w:color w:val="000000"/>
          <w:sz w:val="22"/>
        </w:rPr>
        <w:t>承担单位：北京科技大学</w:t>
      </w:r>
    </w:p>
    <w:p>
      <w:pPr>
        <w:spacing w:after="0"/>
        <w:jc w:val="center"/>
      </w:pPr>
      <w:r>
        <w:rPr>
          <w:rFonts w:ascii="SimSun" w:hAnsi="SimSun" w:eastAsia="宋体" w:cs="SimSun"/>
          <w:b/>
          <w:color w:val="000000"/>
          <w:sz w:val="22"/>
        </w:rPr>
        <w:t>2026年9月3日</w:t>
      </w:r>
    </w:p>
    <w:p>
      <w:pPr>
        <w:sectPr>
          <w:headerReference w:type="default" r:id="rId9"/>
          <w:footerReference w:type="default" r:id="rId10"/>
          <w:pgSz w:w="11906" w:h="16838"/>
          <w:pgMar w:top="1417" w:right="1361" w:bottom="1417" w:left="1474" w:header="850" w:footer="992" w:gutter="0"/>
          <w:cols w:space="720"/>
          <w:docGrid w:linePitch="360"/>
        </w:sectPr>
      </w:pPr>
    </w:p>
    <w:p>
      <w:pPr>
        <w:pStyle w:val="Heading1"/>
        <w:spacing w:before="0"/>
      </w:pPr>
      <w:r>
        <w:t>文档控制</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001"/>
        <w:gridCol w:w="6971"/>
      </w:tblGrid>
      <w:tr>
        <w:trPr>
          <w:cantSplit w:val="true"/>
          <w:tblHeader w:val="true"/>
        </w:trPr>
        <w:tc>
          <w:tcPr>
            <w:tcW w:type="dxa" w:w="200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控制项</w:t>
            </w:r>
          </w:p>
        </w:tc>
        <w:tc>
          <w:tcPr>
            <w:tcW w:type="dxa" w:w="697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记录</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文档编号 / 版本</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RAIL-CONTRACT-RP-001 / V2.2</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文档状态</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建设指导评审稿</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编制日期</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2026年9月3日</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文档定位</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平台构建前的关键技术、总体架构、功能模块、技术路线和进度指导文件</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合同依据</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技术开发合同（26版）及附件技术规格书</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内容依据</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平台建设需求及甲方关于报告定位、图文表达和建设指导性的补充意见</w:t>
            </w:r>
          </w:p>
        </w:tc>
      </w:tr>
    </w:tbl>
    <w:p>
      <w:pPr>
        <w:pStyle w:val="Heading2"/>
        <w:spacing w:before="240"/>
      </w:pPr>
      <w:r>
        <w:t>修订记录</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966"/>
        <w:gridCol w:w="1380"/>
        <w:gridCol w:w="1656"/>
        <w:gridCol w:w="4970"/>
      </w:tblGrid>
      <w:tr>
        <w:trPr>
          <w:cantSplit w:val="true"/>
          <w:tblHeader w:val="true"/>
        </w:trPr>
        <w:tc>
          <w:tcPr>
            <w:tcW w:type="dxa" w:w="966"/>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版本</w:t>
            </w:r>
          </w:p>
        </w:tc>
        <w:tc>
          <w:tcPr>
            <w:tcW w:type="dxa" w:w="138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日期</w:t>
            </w:r>
          </w:p>
        </w:tc>
        <w:tc>
          <w:tcPr>
            <w:tcW w:type="dxa" w:w="1656"/>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状态</w:t>
            </w:r>
          </w:p>
        </w:tc>
        <w:tc>
          <w:tcPr>
            <w:tcW w:type="dxa" w:w="497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修订说明</w:t>
            </w:r>
          </w:p>
        </w:tc>
      </w:tr>
      <w:tr>
        <w:trPr>
          <w:cantSplit w:val="true"/>
        </w:trPr>
        <w:tc>
          <w:tcPr>
            <w:tcW w:type="dxa" w:w="96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V2.0</w:t>
            </w:r>
          </w:p>
        </w:tc>
        <w:tc>
          <w:tcPr>
            <w:tcW w:type="dxa" w:w="138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2026-09-03</w:t>
            </w:r>
          </w:p>
        </w:tc>
        <w:tc>
          <w:tcPr>
            <w:tcW w:type="dxa" w:w="16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历史指导稿</w:t>
            </w:r>
          </w:p>
        </w:tc>
        <w:tc>
          <w:tcPr>
            <w:tcW w:type="dxa" w:w="497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重构为平台构建前建设指导文件</w:t>
            </w:r>
          </w:p>
        </w:tc>
      </w:tr>
      <w:tr>
        <w:trPr>
          <w:cantSplit w:val="true"/>
        </w:trPr>
        <w:tc>
          <w:tcPr>
            <w:tcW w:type="dxa" w:w="96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V2.1</w:t>
            </w:r>
          </w:p>
        </w:tc>
        <w:tc>
          <w:tcPr>
            <w:tcW w:type="dxa" w:w="138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2026-09-03</w:t>
            </w:r>
          </w:p>
        </w:tc>
        <w:tc>
          <w:tcPr>
            <w:tcW w:type="dxa" w:w="16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历史评审稿</w:t>
            </w:r>
          </w:p>
        </w:tc>
        <w:tc>
          <w:tcPr>
            <w:tcW w:type="dxa" w:w="497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重绘技术图、清理无关内容并控制篇幅</w:t>
            </w:r>
          </w:p>
        </w:tc>
      </w:tr>
      <w:tr>
        <w:trPr>
          <w:cantSplit w:val="true"/>
        </w:trPr>
        <w:tc>
          <w:tcPr>
            <w:tcW w:type="dxa" w:w="96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V2.2</w:t>
            </w:r>
          </w:p>
        </w:tc>
        <w:tc>
          <w:tcPr>
            <w:tcW w:type="dxa" w:w="138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2026-09-03</w:t>
            </w:r>
          </w:p>
        </w:tc>
        <w:tc>
          <w:tcPr>
            <w:tcW w:type="dxa" w:w="16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当前评审稿</w:t>
            </w:r>
          </w:p>
        </w:tc>
        <w:tc>
          <w:tcPr>
            <w:tcW w:type="dxa" w:w="497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统一研究报告独立表述并完成全文语义复核</w:t>
            </w:r>
          </w:p>
        </w:tc>
      </w:tr>
    </w:tbl>
    <w:tbl>
      <w:tblPr>
        <w:tblW w:type="dxa" w:w="8972"/>
        <w:jc w:val="left"/>
        <w:tblLayout w:type="fixed"/>
        <w:tblLook w:firstColumn="1" w:firstRow="1" w:lastColumn="0" w:lastRow="0" w:noHBand="0" w:noVBand="1" w:val="04A0"/>
        <w:tblInd w:type="dxa" w:w="100"/>
        <w:tblBorders>
          <w:top w:val="single" w:sz="5" w:color="D7DCE2"/>
          <w:left w:val="single" w:sz="5" w:color="D7DCE2"/>
          <w:bottom w:val="single" w:sz="5" w:color="D7DCE2"/>
          <w:right w:val="single" w:sz="5" w:color="D7DCE2"/>
          <w:insideH w:val="single" w:sz="5" w:color="D7DCE2"/>
          <w:insideV w:val="single" w:sz="5" w:color="D7DCE2"/>
        </w:tblBorders>
      </w:tblPr>
      <w:tblGrid>
        <w:gridCol w:w="8972"/>
      </w:tblGrid>
      <w:tr>
        <w:trPr>
          <w:tblHeader w:val="true"/>
        </w:trPr>
        <w:tc>
          <w:tcPr>
            <w:tcW w:type="dxa" w:w="8972"/>
            <w:tcMar>
              <w:top w:w="120" w:type="dxa"/>
              <w:bottom w:w="120" w:type="dxa"/>
              <w:start w:w="160" w:type="dxa"/>
              <w:end w:w="160" w:type="dxa"/>
            </w:tcMar>
            <w:shd w:fill="F7F8FA"/>
          </w:tcPr>
          <w:p>
            <w:pPr>
              <w:spacing w:lineRule="exact" w:line="480" w:before="0" w:after="0"/>
              <w:ind w:firstLine="0"/>
            </w:pPr>
            <w:r>
              <w:rPr>
                <w:rFonts w:ascii="SimHei" w:hAnsi="SimHei" w:eastAsia="黑体" w:cs="SimHei"/>
                <w:b/>
                <w:color w:val="000000"/>
                <w:sz w:val="24"/>
              </w:rPr>
              <w:t>报告使用说明</w:t>
            </w:r>
          </w:p>
          <w:p>
            <w:pPr>
              <w:spacing w:lineRule="exact" w:line="480" w:before="0" w:after="0"/>
              <w:ind w:firstLine="0"/>
            </w:pPr>
            <w:r>
              <w:rPr>
                <w:rFonts w:ascii="SimSun" w:hAnsi="SimSun" w:eastAsia="宋体" w:cs="SimSun"/>
                <w:b w:val="0"/>
                <w:color w:val="000000"/>
                <w:sz w:val="24"/>
              </w:rPr>
              <w:t>本报告用于统一平台建设目标、关键技术、总体架构、功能边界、实施路线和验证方法；具体参数及工程结论在详细设计、试验和审批阶段固化。</w:t>
            </w:r>
          </w:p>
        </w:tc>
      </w:tr>
    </w:tbl>
    <w:p>
      <w:r>
        <w:br w:type="page"/>
      </w:r>
    </w:p>
    <w:p>
      <w:pPr>
        <w:keepNext/>
        <w:spacing w:before="0" w:after="240"/>
      </w:pPr>
      <w:r>
        <w:rPr>
          <w:rFonts w:ascii="SimHei" w:hAnsi="SimHei" w:eastAsia="黑体" w:cs="SimHei"/>
          <w:b/>
          <w:color w:val="000000"/>
          <w:sz w:val="28"/>
        </w:rPr>
        <w:t>目录</w:t>
      </w:r>
    </w:p>
    <w:p>
      <w:pPr>
        <w:tabs>
          <w:tab w:pos="8901" w:val="right" w:leader="dot"/>
        </w:tabs>
        <w:spacing w:lineRule="exact" w:line="480" w:before="0" w:after="0"/>
        <w:ind w:firstLine="0" w:left="0" w:right="0"/>
      </w:pPr>
      <w:hyperlink w:anchor="report_heading_001" w:history="1">
        <w:r>
          <w:rPr>
            <w:rFonts w:ascii="SimSun" w:hAnsi="SimSun" w:eastAsia="宋体" w:cs="SimSun"/>
            <w:b/>
            <w:color w:val="000000"/>
            <w:sz w:val="24"/>
            <w:u w:val="none"/>
          </w:rPr>
          <w:t>摘要</w:t>
        </w:r>
      </w:hyperlink>
      <w:r>
        <w:rPr>
          <w:rFonts w:ascii="SimSun" w:hAnsi="SimSun" w:eastAsia="宋体" w:cs="SimSun"/>
          <w:color w:val="000000"/>
          <w:sz w:val="24"/>
        </w:rPr>
        <w:tab/>
      </w:r>
      <w:hyperlink w:anchor="report_heading_001" w:history="1">
        <w:r>
          <w:rPr>
            <w:rFonts w:ascii="SimSun" w:hAnsi="SimSun" w:eastAsia="宋体" w:cs="SimSun"/>
            <w:b/>
            <w:color w:val="000000"/>
            <w:sz w:val="24"/>
            <w:u w:val="none"/>
          </w:rPr>
          <w:t>6</w:t>
        </w:r>
      </w:hyperlink>
    </w:p>
    <w:p>
      <w:pPr>
        <w:tabs>
          <w:tab w:pos="8901" w:val="right" w:leader="dot"/>
        </w:tabs>
        <w:spacing w:lineRule="exact" w:line="480" w:before="0" w:after="0"/>
        <w:ind w:firstLine="0" w:left="0" w:right="0"/>
      </w:pPr>
      <w:hyperlink w:anchor="report_heading_002" w:history="1">
        <w:r>
          <w:rPr>
            <w:rFonts w:ascii="SimSun" w:hAnsi="SimSun" w:eastAsia="宋体" w:cs="SimSun"/>
            <w:b/>
            <w:color w:val="000000"/>
            <w:sz w:val="24"/>
            <w:u w:val="none"/>
          </w:rPr>
          <w:t>一、报告定位与研究依据</w:t>
        </w:r>
      </w:hyperlink>
      <w:r>
        <w:rPr>
          <w:rFonts w:ascii="SimSun" w:hAnsi="SimSun" w:eastAsia="宋体" w:cs="SimSun"/>
          <w:color w:val="000000"/>
          <w:sz w:val="24"/>
        </w:rPr>
        <w:tab/>
      </w:r>
      <w:hyperlink w:anchor="report_heading_002" w:history="1">
        <w:r>
          <w:rPr>
            <w:rFonts w:ascii="SimSun" w:hAnsi="SimSun" w:eastAsia="宋体" w:cs="SimSun"/>
            <w:b/>
            <w:color w:val="000000"/>
            <w:sz w:val="24"/>
            <w:u w:val="none"/>
          </w:rPr>
          <w:t>6</w:t>
        </w:r>
      </w:hyperlink>
    </w:p>
    <w:p>
      <w:pPr>
        <w:tabs>
          <w:tab w:pos="8901" w:val="right" w:leader="dot"/>
        </w:tabs>
        <w:spacing w:lineRule="exact" w:line="480" w:before="0" w:after="0"/>
        <w:ind w:firstLine="0" w:left="480" w:right="0"/>
      </w:pPr>
      <w:hyperlink w:anchor="report_heading_003" w:history="1">
        <w:r>
          <w:rPr>
            <w:rFonts w:ascii="SimSun" w:hAnsi="SimSun" w:eastAsia="宋体" w:cs="SimSun"/>
            <w:b w:val="0"/>
            <w:color w:val="000000"/>
            <w:sz w:val="24"/>
            <w:u w:val="none"/>
          </w:rPr>
          <w:t>（一）报告定位</w:t>
        </w:r>
      </w:hyperlink>
      <w:r>
        <w:rPr>
          <w:rFonts w:ascii="SimSun" w:hAnsi="SimSun" w:eastAsia="宋体" w:cs="SimSun"/>
          <w:color w:val="000000"/>
          <w:sz w:val="24"/>
        </w:rPr>
        <w:tab/>
      </w:r>
      <w:hyperlink w:anchor="report_heading_003" w:history="1">
        <w:r>
          <w:rPr>
            <w:rFonts w:ascii="SimSun" w:hAnsi="SimSun" w:eastAsia="宋体" w:cs="SimSun"/>
            <w:b w:val="0"/>
            <w:color w:val="000000"/>
            <w:sz w:val="24"/>
            <w:u w:val="none"/>
          </w:rPr>
          <w:t>6</w:t>
        </w:r>
      </w:hyperlink>
    </w:p>
    <w:p>
      <w:pPr>
        <w:tabs>
          <w:tab w:pos="8901" w:val="right" w:leader="dot"/>
        </w:tabs>
        <w:spacing w:lineRule="exact" w:line="480" w:before="0" w:after="0"/>
        <w:ind w:firstLine="0" w:left="480" w:right="0"/>
      </w:pPr>
      <w:hyperlink w:anchor="report_heading_004" w:history="1">
        <w:r>
          <w:rPr>
            <w:rFonts w:ascii="SimSun" w:hAnsi="SimSun" w:eastAsia="宋体" w:cs="SimSun"/>
            <w:b w:val="0"/>
            <w:color w:val="000000"/>
            <w:sz w:val="24"/>
            <w:u w:val="none"/>
          </w:rPr>
          <w:t>（二）建设依据</w:t>
        </w:r>
      </w:hyperlink>
      <w:r>
        <w:rPr>
          <w:rFonts w:ascii="SimSun" w:hAnsi="SimSun" w:eastAsia="宋体" w:cs="SimSun"/>
          <w:color w:val="000000"/>
          <w:sz w:val="24"/>
        </w:rPr>
        <w:tab/>
      </w:r>
      <w:hyperlink w:anchor="report_heading_004" w:history="1">
        <w:r>
          <w:rPr>
            <w:rFonts w:ascii="SimSun" w:hAnsi="SimSun" w:eastAsia="宋体" w:cs="SimSun"/>
            <w:b w:val="0"/>
            <w:color w:val="000000"/>
            <w:sz w:val="24"/>
            <w:u w:val="none"/>
          </w:rPr>
          <w:t>8</w:t>
        </w:r>
      </w:hyperlink>
    </w:p>
    <w:p>
      <w:pPr>
        <w:tabs>
          <w:tab w:pos="8901" w:val="right" w:leader="dot"/>
        </w:tabs>
        <w:spacing w:lineRule="exact" w:line="480" w:before="0" w:after="0"/>
        <w:ind w:firstLine="0" w:left="480" w:right="0"/>
      </w:pPr>
      <w:hyperlink w:anchor="report_heading_005" w:history="1">
        <w:r>
          <w:rPr>
            <w:rFonts w:ascii="SimSun" w:hAnsi="SimSun" w:eastAsia="宋体" w:cs="SimSun"/>
            <w:b w:val="0"/>
            <w:color w:val="000000"/>
            <w:sz w:val="24"/>
            <w:u w:val="none"/>
          </w:rPr>
          <w:t>（三）研究范围</w:t>
        </w:r>
      </w:hyperlink>
      <w:r>
        <w:rPr>
          <w:rFonts w:ascii="SimSun" w:hAnsi="SimSun" w:eastAsia="宋体" w:cs="SimSun"/>
          <w:color w:val="000000"/>
          <w:sz w:val="24"/>
        </w:rPr>
        <w:tab/>
      </w:r>
      <w:hyperlink w:anchor="report_heading_005" w:history="1">
        <w:r>
          <w:rPr>
            <w:rFonts w:ascii="SimSun" w:hAnsi="SimSun" w:eastAsia="宋体" w:cs="SimSun"/>
            <w:b w:val="0"/>
            <w:color w:val="000000"/>
            <w:sz w:val="24"/>
            <w:u w:val="none"/>
          </w:rPr>
          <w:t>8</w:t>
        </w:r>
      </w:hyperlink>
    </w:p>
    <w:p>
      <w:pPr>
        <w:tabs>
          <w:tab w:pos="8901" w:val="right" w:leader="dot"/>
        </w:tabs>
        <w:spacing w:lineRule="exact" w:line="480" w:before="0" w:after="0"/>
        <w:ind w:firstLine="0" w:left="480" w:right="0"/>
      </w:pPr>
      <w:hyperlink w:anchor="report_heading_006" w:history="1">
        <w:r>
          <w:rPr>
            <w:rFonts w:ascii="SimSun" w:hAnsi="SimSun" w:eastAsia="宋体" w:cs="SimSun"/>
            <w:b w:val="0"/>
            <w:color w:val="000000"/>
            <w:sz w:val="24"/>
            <w:u w:val="none"/>
          </w:rPr>
          <w:t>（四）研究方法</w:t>
        </w:r>
      </w:hyperlink>
      <w:r>
        <w:rPr>
          <w:rFonts w:ascii="SimSun" w:hAnsi="SimSun" w:eastAsia="宋体" w:cs="SimSun"/>
          <w:color w:val="000000"/>
          <w:sz w:val="24"/>
        </w:rPr>
        <w:tab/>
      </w:r>
      <w:hyperlink w:anchor="report_heading_006" w:history="1">
        <w:r>
          <w:rPr>
            <w:rFonts w:ascii="SimSun" w:hAnsi="SimSun" w:eastAsia="宋体" w:cs="SimSun"/>
            <w:b w:val="0"/>
            <w:color w:val="000000"/>
            <w:sz w:val="24"/>
            <w:u w:val="none"/>
          </w:rPr>
          <w:t>8</w:t>
        </w:r>
      </w:hyperlink>
    </w:p>
    <w:p>
      <w:pPr>
        <w:tabs>
          <w:tab w:pos="8901" w:val="right" w:leader="dot"/>
        </w:tabs>
        <w:spacing w:lineRule="exact" w:line="480" w:before="0" w:after="0"/>
        <w:ind w:firstLine="0" w:left="0" w:right="0"/>
      </w:pPr>
      <w:hyperlink w:anchor="report_heading_007" w:history="1">
        <w:r>
          <w:rPr>
            <w:rFonts w:ascii="SimSun" w:hAnsi="SimSun" w:eastAsia="宋体" w:cs="SimSun"/>
            <w:b/>
            <w:color w:val="000000"/>
            <w:sz w:val="24"/>
            <w:u w:val="none"/>
          </w:rPr>
          <w:t>二、建设背景与总体目标</w:t>
        </w:r>
      </w:hyperlink>
      <w:r>
        <w:rPr>
          <w:rFonts w:ascii="SimSun" w:hAnsi="SimSun" w:eastAsia="宋体" w:cs="SimSun"/>
          <w:color w:val="000000"/>
          <w:sz w:val="24"/>
        </w:rPr>
        <w:tab/>
      </w:r>
      <w:hyperlink w:anchor="report_heading_007" w:history="1">
        <w:r>
          <w:rPr>
            <w:rFonts w:ascii="SimSun" w:hAnsi="SimSun" w:eastAsia="宋体" w:cs="SimSun"/>
            <w:b/>
            <w:color w:val="000000"/>
            <w:sz w:val="24"/>
            <w:u w:val="none"/>
          </w:rPr>
          <w:t>9</w:t>
        </w:r>
      </w:hyperlink>
    </w:p>
    <w:p>
      <w:pPr>
        <w:tabs>
          <w:tab w:pos="8901" w:val="right" w:leader="dot"/>
        </w:tabs>
        <w:spacing w:lineRule="exact" w:line="480" w:before="0" w:after="0"/>
        <w:ind w:firstLine="0" w:left="480" w:right="0"/>
      </w:pPr>
      <w:hyperlink w:anchor="report_heading_008" w:history="1">
        <w:r>
          <w:rPr>
            <w:rFonts w:ascii="SimSun" w:hAnsi="SimSun" w:eastAsia="宋体" w:cs="SimSun"/>
            <w:b w:val="0"/>
            <w:color w:val="000000"/>
            <w:sz w:val="24"/>
            <w:u w:val="none"/>
          </w:rPr>
          <w:t>（一）业务背景</w:t>
        </w:r>
      </w:hyperlink>
      <w:r>
        <w:rPr>
          <w:rFonts w:ascii="SimSun" w:hAnsi="SimSun" w:eastAsia="宋体" w:cs="SimSun"/>
          <w:color w:val="000000"/>
          <w:sz w:val="24"/>
        </w:rPr>
        <w:tab/>
      </w:r>
      <w:hyperlink w:anchor="report_heading_008" w:history="1">
        <w:r>
          <w:rPr>
            <w:rFonts w:ascii="SimSun" w:hAnsi="SimSun" w:eastAsia="宋体" w:cs="SimSun"/>
            <w:b w:val="0"/>
            <w:color w:val="000000"/>
            <w:sz w:val="24"/>
            <w:u w:val="none"/>
          </w:rPr>
          <w:t>9</w:t>
        </w:r>
      </w:hyperlink>
    </w:p>
    <w:p>
      <w:pPr>
        <w:tabs>
          <w:tab w:pos="8901" w:val="right" w:leader="dot"/>
        </w:tabs>
        <w:spacing w:lineRule="exact" w:line="480" w:before="0" w:after="0"/>
        <w:ind w:firstLine="0" w:left="480" w:right="0"/>
      </w:pPr>
      <w:hyperlink w:anchor="report_heading_009" w:history="1">
        <w:r>
          <w:rPr>
            <w:rFonts w:ascii="SimSun" w:hAnsi="SimSun" w:eastAsia="宋体" w:cs="SimSun"/>
            <w:b w:val="0"/>
            <w:color w:val="000000"/>
            <w:sz w:val="24"/>
            <w:u w:val="none"/>
          </w:rPr>
          <w:t>（二）总体目标</w:t>
        </w:r>
      </w:hyperlink>
      <w:r>
        <w:rPr>
          <w:rFonts w:ascii="SimSun" w:hAnsi="SimSun" w:eastAsia="宋体" w:cs="SimSun"/>
          <w:color w:val="000000"/>
          <w:sz w:val="24"/>
        </w:rPr>
        <w:tab/>
      </w:r>
      <w:hyperlink w:anchor="report_heading_009" w:history="1">
        <w:r>
          <w:rPr>
            <w:rFonts w:ascii="SimSun" w:hAnsi="SimSun" w:eastAsia="宋体" w:cs="SimSun"/>
            <w:b w:val="0"/>
            <w:color w:val="000000"/>
            <w:sz w:val="24"/>
            <w:u w:val="none"/>
          </w:rPr>
          <w:t>9</w:t>
        </w:r>
      </w:hyperlink>
    </w:p>
    <w:p>
      <w:pPr>
        <w:tabs>
          <w:tab w:pos="8901" w:val="right" w:leader="dot"/>
        </w:tabs>
        <w:spacing w:lineRule="exact" w:line="480" w:before="0" w:after="0"/>
        <w:ind w:firstLine="0" w:left="480" w:right="0"/>
      </w:pPr>
      <w:hyperlink w:anchor="report_heading_010" w:history="1">
        <w:r>
          <w:rPr>
            <w:rFonts w:ascii="SimSun" w:hAnsi="SimSun" w:eastAsia="宋体" w:cs="SimSun"/>
            <w:b w:val="0"/>
            <w:color w:val="000000"/>
            <w:sz w:val="24"/>
            <w:u w:val="none"/>
          </w:rPr>
          <w:t>（三）建设原则</w:t>
        </w:r>
      </w:hyperlink>
      <w:r>
        <w:rPr>
          <w:rFonts w:ascii="SimSun" w:hAnsi="SimSun" w:eastAsia="宋体" w:cs="SimSun"/>
          <w:color w:val="000000"/>
          <w:sz w:val="24"/>
        </w:rPr>
        <w:tab/>
      </w:r>
      <w:hyperlink w:anchor="report_heading_010" w:history="1">
        <w:r>
          <w:rPr>
            <w:rFonts w:ascii="SimSun" w:hAnsi="SimSun" w:eastAsia="宋体" w:cs="SimSun"/>
            <w:b w:val="0"/>
            <w:color w:val="000000"/>
            <w:sz w:val="24"/>
            <w:u w:val="none"/>
          </w:rPr>
          <w:t>10</w:t>
        </w:r>
      </w:hyperlink>
    </w:p>
    <w:p>
      <w:pPr>
        <w:tabs>
          <w:tab w:pos="8901" w:val="right" w:leader="dot"/>
        </w:tabs>
        <w:spacing w:lineRule="exact" w:line="480" w:before="0" w:after="0"/>
        <w:ind w:firstLine="0" w:left="0" w:right="0"/>
      </w:pPr>
      <w:hyperlink w:anchor="report_heading_011" w:history="1">
        <w:r>
          <w:rPr>
            <w:rFonts w:ascii="SimSun" w:hAnsi="SimSun" w:eastAsia="宋体" w:cs="SimSun"/>
            <w:b/>
            <w:color w:val="000000"/>
            <w:sz w:val="24"/>
            <w:u w:val="none"/>
          </w:rPr>
          <w:t>三、总体研究框架与关键问题</w:t>
        </w:r>
      </w:hyperlink>
      <w:r>
        <w:rPr>
          <w:rFonts w:ascii="SimSun" w:hAnsi="SimSun" w:eastAsia="宋体" w:cs="SimSun"/>
          <w:color w:val="000000"/>
          <w:sz w:val="24"/>
        </w:rPr>
        <w:tab/>
      </w:r>
      <w:hyperlink w:anchor="report_heading_011" w:history="1">
        <w:r>
          <w:rPr>
            <w:rFonts w:ascii="SimSun" w:hAnsi="SimSun" w:eastAsia="宋体" w:cs="SimSun"/>
            <w:b/>
            <w:color w:val="000000"/>
            <w:sz w:val="24"/>
            <w:u w:val="none"/>
          </w:rPr>
          <w:t>11</w:t>
        </w:r>
      </w:hyperlink>
    </w:p>
    <w:p>
      <w:pPr>
        <w:tabs>
          <w:tab w:pos="8901" w:val="right" w:leader="dot"/>
        </w:tabs>
        <w:spacing w:lineRule="exact" w:line="480" w:before="0" w:after="0"/>
        <w:ind w:firstLine="0" w:left="480" w:right="0"/>
      </w:pPr>
      <w:hyperlink w:anchor="report_heading_012" w:history="1">
        <w:r>
          <w:rPr>
            <w:rFonts w:ascii="SimSun" w:hAnsi="SimSun" w:eastAsia="宋体" w:cs="SimSun"/>
            <w:b w:val="0"/>
            <w:color w:val="000000"/>
            <w:sz w:val="24"/>
            <w:u w:val="none"/>
          </w:rPr>
          <w:t>（一）研究内容体系</w:t>
        </w:r>
      </w:hyperlink>
      <w:r>
        <w:rPr>
          <w:rFonts w:ascii="SimSun" w:hAnsi="SimSun" w:eastAsia="宋体" w:cs="SimSun"/>
          <w:color w:val="000000"/>
          <w:sz w:val="24"/>
        </w:rPr>
        <w:tab/>
      </w:r>
      <w:hyperlink w:anchor="report_heading_012" w:history="1">
        <w:r>
          <w:rPr>
            <w:rFonts w:ascii="SimSun" w:hAnsi="SimSun" w:eastAsia="宋体" w:cs="SimSun"/>
            <w:b w:val="0"/>
            <w:color w:val="000000"/>
            <w:sz w:val="24"/>
            <w:u w:val="none"/>
          </w:rPr>
          <w:t>11</w:t>
        </w:r>
      </w:hyperlink>
    </w:p>
    <w:p>
      <w:pPr>
        <w:tabs>
          <w:tab w:pos="8901" w:val="right" w:leader="dot"/>
        </w:tabs>
        <w:spacing w:lineRule="exact" w:line="480" w:before="0" w:after="0"/>
        <w:ind w:firstLine="0" w:left="480" w:right="0"/>
      </w:pPr>
      <w:hyperlink w:anchor="report_heading_013" w:history="1">
        <w:r>
          <w:rPr>
            <w:rFonts w:ascii="SimSun" w:hAnsi="SimSun" w:eastAsia="宋体" w:cs="SimSun"/>
            <w:b w:val="0"/>
            <w:color w:val="000000"/>
            <w:sz w:val="24"/>
            <w:u w:val="none"/>
          </w:rPr>
          <w:t>（二）需要解决的关键问题</w:t>
        </w:r>
      </w:hyperlink>
      <w:r>
        <w:rPr>
          <w:rFonts w:ascii="SimSun" w:hAnsi="SimSun" w:eastAsia="宋体" w:cs="SimSun"/>
          <w:color w:val="000000"/>
          <w:sz w:val="24"/>
        </w:rPr>
        <w:tab/>
      </w:r>
      <w:hyperlink w:anchor="report_heading_013" w:history="1">
        <w:r>
          <w:rPr>
            <w:rFonts w:ascii="SimSun" w:hAnsi="SimSun" w:eastAsia="宋体" w:cs="SimSun"/>
            <w:b w:val="0"/>
            <w:color w:val="000000"/>
            <w:sz w:val="24"/>
            <w:u w:val="none"/>
          </w:rPr>
          <w:t>12</w:t>
        </w:r>
      </w:hyperlink>
    </w:p>
    <w:p>
      <w:pPr>
        <w:tabs>
          <w:tab w:pos="8901" w:val="right" w:leader="dot"/>
        </w:tabs>
        <w:spacing w:lineRule="exact" w:line="480" w:before="0" w:after="0"/>
        <w:ind w:firstLine="0" w:left="480" w:right="0"/>
      </w:pPr>
      <w:hyperlink w:anchor="report_heading_014" w:history="1">
        <w:r>
          <w:rPr>
            <w:rFonts w:ascii="SimSun" w:hAnsi="SimSun" w:eastAsia="宋体" w:cs="SimSun"/>
            <w:b w:val="0"/>
            <w:color w:val="000000"/>
            <w:sz w:val="24"/>
            <w:u w:val="none"/>
          </w:rPr>
          <w:t>（三）研究成果形态</w:t>
        </w:r>
      </w:hyperlink>
      <w:r>
        <w:rPr>
          <w:rFonts w:ascii="SimSun" w:hAnsi="SimSun" w:eastAsia="宋体" w:cs="SimSun"/>
          <w:color w:val="000000"/>
          <w:sz w:val="24"/>
        </w:rPr>
        <w:tab/>
      </w:r>
      <w:hyperlink w:anchor="report_heading_014" w:history="1">
        <w:r>
          <w:rPr>
            <w:rFonts w:ascii="SimSun" w:hAnsi="SimSun" w:eastAsia="宋体" w:cs="SimSun"/>
            <w:b w:val="0"/>
            <w:color w:val="000000"/>
            <w:sz w:val="24"/>
            <w:u w:val="none"/>
          </w:rPr>
          <w:t>12</w:t>
        </w:r>
      </w:hyperlink>
    </w:p>
    <w:p>
      <w:pPr>
        <w:tabs>
          <w:tab w:pos="8901" w:val="right" w:leader="dot"/>
        </w:tabs>
        <w:spacing w:lineRule="exact" w:line="480" w:before="0" w:after="0"/>
        <w:ind w:firstLine="0" w:left="0" w:right="0"/>
      </w:pPr>
      <w:hyperlink w:anchor="report_heading_015" w:history="1">
        <w:r>
          <w:rPr>
            <w:rFonts w:ascii="SimSun" w:hAnsi="SimSun" w:eastAsia="宋体" w:cs="SimSun"/>
            <w:b/>
            <w:color w:val="000000"/>
            <w:sz w:val="24"/>
            <w:u w:val="none"/>
          </w:rPr>
          <w:t>四、平台总体架构设计</w:t>
        </w:r>
      </w:hyperlink>
      <w:r>
        <w:rPr>
          <w:rFonts w:ascii="SimSun" w:hAnsi="SimSun" w:eastAsia="宋体" w:cs="SimSun"/>
          <w:color w:val="000000"/>
          <w:sz w:val="24"/>
        </w:rPr>
        <w:tab/>
      </w:r>
      <w:hyperlink w:anchor="report_heading_015" w:history="1">
        <w:r>
          <w:rPr>
            <w:rFonts w:ascii="SimSun" w:hAnsi="SimSun" w:eastAsia="宋体" w:cs="SimSun"/>
            <w:b/>
            <w:color w:val="000000"/>
            <w:sz w:val="24"/>
            <w:u w:val="none"/>
          </w:rPr>
          <w:t>13</w:t>
        </w:r>
      </w:hyperlink>
    </w:p>
    <w:p>
      <w:pPr>
        <w:tabs>
          <w:tab w:pos="8901" w:val="right" w:leader="dot"/>
        </w:tabs>
        <w:spacing w:lineRule="exact" w:line="480" w:before="0" w:after="0"/>
        <w:ind w:firstLine="0" w:left="480" w:right="0"/>
      </w:pPr>
      <w:hyperlink w:anchor="report_heading_016" w:history="1">
        <w:r>
          <w:rPr>
            <w:rFonts w:ascii="SimSun" w:hAnsi="SimSun" w:eastAsia="宋体" w:cs="SimSun"/>
            <w:b w:val="0"/>
            <w:color w:val="000000"/>
            <w:sz w:val="24"/>
            <w:u w:val="none"/>
          </w:rPr>
          <w:t>（一）分层架构</w:t>
        </w:r>
      </w:hyperlink>
      <w:r>
        <w:rPr>
          <w:rFonts w:ascii="SimSun" w:hAnsi="SimSun" w:eastAsia="宋体" w:cs="SimSun"/>
          <w:color w:val="000000"/>
          <w:sz w:val="24"/>
        </w:rPr>
        <w:tab/>
      </w:r>
      <w:hyperlink w:anchor="report_heading_016" w:history="1">
        <w:r>
          <w:rPr>
            <w:rFonts w:ascii="SimSun" w:hAnsi="SimSun" w:eastAsia="宋体" w:cs="SimSun"/>
            <w:b w:val="0"/>
            <w:color w:val="000000"/>
            <w:sz w:val="24"/>
            <w:u w:val="none"/>
          </w:rPr>
          <w:t>13</w:t>
        </w:r>
      </w:hyperlink>
    </w:p>
    <w:p>
      <w:pPr>
        <w:tabs>
          <w:tab w:pos="8901" w:val="right" w:leader="dot"/>
        </w:tabs>
        <w:spacing w:lineRule="exact" w:line="480" w:before="0" w:after="0"/>
        <w:ind w:firstLine="0" w:left="480" w:right="0"/>
      </w:pPr>
      <w:hyperlink w:anchor="report_heading_017" w:history="1">
        <w:r>
          <w:rPr>
            <w:rFonts w:ascii="SimSun" w:hAnsi="SimSun" w:eastAsia="宋体" w:cs="SimSun"/>
            <w:b w:val="0"/>
            <w:color w:val="000000"/>
            <w:sz w:val="24"/>
            <w:u w:val="none"/>
          </w:rPr>
          <w:t>（二）服务边界</w:t>
        </w:r>
      </w:hyperlink>
      <w:r>
        <w:rPr>
          <w:rFonts w:ascii="SimSun" w:hAnsi="SimSun" w:eastAsia="宋体" w:cs="SimSun"/>
          <w:color w:val="000000"/>
          <w:sz w:val="24"/>
        </w:rPr>
        <w:tab/>
      </w:r>
      <w:hyperlink w:anchor="report_heading_017" w:history="1">
        <w:r>
          <w:rPr>
            <w:rFonts w:ascii="SimSun" w:hAnsi="SimSun" w:eastAsia="宋体" w:cs="SimSun"/>
            <w:b w:val="0"/>
            <w:color w:val="000000"/>
            <w:sz w:val="24"/>
            <w:u w:val="none"/>
          </w:rPr>
          <w:t>14</w:t>
        </w:r>
      </w:hyperlink>
    </w:p>
    <w:p>
      <w:pPr>
        <w:tabs>
          <w:tab w:pos="8901" w:val="right" w:leader="dot"/>
        </w:tabs>
        <w:spacing w:lineRule="exact" w:line="480" w:before="0" w:after="0"/>
        <w:ind w:firstLine="0" w:left="480" w:right="0"/>
      </w:pPr>
      <w:hyperlink w:anchor="report_heading_018" w:history="1">
        <w:r>
          <w:rPr>
            <w:rFonts w:ascii="SimSun" w:hAnsi="SimSun" w:eastAsia="宋体" w:cs="SimSun"/>
            <w:b w:val="0"/>
            <w:color w:val="000000"/>
            <w:sz w:val="24"/>
            <w:u w:val="none"/>
          </w:rPr>
          <w:t>（三）统一对象和业务协议</w:t>
        </w:r>
      </w:hyperlink>
      <w:r>
        <w:rPr>
          <w:rFonts w:ascii="SimSun" w:hAnsi="SimSun" w:eastAsia="宋体" w:cs="SimSun"/>
          <w:color w:val="000000"/>
          <w:sz w:val="24"/>
        </w:rPr>
        <w:tab/>
      </w:r>
      <w:hyperlink w:anchor="report_heading_018" w:history="1">
        <w:r>
          <w:rPr>
            <w:rFonts w:ascii="SimSun" w:hAnsi="SimSun" w:eastAsia="宋体" w:cs="SimSun"/>
            <w:b w:val="0"/>
            <w:color w:val="000000"/>
            <w:sz w:val="24"/>
            <w:u w:val="none"/>
          </w:rPr>
          <w:t>15</w:t>
        </w:r>
      </w:hyperlink>
    </w:p>
    <w:p>
      <w:pPr>
        <w:tabs>
          <w:tab w:pos="8901" w:val="right" w:leader="dot"/>
        </w:tabs>
        <w:spacing w:lineRule="exact" w:line="480" w:before="0" w:after="0"/>
        <w:ind w:firstLine="0" w:left="480" w:right="0"/>
      </w:pPr>
      <w:hyperlink w:anchor="report_heading_019" w:history="1">
        <w:r>
          <w:rPr>
            <w:rFonts w:ascii="SimSun" w:hAnsi="SimSun" w:eastAsia="宋体" w:cs="SimSun"/>
            <w:b w:val="0"/>
            <w:color w:val="000000"/>
            <w:sz w:val="24"/>
            <w:u w:val="none"/>
          </w:rPr>
          <w:t>（四）部署与扩展架构</w:t>
        </w:r>
      </w:hyperlink>
      <w:r>
        <w:rPr>
          <w:rFonts w:ascii="SimSun" w:hAnsi="SimSun" w:eastAsia="宋体" w:cs="SimSun"/>
          <w:color w:val="000000"/>
          <w:sz w:val="24"/>
        </w:rPr>
        <w:tab/>
      </w:r>
      <w:hyperlink w:anchor="report_heading_019" w:history="1">
        <w:r>
          <w:rPr>
            <w:rFonts w:ascii="SimSun" w:hAnsi="SimSun" w:eastAsia="宋体" w:cs="SimSun"/>
            <w:b w:val="0"/>
            <w:color w:val="000000"/>
            <w:sz w:val="24"/>
            <w:u w:val="none"/>
          </w:rPr>
          <w:t>15</w:t>
        </w:r>
      </w:hyperlink>
    </w:p>
    <w:p>
      <w:pPr>
        <w:tabs>
          <w:tab w:pos="8901" w:val="right" w:leader="dot"/>
        </w:tabs>
        <w:spacing w:lineRule="exact" w:line="480" w:before="0" w:after="0"/>
        <w:ind w:firstLine="0" w:left="0" w:right="0"/>
      </w:pPr>
      <w:hyperlink w:anchor="report_heading_020" w:history="1">
        <w:r>
          <w:rPr>
            <w:rFonts w:ascii="SimSun" w:hAnsi="SimSun" w:eastAsia="宋体" w:cs="SimSun"/>
            <w:b/>
            <w:color w:val="000000"/>
            <w:sz w:val="24"/>
            <w:u w:val="none"/>
          </w:rPr>
          <w:t>五、内装模块分区识别关键技术</w:t>
        </w:r>
      </w:hyperlink>
      <w:r>
        <w:rPr>
          <w:rFonts w:ascii="SimSun" w:hAnsi="SimSun" w:eastAsia="宋体" w:cs="SimSun"/>
          <w:color w:val="000000"/>
          <w:sz w:val="24"/>
        </w:rPr>
        <w:tab/>
      </w:r>
      <w:hyperlink w:anchor="report_heading_020" w:history="1">
        <w:r>
          <w:rPr>
            <w:rFonts w:ascii="SimSun" w:hAnsi="SimSun" w:eastAsia="宋体" w:cs="SimSun"/>
            <w:b/>
            <w:color w:val="000000"/>
            <w:sz w:val="24"/>
            <w:u w:val="none"/>
          </w:rPr>
          <w:t>16</w:t>
        </w:r>
      </w:hyperlink>
    </w:p>
    <w:p>
      <w:pPr>
        <w:tabs>
          <w:tab w:pos="8901" w:val="right" w:leader="dot"/>
        </w:tabs>
        <w:spacing w:lineRule="exact" w:line="480" w:before="0" w:after="0"/>
        <w:ind w:firstLine="0" w:left="480" w:right="0"/>
      </w:pPr>
      <w:hyperlink w:anchor="report_heading_021" w:history="1">
        <w:r>
          <w:rPr>
            <w:rFonts w:ascii="SimSun" w:hAnsi="SimSun" w:eastAsia="宋体" w:cs="SimSun"/>
            <w:b w:val="0"/>
            <w:color w:val="000000"/>
            <w:sz w:val="24"/>
            <w:u w:val="none"/>
          </w:rPr>
          <w:t>（一）区域与模块对象模型</w:t>
        </w:r>
      </w:hyperlink>
      <w:r>
        <w:rPr>
          <w:rFonts w:ascii="SimSun" w:hAnsi="SimSun" w:eastAsia="宋体" w:cs="SimSun"/>
          <w:color w:val="000000"/>
          <w:sz w:val="24"/>
        </w:rPr>
        <w:tab/>
      </w:r>
      <w:hyperlink w:anchor="report_heading_021" w:history="1">
        <w:r>
          <w:rPr>
            <w:rFonts w:ascii="SimSun" w:hAnsi="SimSun" w:eastAsia="宋体" w:cs="SimSun"/>
            <w:b w:val="0"/>
            <w:color w:val="000000"/>
            <w:sz w:val="24"/>
            <w:u w:val="none"/>
          </w:rPr>
          <w:t>16</w:t>
        </w:r>
      </w:hyperlink>
    </w:p>
    <w:p>
      <w:pPr>
        <w:tabs>
          <w:tab w:pos="8901" w:val="right" w:leader="dot"/>
        </w:tabs>
        <w:spacing w:lineRule="exact" w:line="480" w:before="0" w:after="0"/>
        <w:ind w:firstLine="0" w:left="480" w:right="0"/>
      </w:pPr>
      <w:hyperlink w:anchor="report_heading_022" w:history="1">
        <w:r>
          <w:rPr>
            <w:rFonts w:ascii="SimSun" w:hAnsi="SimSun" w:eastAsia="宋体" w:cs="SimSun"/>
            <w:b w:val="0"/>
            <w:color w:val="000000"/>
            <w:sz w:val="24"/>
            <w:u w:val="none"/>
          </w:rPr>
          <w:t>（二）多模态输入与预处理</w:t>
        </w:r>
      </w:hyperlink>
      <w:r>
        <w:rPr>
          <w:rFonts w:ascii="SimSun" w:hAnsi="SimSun" w:eastAsia="宋体" w:cs="SimSun"/>
          <w:color w:val="000000"/>
          <w:sz w:val="24"/>
        </w:rPr>
        <w:tab/>
      </w:r>
      <w:hyperlink w:anchor="report_heading_022" w:history="1">
        <w:r>
          <w:rPr>
            <w:rFonts w:ascii="SimSun" w:hAnsi="SimSun" w:eastAsia="宋体" w:cs="SimSun"/>
            <w:b w:val="0"/>
            <w:color w:val="000000"/>
            <w:sz w:val="24"/>
            <w:u w:val="none"/>
          </w:rPr>
          <w:t>18</w:t>
        </w:r>
      </w:hyperlink>
    </w:p>
    <w:p>
      <w:pPr>
        <w:tabs>
          <w:tab w:pos="8901" w:val="right" w:leader="dot"/>
        </w:tabs>
        <w:spacing w:lineRule="exact" w:line="480" w:before="0" w:after="0"/>
        <w:ind w:firstLine="0" w:left="480" w:right="0"/>
      </w:pPr>
      <w:hyperlink w:anchor="report_heading_023" w:history="1">
        <w:r>
          <w:rPr>
            <w:rFonts w:ascii="SimSun" w:hAnsi="SimSun" w:eastAsia="宋体" w:cs="SimSun"/>
            <w:b w:val="0"/>
            <w:color w:val="000000"/>
            <w:sz w:val="24"/>
            <w:u w:val="none"/>
          </w:rPr>
          <w:t>（三）候选识别与多模态融合</w:t>
        </w:r>
      </w:hyperlink>
      <w:r>
        <w:rPr>
          <w:rFonts w:ascii="SimSun" w:hAnsi="SimSun" w:eastAsia="宋体" w:cs="SimSun"/>
          <w:color w:val="000000"/>
          <w:sz w:val="24"/>
        </w:rPr>
        <w:tab/>
      </w:r>
      <w:hyperlink w:anchor="report_heading_023" w:history="1">
        <w:r>
          <w:rPr>
            <w:rFonts w:ascii="SimSun" w:hAnsi="SimSun" w:eastAsia="宋体" w:cs="SimSun"/>
            <w:b w:val="0"/>
            <w:color w:val="000000"/>
            <w:sz w:val="24"/>
            <w:u w:val="none"/>
          </w:rPr>
          <w:t>19</w:t>
        </w:r>
      </w:hyperlink>
    </w:p>
    <w:p>
      <w:pPr>
        <w:tabs>
          <w:tab w:pos="8901" w:val="right" w:leader="dot"/>
        </w:tabs>
        <w:spacing w:lineRule="exact" w:line="480" w:before="0" w:after="0"/>
        <w:ind w:firstLine="0" w:left="480" w:right="0"/>
      </w:pPr>
      <w:hyperlink w:anchor="report_heading_024" w:history="1">
        <w:r>
          <w:rPr>
            <w:rFonts w:ascii="SimSun" w:hAnsi="SimSun" w:eastAsia="宋体" w:cs="SimSun"/>
            <w:b w:val="0"/>
            <w:color w:val="000000"/>
            <w:sz w:val="24"/>
            <w:u w:val="none"/>
          </w:rPr>
          <w:t>（四）人机协同复核</w:t>
        </w:r>
      </w:hyperlink>
      <w:r>
        <w:rPr>
          <w:rFonts w:ascii="SimSun" w:hAnsi="SimSun" w:eastAsia="宋体" w:cs="SimSun"/>
          <w:color w:val="000000"/>
          <w:sz w:val="24"/>
        </w:rPr>
        <w:tab/>
      </w:r>
      <w:hyperlink w:anchor="report_heading_024" w:history="1">
        <w:r>
          <w:rPr>
            <w:rFonts w:ascii="SimSun" w:hAnsi="SimSun" w:eastAsia="宋体" w:cs="SimSun"/>
            <w:b w:val="0"/>
            <w:color w:val="000000"/>
            <w:sz w:val="24"/>
            <w:u w:val="none"/>
          </w:rPr>
          <w:t>20</w:t>
        </w:r>
      </w:hyperlink>
    </w:p>
    <w:p>
      <w:pPr>
        <w:tabs>
          <w:tab w:pos="8901" w:val="right" w:leader="dot"/>
        </w:tabs>
        <w:spacing w:lineRule="exact" w:line="480" w:before="0" w:after="0"/>
        <w:ind w:firstLine="0" w:left="480" w:right="0"/>
      </w:pPr>
      <w:hyperlink w:anchor="report_heading_025" w:history="1">
        <w:r>
          <w:rPr>
            <w:rFonts w:ascii="SimSun" w:hAnsi="SimSun" w:eastAsia="宋体" w:cs="SimSun"/>
            <w:b w:val="0"/>
            <w:color w:val="000000"/>
            <w:sz w:val="24"/>
            <w:u w:val="none"/>
          </w:rPr>
          <w:t>（五）识别数据集与评价指标</w:t>
        </w:r>
      </w:hyperlink>
      <w:r>
        <w:rPr>
          <w:rFonts w:ascii="SimSun" w:hAnsi="SimSun" w:eastAsia="宋体" w:cs="SimSun"/>
          <w:color w:val="000000"/>
          <w:sz w:val="24"/>
        </w:rPr>
        <w:tab/>
      </w:r>
      <w:hyperlink w:anchor="report_heading_025" w:history="1">
        <w:r>
          <w:rPr>
            <w:rFonts w:ascii="SimSun" w:hAnsi="SimSun" w:eastAsia="宋体" w:cs="SimSun"/>
            <w:b w:val="0"/>
            <w:color w:val="000000"/>
            <w:sz w:val="24"/>
            <w:u w:val="none"/>
          </w:rPr>
          <w:t>21</w:t>
        </w:r>
      </w:hyperlink>
    </w:p>
    <w:p>
      <w:pPr>
        <w:tabs>
          <w:tab w:pos="8901" w:val="right" w:leader="dot"/>
        </w:tabs>
        <w:spacing w:lineRule="exact" w:line="480" w:before="0" w:after="0"/>
        <w:ind w:firstLine="0" w:left="0" w:right="0"/>
      </w:pPr>
      <w:hyperlink w:anchor="report_heading_026" w:history="1">
        <w:r>
          <w:rPr>
            <w:rFonts w:ascii="SimSun" w:hAnsi="SimSun" w:eastAsia="宋体" w:cs="SimSun"/>
            <w:b/>
            <w:color w:val="000000"/>
            <w:sz w:val="24"/>
            <w:u w:val="none"/>
          </w:rPr>
          <w:t>六、多模态应用关键技术</w:t>
        </w:r>
      </w:hyperlink>
      <w:r>
        <w:rPr>
          <w:rFonts w:ascii="SimSun" w:hAnsi="SimSun" w:eastAsia="宋体" w:cs="SimSun"/>
          <w:color w:val="000000"/>
          <w:sz w:val="24"/>
        </w:rPr>
        <w:tab/>
      </w:r>
      <w:hyperlink w:anchor="report_heading_026" w:history="1">
        <w:r>
          <w:rPr>
            <w:rFonts w:ascii="SimSun" w:hAnsi="SimSun" w:eastAsia="宋体" w:cs="SimSun"/>
            <w:b/>
            <w:color w:val="000000"/>
            <w:sz w:val="24"/>
            <w:u w:val="none"/>
          </w:rPr>
          <w:t>22</w:t>
        </w:r>
      </w:hyperlink>
    </w:p>
    <w:p>
      <w:pPr>
        <w:tabs>
          <w:tab w:pos="8901" w:val="right" w:leader="dot"/>
        </w:tabs>
        <w:spacing w:lineRule="exact" w:line="480" w:before="0" w:after="0"/>
        <w:ind w:firstLine="0" w:left="480" w:right="0"/>
      </w:pPr>
      <w:hyperlink w:anchor="report_heading_027" w:history="1">
        <w:r>
          <w:rPr>
            <w:rFonts w:ascii="SimSun" w:hAnsi="SimSun" w:eastAsia="宋体" w:cs="SimSun"/>
            <w:b w:val="0"/>
            <w:color w:val="000000"/>
            <w:sz w:val="24"/>
            <w:u w:val="none"/>
          </w:rPr>
          <w:t>（一）多模态能力定位</w:t>
        </w:r>
      </w:hyperlink>
      <w:r>
        <w:rPr>
          <w:rFonts w:ascii="SimSun" w:hAnsi="SimSun" w:eastAsia="宋体" w:cs="SimSun"/>
          <w:color w:val="000000"/>
          <w:sz w:val="24"/>
        </w:rPr>
        <w:tab/>
      </w:r>
      <w:hyperlink w:anchor="report_heading_027" w:history="1">
        <w:r>
          <w:rPr>
            <w:rFonts w:ascii="SimSun" w:hAnsi="SimSun" w:eastAsia="宋体" w:cs="SimSun"/>
            <w:b w:val="0"/>
            <w:color w:val="000000"/>
            <w:sz w:val="24"/>
            <w:u w:val="none"/>
          </w:rPr>
          <w:t>22</w:t>
        </w:r>
      </w:hyperlink>
    </w:p>
    <w:p>
      <w:pPr>
        <w:tabs>
          <w:tab w:pos="8901" w:val="right" w:leader="dot"/>
        </w:tabs>
        <w:spacing w:lineRule="exact" w:line="480" w:before="0" w:after="0"/>
        <w:ind w:firstLine="0" w:left="480" w:right="0"/>
      </w:pPr>
      <w:hyperlink w:anchor="report_heading_028" w:history="1">
        <w:r>
          <w:rPr>
            <w:rFonts w:ascii="SimSun" w:hAnsi="SimSun" w:eastAsia="宋体" w:cs="SimSun"/>
            <w:b w:val="0"/>
            <w:color w:val="000000"/>
            <w:sz w:val="24"/>
            <w:u w:val="none"/>
          </w:rPr>
          <w:t>（二）语义对齐与知识增强</w:t>
        </w:r>
      </w:hyperlink>
      <w:r>
        <w:rPr>
          <w:rFonts w:ascii="SimSun" w:hAnsi="SimSun" w:eastAsia="宋体" w:cs="SimSun"/>
          <w:color w:val="000000"/>
          <w:sz w:val="24"/>
        </w:rPr>
        <w:tab/>
      </w:r>
      <w:hyperlink w:anchor="report_heading_028" w:history="1">
        <w:r>
          <w:rPr>
            <w:rFonts w:ascii="SimSun" w:hAnsi="SimSun" w:eastAsia="宋体" w:cs="SimSun"/>
            <w:b w:val="0"/>
            <w:color w:val="000000"/>
            <w:sz w:val="24"/>
            <w:u w:val="none"/>
          </w:rPr>
          <w:t>22</w:t>
        </w:r>
      </w:hyperlink>
    </w:p>
    <w:p>
      <w:pPr>
        <w:tabs>
          <w:tab w:pos="8901" w:val="right" w:leader="dot"/>
        </w:tabs>
        <w:spacing w:lineRule="exact" w:line="480" w:before="0" w:after="0"/>
        <w:ind w:firstLine="0" w:left="480" w:right="0"/>
      </w:pPr>
      <w:hyperlink w:anchor="report_heading_029" w:history="1">
        <w:r>
          <w:rPr>
            <w:rFonts w:ascii="SimSun" w:hAnsi="SimSun" w:eastAsia="宋体" w:cs="SimSun"/>
            <w:b w:val="0"/>
            <w:color w:val="000000"/>
            <w:sz w:val="24"/>
            <w:u w:val="none"/>
          </w:rPr>
          <w:t>（三）能力编排</w:t>
        </w:r>
      </w:hyperlink>
      <w:r>
        <w:rPr>
          <w:rFonts w:ascii="SimSun" w:hAnsi="SimSun" w:eastAsia="宋体" w:cs="SimSun"/>
          <w:color w:val="000000"/>
          <w:sz w:val="24"/>
        </w:rPr>
        <w:tab/>
      </w:r>
      <w:hyperlink w:anchor="report_heading_029" w:history="1">
        <w:r>
          <w:rPr>
            <w:rFonts w:ascii="SimSun" w:hAnsi="SimSun" w:eastAsia="宋体" w:cs="SimSun"/>
            <w:b w:val="0"/>
            <w:color w:val="000000"/>
            <w:sz w:val="24"/>
            <w:u w:val="none"/>
          </w:rPr>
          <w:t>23</w:t>
        </w:r>
      </w:hyperlink>
    </w:p>
    <w:p>
      <w:pPr>
        <w:tabs>
          <w:tab w:pos="8901" w:val="right" w:leader="dot"/>
        </w:tabs>
        <w:spacing w:lineRule="exact" w:line="480" w:before="0" w:after="0"/>
        <w:ind w:firstLine="0" w:left="480" w:right="0"/>
      </w:pPr>
      <w:hyperlink w:anchor="report_heading_030" w:history="1">
        <w:r>
          <w:rPr>
            <w:rFonts w:ascii="SimSun" w:hAnsi="SimSun" w:eastAsia="宋体" w:cs="SimSun"/>
            <w:b w:val="0"/>
            <w:color w:val="000000"/>
            <w:sz w:val="24"/>
            <w:u w:val="none"/>
          </w:rPr>
          <w:t>（四）模型选型与评测</w:t>
        </w:r>
      </w:hyperlink>
      <w:r>
        <w:rPr>
          <w:rFonts w:ascii="SimSun" w:hAnsi="SimSun" w:eastAsia="宋体" w:cs="SimSun"/>
          <w:color w:val="000000"/>
          <w:sz w:val="24"/>
        </w:rPr>
        <w:tab/>
      </w:r>
      <w:hyperlink w:anchor="report_heading_030" w:history="1">
        <w:r>
          <w:rPr>
            <w:rFonts w:ascii="SimSun" w:hAnsi="SimSun" w:eastAsia="宋体" w:cs="SimSun"/>
            <w:b w:val="0"/>
            <w:color w:val="000000"/>
            <w:sz w:val="24"/>
            <w:u w:val="none"/>
          </w:rPr>
          <w:t>24</w:t>
        </w:r>
      </w:hyperlink>
    </w:p>
    <w:p>
      <w:pPr>
        <w:tabs>
          <w:tab w:pos="8901" w:val="right" w:leader="dot"/>
        </w:tabs>
        <w:spacing w:lineRule="exact" w:line="480" w:before="0" w:after="0"/>
        <w:ind w:firstLine="0" w:left="0" w:right="0"/>
      </w:pPr>
      <w:hyperlink w:anchor="report_heading_031" w:history="1">
        <w:r>
          <w:rPr>
            <w:rFonts w:ascii="SimSun" w:hAnsi="SimSun" w:eastAsia="宋体" w:cs="SimSun"/>
            <w:b/>
            <w:color w:val="000000"/>
            <w:sz w:val="24"/>
            <w:u w:val="none"/>
          </w:rPr>
          <w:t>七、快速设计系统关键技术</w:t>
        </w:r>
      </w:hyperlink>
      <w:r>
        <w:rPr>
          <w:rFonts w:ascii="SimSun" w:hAnsi="SimSun" w:eastAsia="宋体" w:cs="SimSun"/>
          <w:color w:val="000000"/>
          <w:sz w:val="24"/>
        </w:rPr>
        <w:tab/>
      </w:r>
      <w:hyperlink w:anchor="report_heading_031" w:history="1">
        <w:r>
          <w:rPr>
            <w:rFonts w:ascii="SimSun" w:hAnsi="SimSun" w:eastAsia="宋体" w:cs="SimSun"/>
            <w:b/>
            <w:color w:val="000000"/>
            <w:sz w:val="24"/>
            <w:u w:val="none"/>
          </w:rPr>
          <w:t>24</w:t>
        </w:r>
      </w:hyperlink>
    </w:p>
    <w:p>
      <w:pPr>
        <w:tabs>
          <w:tab w:pos="8901" w:val="right" w:leader="dot"/>
        </w:tabs>
        <w:spacing w:lineRule="exact" w:line="480" w:before="0" w:after="0"/>
        <w:ind w:firstLine="0" w:left="480" w:right="0"/>
      </w:pPr>
      <w:hyperlink w:anchor="report_heading_032" w:history="1">
        <w:r>
          <w:rPr>
            <w:rFonts w:ascii="SimSun" w:hAnsi="SimSun" w:eastAsia="宋体" w:cs="SimSun"/>
            <w:b w:val="0"/>
            <w:color w:val="000000"/>
            <w:sz w:val="24"/>
            <w:u w:val="none"/>
          </w:rPr>
          <w:t>（一）模块化、参数化与规则化</w:t>
        </w:r>
      </w:hyperlink>
      <w:r>
        <w:rPr>
          <w:rFonts w:ascii="SimSun" w:hAnsi="SimSun" w:eastAsia="宋体" w:cs="SimSun"/>
          <w:color w:val="000000"/>
          <w:sz w:val="24"/>
        </w:rPr>
        <w:tab/>
      </w:r>
      <w:hyperlink w:anchor="report_heading_032" w:history="1">
        <w:r>
          <w:rPr>
            <w:rFonts w:ascii="SimSun" w:hAnsi="SimSun" w:eastAsia="宋体" w:cs="SimSun"/>
            <w:b w:val="0"/>
            <w:color w:val="000000"/>
            <w:sz w:val="24"/>
            <w:u w:val="none"/>
          </w:rPr>
          <w:t>24</w:t>
        </w:r>
      </w:hyperlink>
    </w:p>
    <w:p>
      <w:pPr>
        <w:tabs>
          <w:tab w:pos="8901" w:val="right" w:leader="dot"/>
        </w:tabs>
        <w:spacing w:lineRule="exact" w:line="480" w:before="0" w:after="0"/>
        <w:ind w:firstLine="0" w:left="480" w:right="0"/>
      </w:pPr>
      <w:hyperlink w:anchor="report_heading_033" w:history="1">
        <w:r>
          <w:rPr>
            <w:rFonts w:ascii="SimSun" w:hAnsi="SimSun" w:eastAsia="宋体" w:cs="SimSun"/>
            <w:b w:val="0"/>
            <w:color w:val="000000"/>
            <w:sz w:val="24"/>
            <w:u w:val="none"/>
          </w:rPr>
          <w:t>（二）快速设计流程</w:t>
        </w:r>
      </w:hyperlink>
      <w:r>
        <w:rPr>
          <w:rFonts w:ascii="SimSun" w:hAnsi="SimSun" w:eastAsia="宋体" w:cs="SimSun"/>
          <w:color w:val="000000"/>
          <w:sz w:val="24"/>
        </w:rPr>
        <w:tab/>
      </w:r>
      <w:hyperlink w:anchor="report_heading_033" w:history="1">
        <w:r>
          <w:rPr>
            <w:rFonts w:ascii="SimSun" w:hAnsi="SimSun" w:eastAsia="宋体" w:cs="SimSun"/>
            <w:b w:val="0"/>
            <w:color w:val="000000"/>
            <w:sz w:val="24"/>
            <w:u w:val="none"/>
          </w:rPr>
          <w:t>25</w:t>
        </w:r>
      </w:hyperlink>
    </w:p>
    <w:p>
      <w:pPr>
        <w:tabs>
          <w:tab w:pos="8901" w:val="right" w:leader="dot"/>
        </w:tabs>
        <w:spacing w:lineRule="exact" w:line="480" w:before="0" w:after="0"/>
        <w:ind w:firstLine="0" w:left="480" w:right="0"/>
      </w:pPr>
      <w:hyperlink w:anchor="report_heading_034" w:history="1">
        <w:r>
          <w:rPr>
            <w:rFonts w:ascii="SimSun" w:hAnsi="SimSun" w:eastAsia="宋体" w:cs="SimSun"/>
            <w:b w:val="0"/>
            <w:color w:val="000000"/>
            <w:sz w:val="24"/>
            <w:u w:val="none"/>
          </w:rPr>
          <w:t>（三）规则与约束体系</w:t>
        </w:r>
      </w:hyperlink>
      <w:r>
        <w:rPr>
          <w:rFonts w:ascii="SimSun" w:hAnsi="SimSun" w:eastAsia="宋体" w:cs="SimSun"/>
          <w:color w:val="000000"/>
          <w:sz w:val="24"/>
        </w:rPr>
        <w:tab/>
      </w:r>
      <w:hyperlink w:anchor="report_heading_034" w:history="1">
        <w:r>
          <w:rPr>
            <w:rFonts w:ascii="SimSun" w:hAnsi="SimSun" w:eastAsia="宋体" w:cs="SimSun"/>
            <w:b w:val="0"/>
            <w:color w:val="000000"/>
            <w:sz w:val="24"/>
            <w:u w:val="none"/>
          </w:rPr>
          <w:t>26</w:t>
        </w:r>
      </w:hyperlink>
    </w:p>
    <w:p>
      <w:pPr>
        <w:tabs>
          <w:tab w:pos="8901" w:val="right" w:leader="dot"/>
        </w:tabs>
        <w:spacing w:lineRule="exact" w:line="480" w:before="0" w:after="0"/>
        <w:ind w:firstLine="0" w:left="480" w:right="0"/>
      </w:pPr>
      <w:hyperlink w:anchor="report_heading_035" w:history="1">
        <w:r>
          <w:rPr>
            <w:rFonts w:ascii="SimSun" w:hAnsi="SimSun" w:eastAsia="宋体" w:cs="SimSun"/>
            <w:b w:val="0"/>
            <w:color w:val="000000"/>
            <w:sz w:val="24"/>
            <w:u w:val="none"/>
          </w:rPr>
          <w:t>（四）跨区域协同优化</w:t>
        </w:r>
      </w:hyperlink>
      <w:r>
        <w:rPr>
          <w:rFonts w:ascii="SimSun" w:hAnsi="SimSun" w:eastAsia="宋体" w:cs="SimSun"/>
          <w:color w:val="000000"/>
          <w:sz w:val="24"/>
        </w:rPr>
        <w:tab/>
      </w:r>
      <w:hyperlink w:anchor="report_heading_035" w:history="1">
        <w:r>
          <w:rPr>
            <w:rFonts w:ascii="SimSun" w:hAnsi="SimSun" w:eastAsia="宋体" w:cs="SimSun"/>
            <w:b w:val="0"/>
            <w:color w:val="000000"/>
            <w:sz w:val="24"/>
            <w:u w:val="none"/>
          </w:rPr>
          <w:t>27</w:t>
        </w:r>
      </w:hyperlink>
    </w:p>
    <w:p>
      <w:pPr>
        <w:tabs>
          <w:tab w:pos="8901" w:val="right" w:leader="dot"/>
        </w:tabs>
        <w:spacing w:lineRule="exact" w:line="480" w:before="0" w:after="0"/>
        <w:ind w:firstLine="0" w:left="480" w:right="0"/>
      </w:pPr>
      <w:hyperlink w:anchor="report_heading_036" w:history="1">
        <w:r>
          <w:rPr>
            <w:rFonts w:ascii="SimSun" w:hAnsi="SimSun" w:eastAsia="宋体" w:cs="SimSun"/>
            <w:b w:val="0"/>
            <w:color w:val="000000"/>
            <w:sz w:val="24"/>
            <w:u w:val="none"/>
          </w:rPr>
          <w:t>（五）方案检索、评价与复用</w:t>
        </w:r>
      </w:hyperlink>
      <w:r>
        <w:rPr>
          <w:rFonts w:ascii="SimSun" w:hAnsi="SimSun" w:eastAsia="宋体" w:cs="SimSun"/>
          <w:color w:val="000000"/>
          <w:sz w:val="24"/>
        </w:rPr>
        <w:tab/>
      </w:r>
      <w:hyperlink w:anchor="report_heading_036" w:history="1">
        <w:r>
          <w:rPr>
            <w:rFonts w:ascii="SimSun" w:hAnsi="SimSun" w:eastAsia="宋体" w:cs="SimSun"/>
            <w:b w:val="0"/>
            <w:color w:val="000000"/>
            <w:sz w:val="24"/>
            <w:u w:val="none"/>
          </w:rPr>
          <w:t>27</w:t>
        </w:r>
      </w:hyperlink>
    </w:p>
    <w:p>
      <w:pPr>
        <w:tabs>
          <w:tab w:pos="8901" w:val="right" w:leader="dot"/>
        </w:tabs>
        <w:spacing w:lineRule="exact" w:line="480" w:before="0" w:after="0"/>
        <w:ind w:firstLine="0" w:left="0" w:right="0"/>
      </w:pPr>
      <w:hyperlink w:anchor="report_heading_037" w:history="1">
        <w:r>
          <w:rPr>
            <w:rFonts w:ascii="SimSun" w:hAnsi="SimSun" w:eastAsia="宋体" w:cs="SimSun"/>
            <w:b/>
            <w:color w:val="000000"/>
            <w:sz w:val="24"/>
            <w:u w:val="none"/>
          </w:rPr>
          <w:t>八、平台功能模块设计</w:t>
        </w:r>
      </w:hyperlink>
      <w:r>
        <w:rPr>
          <w:rFonts w:ascii="SimSun" w:hAnsi="SimSun" w:eastAsia="宋体" w:cs="SimSun"/>
          <w:color w:val="000000"/>
          <w:sz w:val="24"/>
        </w:rPr>
        <w:tab/>
      </w:r>
      <w:hyperlink w:anchor="report_heading_037" w:history="1">
        <w:r>
          <w:rPr>
            <w:rFonts w:ascii="SimSun" w:hAnsi="SimSun" w:eastAsia="宋体" w:cs="SimSun"/>
            <w:b/>
            <w:color w:val="000000"/>
            <w:sz w:val="24"/>
            <w:u w:val="none"/>
          </w:rPr>
          <w:t>28</w:t>
        </w:r>
      </w:hyperlink>
    </w:p>
    <w:p>
      <w:pPr>
        <w:tabs>
          <w:tab w:pos="8901" w:val="right" w:leader="dot"/>
        </w:tabs>
        <w:spacing w:lineRule="exact" w:line="480" w:before="0" w:after="0"/>
        <w:ind w:firstLine="0" w:left="480" w:right="0"/>
      </w:pPr>
      <w:hyperlink w:anchor="report_heading_038" w:history="1">
        <w:r>
          <w:rPr>
            <w:rFonts w:ascii="SimSun" w:hAnsi="SimSun" w:eastAsia="宋体" w:cs="SimSun"/>
            <w:b w:val="0"/>
            <w:color w:val="000000"/>
            <w:sz w:val="24"/>
            <w:u w:val="none"/>
          </w:rPr>
          <w:t>（一）功能总体布局</w:t>
        </w:r>
      </w:hyperlink>
      <w:r>
        <w:rPr>
          <w:rFonts w:ascii="SimSun" w:hAnsi="SimSun" w:eastAsia="宋体" w:cs="SimSun"/>
          <w:color w:val="000000"/>
          <w:sz w:val="24"/>
        </w:rPr>
        <w:tab/>
      </w:r>
      <w:hyperlink w:anchor="report_heading_038" w:history="1">
        <w:r>
          <w:rPr>
            <w:rFonts w:ascii="SimSun" w:hAnsi="SimSun" w:eastAsia="宋体" w:cs="SimSun"/>
            <w:b w:val="0"/>
            <w:color w:val="000000"/>
            <w:sz w:val="24"/>
            <w:u w:val="none"/>
          </w:rPr>
          <w:t>28</w:t>
        </w:r>
      </w:hyperlink>
    </w:p>
    <w:p>
      <w:pPr>
        <w:tabs>
          <w:tab w:pos="8901" w:val="right" w:leader="dot"/>
        </w:tabs>
        <w:spacing w:lineRule="exact" w:line="480" w:before="0" w:after="0"/>
        <w:ind w:firstLine="0" w:left="480" w:right="0"/>
      </w:pPr>
      <w:hyperlink w:anchor="report_heading_039" w:history="1">
        <w:r>
          <w:rPr>
            <w:rFonts w:ascii="SimSun" w:hAnsi="SimSun" w:eastAsia="宋体" w:cs="SimSun"/>
            <w:b w:val="0"/>
            <w:color w:val="000000"/>
            <w:sz w:val="24"/>
            <w:u w:val="none"/>
          </w:rPr>
          <w:t>（二）典型业务场景</w:t>
        </w:r>
      </w:hyperlink>
      <w:r>
        <w:rPr>
          <w:rFonts w:ascii="SimSun" w:hAnsi="SimSun" w:eastAsia="宋体" w:cs="SimSun"/>
          <w:color w:val="000000"/>
          <w:sz w:val="24"/>
        </w:rPr>
        <w:tab/>
      </w:r>
      <w:hyperlink w:anchor="report_heading_039" w:history="1">
        <w:r>
          <w:rPr>
            <w:rFonts w:ascii="SimSun" w:hAnsi="SimSun" w:eastAsia="宋体" w:cs="SimSun"/>
            <w:b w:val="0"/>
            <w:color w:val="000000"/>
            <w:sz w:val="24"/>
            <w:u w:val="none"/>
          </w:rPr>
          <w:t>29</w:t>
        </w:r>
      </w:hyperlink>
    </w:p>
    <w:p>
      <w:pPr>
        <w:tabs>
          <w:tab w:pos="8901" w:val="right" w:leader="dot"/>
        </w:tabs>
        <w:spacing w:lineRule="exact" w:line="480" w:before="0" w:after="0"/>
        <w:ind w:firstLine="0" w:left="480" w:right="0"/>
      </w:pPr>
      <w:hyperlink w:anchor="report_heading_040" w:history="1">
        <w:r>
          <w:rPr>
            <w:rFonts w:ascii="SimSun" w:hAnsi="SimSun" w:eastAsia="宋体" w:cs="SimSun"/>
            <w:b w:val="0"/>
            <w:color w:val="000000"/>
            <w:sz w:val="24"/>
            <w:u w:val="none"/>
          </w:rPr>
          <w:t>（三）角色与权限</w:t>
        </w:r>
      </w:hyperlink>
      <w:r>
        <w:rPr>
          <w:rFonts w:ascii="SimSun" w:hAnsi="SimSun" w:eastAsia="宋体" w:cs="SimSun"/>
          <w:color w:val="000000"/>
          <w:sz w:val="24"/>
        </w:rPr>
        <w:tab/>
      </w:r>
      <w:hyperlink w:anchor="report_heading_040" w:history="1">
        <w:r>
          <w:rPr>
            <w:rFonts w:ascii="SimSun" w:hAnsi="SimSun" w:eastAsia="宋体" w:cs="SimSun"/>
            <w:b w:val="0"/>
            <w:color w:val="000000"/>
            <w:sz w:val="24"/>
            <w:u w:val="none"/>
          </w:rPr>
          <w:t>30</w:t>
        </w:r>
      </w:hyperlink>
    </w:p>
    <w:p>
      <w:pPr>
        <w:tabs>
          <w:tab w:pos="8901" w:val="right" w:leader="dot"/>
        </w:tabs>
        <w:spacing w:lineRule="exact" w:line="480" w:before="0" w:after="0"/>
        <w:ind w:firstLine="0" w:left="0" w:right="0"/>
      </w:pPr>
      <w:hyperlink w:anchor="report_heading_041" w:history="1">
        <w:r>
          <w:rPr>
            <w:rFonts w:ascii="SimSun" w:hAnsi="SimSun" w:eastAsia="宋体" w:cs="SimSun"/>
            <w:b/>
            <w:color w:val="000000"/>
            <w:sz w:val="24"/>
            <w:u w:val="none"/>
          </w:rPr>
          <w:t>九、数据资源与知识底座</w:t>
        </w:r>
      </w:hyperlink>
      <w:r>
        <w:rPr>
          <w:rFonts w:ascii="SimSun" w:hAnsi="SimSun" w:eastAsia="宋体" w:cs="SimSun"/>
          <w:color w:val="000000"/>
          <w:sz w:val="24"/>
        </w:rPr>
        <w:tab/>
      </w:r>
      <w:hyperlink w:anchor="report_heading_041" w:history="1">
        <w:r>
          <w:rPr>
            <w:rFonts w:ascii="SimSun" w:hAnsi="SimSun" w:eastAsia="宋体" w:cs="SimSun"/>
            <w:b/>
            <w:color w:val="000000"/>
            <w:sz w:val="24"/>
            <w:u w:val="none"/>
          </w:rPr>
          <w:t>30</w:t>
        </w:r>
      </w:hyperlink>
    </w:p>
    <w:p>
      <w:pPr>
        <w:tabs>
          <w:tab w:pos="8901" w:val="right" w:leader="dot"/>
        </w:tabs>
        <w:spacing w:lineRule="exact" w:line="480" w:before="0" w:after="0"/>
        <w:ind w:firstLine="0" w:left="480" w:right="0"/>
      </w:pPr>
      <w:hyperlink w:anchor="report_heading_042" w:history="1">
        <w:r>
          <w:rPr>
            <w:rFonts w:ascii="SimSun" w:hAnsi="SimSun" w:eastAsia="宋体" w:cs="SimSun"/>
            <w:b w:val="0"/>
            <w:color w:val="000000"/>
            <w:sz w:val="24"/>
            <w:u w:val="none"/>
          </w:rPr>
          <w:t>（一）数据资源体系</w:t>
        </w:r>
      </w:hyperlink>
      <w:r>
        <w:rPr>
          <w:rFonts w:ascii="SimSun" w:hAnsi="SimSun" w:eastAsia="宋体" w:cs="SimSun"/>
          <w:color w:val="000000"/>
          <w:sz w:val="24"/>
        </w:rPr>
        <w:tab/>
      </w:r>
      <w:hyperlink w:anchor="report_heading_042" w:history="1">
        <w:r>
          <w:rPr>
            <w:rFonts w:ascii="SimSun" w:hAnsi="SimSun" w:eastAsia="宋体" w:cs="SimSun"/>
            <w:b w:val="0"/>
            <w:color w:val="000000"/>
            <w:sz w:val="24"/>
            <w:u w:val="none"/>
          </w:rPr>
          <w:t>30</w:t>
        </w:r>
      </w:hyperlink>
    </w:p>
    <w:p>
      <w:pPr>
        <w:tabs>
          <w:tab w:pos="8901" w:val="right" w:leader="dot"/>
        </w:tabs>
        <w:spacing w:lineRule="exact" w:line="480" w:before="0" w:after="0"/>
        <w:ind w:firstLine="0" w:left="480" w:right="0"/>
      </w:pPr>
      <w:hyperlink w:anchor="report_heading_043" w:history="1">
        <w:r>
          <w:rPr>
            <w:rFonts w:ascii="SimSun" w:hAnsi="SimSun" w:eastAsia="宋体" w:cs="SimSun"/>
            <w:b w:val="0"/>
            <w:color w:val="000000"/>
            <w:sz w:val="24"/>
            <w:u w:val="none"/>
          </w:rPr>
          <w:t>（二）数据治理流程</w:t>
        </w:r>
      </w:hyperlink>
      <w:r>
        <w:rPr>
          <w:rFonts w:ascii="SimSun" w:hAnsi="SimSun" w:eastAsia="宋体" w:cs="SimSun"/>
          <w:color w:val="000000"/>
          <w:sz w:val="24"/>
        </w:rPr>
        <w:tab/>
      </w:r>
      <w:hyperlink w:anchor="report_heading_043" w:history="1">
        <w:r>
          <w:rPr>
            <w:rFonts w:ascii="SimSun" w:hAnsi="SimSun" w:eastAsia="宋体" w:cs="SimSun"/>
            <w:b w:val="0"/>
            <w:color w:val="000000"/>
            <w:sz w:val="24"/>
            <w:u w:val="none"/>
          </w:rPr>
          <w:t>31</w:t>
        </w:r>
      </w:hyperlink>
    </w:p>
    <w:p>
      <w:pPr>
        <w:tabs>
          <w:tab w:pos="8901" w:val="right" w:leader="dot"/>
        </w:tabs>
        <w:spacing w:lineRule="exact" w:line="480" w:before="0" w:after="0"/>
        <w:ind w:firstLine="0" w:left="480" w:right="0"/>
      </w:pPr>
      <w:hyperlink w:anchor="report_heading_044" w:history="1">
        <w:r>
          <w:rPr>
            <w:rFonts w:ascii="SimSun" w:hAnsi="SimSun" w:eastAsia="宋体" w:cs="SimSun"/>
            <w:b w:val="0"/>
            <w:color w:val="000000"/>
            <w:sz w:val="24"/>
            <w:u w:val="none"/>
          </w:rPr>
          <w:t>（三）数据质量控制</w:t>
        </w:r>
      </w:hyperlink>
      <w:r>
        <w:rPr>
          <w:rFonts w:ascii="SimSun" w:hAnsi="SimSun" w:eastAsia="宋体" w:cs="SimSun"/>
          <w:color w:val="000000"/>
          <w:sz w:val="24"/>
        </w:rPr>
        <w:tab/>
      </w:r>
      <w:hyperlink w:anchor="report_heading_044" w:history="1">
        <w:r>
          <w:rPr>
            <w:rFonts w:ascii="SimSun" w:hAnsi="SimSun" w:eastAsia="宋体" w:cs="SimSun"/>
            <w:b w:val="0"/>
            <w:color w:val="000000"/>
            <w:sz w:val="24"/>
            <w:u w:val="none"/>
          </w:rPr>
          <w:t>32</w:t>
        </w:r>
      </w:hyperlink>
    </w:p>
    <w:p>
      <w:pPr>
        <w:tabs>
          <w:tab w:pos="8901" w:val="right" w:leader="dot"/>
        </w:tabs>
        <w:spacing w:lineRule="exact" w:line="480" w:before="0" w:after="0"/>
        <w:ind w:firstLine="0" w:left="0" w:right="0"/>
      </w:pPr>
      <w:hyperlink w:anchor="report_heading_045" w:history="1">
        <w:r>
          <w:rPr>
            <w:rFonts w:ascii="SimSun" w:hAnsi="SimSun" w:eastAsia="宋体" w:cs="SimSun"/>
            <w:b/>
            <w:color w:val="000000"/>
            <w:sz w:val="24"/>
            <w:u w:val="none"/>
          </w:rPr>
          <w:t>十、系统集成与接口设计</w:t>
        </w:r>
      </w:hyperlink>
      <w:r>
        <w:rPr>
          <w:rFonts w:ascii="SimSun" w:hAnsi="SimSun" w:eastAsia="宋体" w:cs="SimSun"/>
          <w:color w:val="000000"/>
          <w:sz w:val="24"/>
        </w:rPr>
        <w:tab/>
      </w:r>
      <w:hyperlink w:anchor="report_heading_045" w:history="1">
        <w:r>
          <w:rPr>
            <w:rFonts w:ascii="SimSun" w:hAnsi="SimSun" w:eastAsia="宋体" w:cs="SimSun"/>
            <w:b/>
            <w:color w:val="000000"/>
            <w:sz w:val="24"/>
            <w:u w:val="none"/>
          </w:rPr>
          <w:t>32</w:t>
        </w:r>
      </w:hyperlink>
    </w:p>
    <w:p>
      <w:pPr>
        <w:tabs>
          <w:tab w:pos="8901" w:val="right" w:leader="dot"/>
        </w:tabs>
        <w:spacing w:lineRule="exact" w:line="480" w:before="0" w:after="0"/>
        <w:ind w:firstLine="0" w:left="480" w:right="0"/>
      </w:pPr>
      <w:hyperlink w:anchor="report_heading_046" w:history="1">
        <w:r>
          <w:rPr>
            <w:rFonts w:ascii="SimSun" w:hAnsi="SimSun" w:eastAsia="宋体" w:cs="SimSun"/>
            <w:b w:val="0"/>
            <w:color w:val="000000"/>
            <w:sz w:val="24"/>
            <w:u w:val="none"/>
          </w:rPr>
          <w:t>（一）与既有产品平台的交互</w:t>
        </w:r>
      </w:hyperlink>
      <w:r>
        <w:rPr>
          <w:rFonts w:ascii="SimSun" w:hAnsi="SimSun" w:eastAsia="宋体" w:cs="SimSun"/>
          <w:color w:val="000000"/>
          <w:sz w:val="24"/>
        </w:rPr>
        <w:tab/>
      </w:r>
      <w:hyperlink w:anchor="report_heading_046" w:history="1">
        <w:r>
          <w:rPr>
            <w:rFonts w:ascii="SimSun" w:hAnsi="SimSun" w:eastAsia="宋体" w:cs="SimSun"/>
            <w:b w:val="0"/>
            <w:color w:val="000000"/>
            <w:sz w:val="24"/>
            <w:u w:val="none"/>
          </w:rPr>
          <w:t>32</w:t>
        </w:r>
      </w:hyperlink>
    </w:p>
    <w:p>
      <w:pPr>
        <w:tabs>
          <w:tab w:pos="8901" w:val="right" w:leader="dot"/>
        </w:tabs>
        <w:spacing w:lineRule="exact" w:line="480" w:before="0" w:after="0"/>
        <w:ind w:firstLine="0" w:left="480" w:right="0"/>
      </w:pPr>
      <w:hyperlink w:anchor="report_heading_047" w:history="1">
        <w:r>
          <w:rPr>
            <w:rFonts w:ascii="SimSun" w:hAnsi="SimSun" w:eastAsia="宋体" w:cs="SimSun"/>
            <w:b w:val="0"/>
            <w:color w:val="000000"/>
            <w:sz w:val="24"/>
            <w:u w:val="none"/>
          </w:rPr>
          <w:t>（二）外部智能能力接入</w:t>
        </w:r>
      </w:hyperlink>
      <w:r>
        <w:rPr>
          <w:rFonts w:ascii="SimSun" w:hAnsi="SimSun" w:eastAsia="宋体" w:cs="SimSun"/>
          <w:color w:val="000000"/>
          <w:sz w:val="24"/>
        </w:rPr>
        <w:tab/>
      </w:r>
      <w:hyperlink w:anchor="report_heading_047" w:history="1">
        <w:r>
          <w:rPr>
            <w:rFonts w:ascii="SimSun" w:hAnsi="SimSun" w:eastAsia="宋体" w:cs="SimSun"/>
            <w:b w:val="0"/>
            <w:color w:val="000000"/>
            <w:sz w:val="24"/>
            <w:u w:val="none"/>
          </w:rPr>
          <w:t>33</w:t>
        </w:r>
      </w:hyperlink>
    </w:p>
    <w:p>
      <w:pPr>
        <w:tabs>
          <w:tab w:pos="8901" w:val="right" w:leader="dot"/>
        </w:tabs>
        <w:spacing w:lineRule="exact" w:line="480" w:before="0" w:after="0"/>
        <w:ind w:firstLine="0" w:left="480" w:right="0"/>
      </w:pPr>
      <w:hyperlink w:anchor="report_heading_048" w:history="1">
        <w:r>
          <w:rPr>
            <w:rFonts w:ascii="SimSun" w:hAnsi="SimSun" w:eastAsia="宋体" w:cs="SimSun"/>
            <w:b w:val="0"/>
            <w:color w:val="000000"/>
            <w:sz w:val="24"/>
            <w:u w:val="none"/>
          </w:rPr>
          <w:t>（三）接口验证</w:t>
        </w:r>
      </w:hyperlink>
      <w:r>
        <w:rPr>
          <w:rFonts w:ascii="SimSun" w:hAnsi="SimSun" w:eastAsia="宋体" w:cs="SimSun"/>
          <w:color w:val="000000"/>
          <w:sz w:val="24"/>
        </w:rPr>
        <w:tab/>
      </w:r>
      <w:hyperlink w:anchor="report_heading_048" w:history="1">
        <w:r>
          <w:rPr>
            <w:rFonts w:ascii="SimSun" w:hAnsi="SimSun" w:eastAsia="宋体" w:cs="SimSun"/>
            <w:b w:val="0"/>
            <w:color w:val="000000"/>
            <w:sz w:val="24"/>
            <w:u w:val="none"/>
          </w:rPr>
          <w:t>33</w:t>
        </w:r>
      </w:hyperlink>
    </w:p>
    <w:p>
      <w:pPr>
        <w:tabs>
          <w:tab w:pos="8901" w:val="right" w:leader="dot"/>
        </w:tabs>
        <w:spacing w:lineRule="exact" w:line="480" w:before="0" w:after="0"/>
        <w:ind w:firstLine="0" w:left="0" w:right="0"/>
      </w:pPr>
      <w:hyperlink w:anchor="report_heading_049" w:history="1">
        <w:r>
          <w:rPr>
            <w:rFonts w:ascii="SimSun" w:hAnsi="SimSun" w:eastAsia="宋体" w:cs="SimSun"/>
            <w:b/>
            <w:color w:val="000000"/>
            <w:sz w:val="24"/>
            <w:u w:val="none"/>
          </w:rPr>
          <w:t>十一、安全、质量与运行保障</w:t>
        </w:r>
      </w:hyperlink>
      <w:r>
        <w:rPr>
          <w:rFonts w:ascii="SimSun" w:hAnsi="SimSun" w:eastAsia="宋体" w:cs="SimSun"/>
          <w:color w:val="000000"/>
          <w:sz w:val="24"/>
        </w:rPr>
        <w:tab/>
      </w:r>
      <w:hyperlink w:anchor="report_heading_049" w:history="1">
        <w:r>
          <w:rPr>
            <w:rFonts w:ascii="SimSun" w:hAnsi="SimSun" w:eastAsia="宋体" w:cs="SimSun"/>
            <w:b/>
            <w:color w:val="000000"/>
            <w:sz w:val="24"/>
            <w:u w:val="none"/>
          </w:rPr>
          <w:t>33</w:t>
        </w:r>
      </w:hyperlink>
    </w:p>
    <w:p>
      <w:pPr>
        <w:tabs>
          <w:tab w:pos="8901" w:val="right" w:leader="dot"/>
        </w:tabs>
        <w:spacing w:lineRule="exact" w:line="480" w:before="0" w:after="0"/>
        <w:ind w:firstLine="0" w:left="480" w:right="0"/>
      </w:pPr>
      <w:hyperlink w:anchor="report_heading_050" w:history="1">
        <w:r>
          <w:rPr>
            <w:rFonts w:ascii="SimSun" w:hAnsi="SimSun" w:eastAsia="宋体" w:cs="SimSun"/>
            <w:b w:val="0"/>
            <w:color w:val="000000"/>
            <w:sz w:val="24"/>
            <w:u w:val="none"/>
          </w:rPr>
          <w:t>（一）安全与保密</w:t>
        </w:r>
      </w:hyperlink>
      <w:r>
        <w:rPr>
          <w:rFonts w:ascii="SimSun" w:hAnsi="SimSun" w:eastAsia="宋体" w:cs="SimSun"/>
          <w:color w:val="000000"/>
          <w:sz w:val="24"/>
        </w:rPr>
        <w:tab/>
      </w:r>
      <w:hyperlink w:anchor="report_heading_050" w:history="1">
        <w:r>
          <w:rPr>
            <w:rFonts w:ascii="SimSun" w:hAnsi="SimSun" w:eastAsia="宋体" w:cs="SimSun"/>
            <w:b w:val="0"/>
            <w:color w:val="000000"/>
            <w:sz w:val="24"/>
            <w:u w:val="none"/>
          </w:rPr>
          <w:t>33</w:t>
        </w:r>
      </w:hyperlink>
    </w:p>
    <w:p>
      <w:pPr>
        <w:tabs>
          <w:tab w:pos="8901" w:val="right" w:leader="dot"/>
        </w:tabs>
        <w:spacing w:lineRule="exact" w:line="480" w:before="0" w:after="0"/>
        <w:ind w:firstLine="0" w:left="480" w:right="0"/>
      </w:pPr>
      <w:hyperlink w:anchor="report_heading_051" w:history="1">
        <w:r>
          <w:rPr>
            <w:rFonts w:ascii="SimSun" w:hAnsi="SimSun" w:eastAsia="宋体" w:cs="SimSun"/>
            <w:b w:val="0"/>
            <w:color w:val="000000"/>
            <w:sz w:val="24"/>
            <w:u w:val="none"/>
          </w:rPr>
          <w:t>（二）可追溯设计</w:t>
        </w:r>
      </w:hyperlink>
      <w:r>
        <w:rPr>
          <w:rFonts w:ascii="SimSun" w:hAnsi="SimSun" w:eastAsia="宋体" w:cs="SimSun"/>
          <w:color w:val="000000"/>
          <w:sz w:val="24"/>
        </w:rPr>
        <w:tab/>
      </w:r>
      <w:hyperlink w:anchor="report_heading_051" w:history="1">
        <w:r>
          <w:rPr>
            <w:rFonts w:ascii="SimSun" w:hAnsi="SimSun" w:eastAsia="宋体" w:cs="SimSun"/>
            <w:b w:val="0"/>
            <w:color w:val="000000"/>
            <w:sz w:val="24"/>
            <w:u w:val="none"/>
          </w:rPr>
          <w:t>33</w:t>
        </w:r>
      </w:hyperlink>
    </w:p>
    <w:p>
      <w:pPr>
        <w:tabs>
          <w:tab w:pos="8901" w:val="right" w:leader="dot"/>
        </w:tabs>
        <w:spacing w:lineRule="exact" w:line="480" w:before="0" w:after="0"/>
        <w:ind w:firstLine="0" w:left="480" w:right="0"/>
      </w:pPr>
      <w:hyperlink w:anchor="report_heading_052" w:history="1">
        <w:r>
          <w:rPr>
            <w:rFonts w:ascii="SimSun" w:hAnsi="SimSun" w:eastAsia="宋体" w:cs="SimSun"/>
            <w:b w:val="0"/>
            <w:color w:val="000000"/>
            <w:sz w:val="24"/>
            <w:u w:val="none"/>
          </w:rPr>
          <w:t>（三）运行保障</w:t>
        </w:r>
      </w:hyperlink>
      <w:r>
        <w:rPr>
          <w:rFonts w:ascii="SimSun" w:hAnsi="SimSun" w:eastAsia="宋体" w:cs="SimSun"/>
          <w:color w:val="000000"/>
          <w:sz w:val="24"/>
        </w:rPr>
        <w:tab/>
      </w:r>
      <w:hyperlink w:anchor="report_heading_052" w:history="1">
        <w:r>
          <w:rPr>
            <w:rFonts w:ascii="SimSun" w:hAnsi="SimSun" w:eastAsia="宋体" w:cs="SimSun"/>
            <w:b w:val="0"/>
            <w:color w:val="000000"/>
            <w:sz w:val="24"/>
            <w:u w:val="none"/>
          </w:rPr>
          <w:t>34</w:t>
        </w:r>
      </w:hyperlink>
    </w:p>
    <w:p>
      <w:pPr>
        <w:tabs>
          <w:tab w:pos="8901" w:val="right" w:leader="dot"/>
        </w:tabs>
        <w:spacing w:lineRule="exact" w:line="480" w:before="0" w:after="0"/>
        <w:ind w:firstLine="0" w:left="0" w:right="0"/>
      </w:pPr>
      <w:hyperlink w:anchor="report_heading_053" w:history="1">
        <w:r>
          <w:rPr>
            <w:rFonts w:ascii="SimSun" w:hAnsi="SimSun" w:eastAsia="宋体" w:cs="SimSun"/>
            <w:b/>
            <w:color w:val="000000"/>
            <w:sz w:val="24"/>
            <w:u w:val="none"/>
          </w:rPr>
          <w:t>十二、实施技术路线与进度计划</w:t>
        </w:r>
      </w:hyperlink>
      <w:r>
        <w:rPr>
          <w:rFonts w:ascii="SimSun" w:hAnsi="SimSun" w:eastAsia="宋体" w:cs="SimSun"/>
          <w:color w:val="000000"/>
          <w:sz w:val="24"/>
        </w:rPr>
        <w:tab/>
      </w:r>
      <w:hyperlink w:anchor="report_heading_053" w:history="1">
        <w:r>
          <w:rPr>
            <w:rFonts w:ascii="SimSun" w:hAnsi="SimSun" w:eastAsia="宋体" w:cs="SimSun"/>
            <w:b/>
            <w:color w:val="000000"/>
            <w:sz w:val="24"/>
            <w:u w:val="none"/>
          </w:rPr>
          <w:t>34</w:t>
        </w:r>
      </w:hyperlink>
    </w:p>
    <w:p>
      <w:pPr>
        <w:tabs>
          <w:tab w:pos="8901" w:val="right" w:leader="dot"/>
        </w:tabs>
        <w:spacing w:lineRule="exact" w:line="480" w:before="0" w:after="0"/>
        <w:ind w:firstLine="0" w:left="480" w:right="0"/>
      </w:pPr>
      <w:hyperlink w:anchor="report_heading_054" w:history="1">
        <w:r>
          <w:rPr>
            <w:rFonts w:ascii="SimSun" w:hAnsi="SimSun" w:eastAsia="宋体" w:cs="SimSun"/>
            <w:b w:val="0"/>
            <w:color w:val="000000"/>
            <w:sz w:val="24"/>
            <w:u w:val="none"/>
          </w:rPr>
          <w:t>（一）总体实施路线</w:t>
        </w:r>
      </w:hyperlink>
      <w:r>
        <w:rPr>
          <w:rFonts w:ascii="SimSun" w:hAnsi="SimSun" w:eastAsia="宋体" w:cs="SimSun"/>
          <w:color w:val="000000"/>
          <w:sz w:val="24"/>
        </w:rPr>
        <w:tab/>
      </w:r>
      <w:hyperlink w:anchor="report_heading_054" w:history="1">
        <w:r>
          <w:rPr>
            <w:rFonts w:ascii="SimSun" w:hAnsi="SimSun" w:eastAsia="宋体" w:cs="SimSun"/>
            <w:b w:val="0"/>
            <w:color w:val="000000"/>
            <w:sz w:val="24"/>
            <w:u w:val="none"/>
          </w:rPr>
          <w:t>34</w:t>
        </w:r>
      </w:hyperlink>
    </w:p>
    <w:p>
      <w:pPr>
        <w:tabs>
          <w:tab w:pos="8901" w:val="right" w:leader="dot"/>
        </w:tabs>
        <w:spacing w:lineRule="exact" w:line="480" w:before="0" w:after="0"/>
        <w:ind w:firstLine="0" w:left="480" w:right="0"/>
      </w:pPr>
      <w:hyperlink w:anchor="report_heading_055" w:history="1">
        <w:r>
          <w:rPr>
            <w:rFonts w:ascii="SimSun" w:hAnsi="SimSun" w:eastAsia="宋体" w:cs="SimSun"/>
            <w:b w:val="0"/>
            <w:color w:val="000000"/>
            <w:sz w:val="24"/>
            <w:u w:val="none"/>
          </w:rPr>
          <w:t>（二）阶段进度计划</w:t>
        </w:r>
      </w:hyperlink>
      <w:r>
        <w:rPr>
          <w:rFonts w:ascii="SimSun" w:hAnsi="SimSun" w:eastAsia="宋体" w:cs="SimSun"/>
          <w:color w:val="000000"/>
          <w:sz w:val="24"/>
        </w:rPr>
        <w:tab/>
      </w:r>
      <w:hyperlink w:anchor="report_heading_055" w:history="1">
        <w:r>
          <w:rPr>
            <w:rFonts w:ascii="SimSun" w:hAnsi="SimSun" w:eastAsia="宋体" w:cs="SimSun"/>
            <w:b w:val="0"/>
            <w:color w:val="000000"/>
            <w:sz w:val="24"/>
            <w:u w:val="none"/>
          </w:rPr>
          <w:t>35</w:t>
        </w:r>
      </w:hyperlink>
    </w:p>
    <w:p>
      <w:pPr>
        <w:tabs>
          <w:tab w:pos="8901" w:val="right" w:leader="dot"/>
        </w:tabs>
        <w:spacing w:lineRule="exact" w:line="480" w:before="0" w:after="0"/>
        <w:ind w:firstLine="0" w:left="480" w:right="0"/>
      </w:pPr>
      <w:hyperlink w:anchor="report_heading_056" w:history="1">
        <w:r>
          <w:rPr>
            <w:rFonts w:ascii="SimSun" w:hAnsi="SimSun" w:eastAsia="宋体" w:cs="SimSun"/>
            <w:b w:val="0"/>
            <w:color w:val="000000"/>
            <w:sz w:val="24"/>
            <w:u w:val="none"/>
          </w:rPr>
          <w:t>（三）近期工作分解</w:t>
        </w:r>
      </w:hyperlink>
      <w:r>
        <w:rPr>
          <w:rFonts w:ascii="SimSun" w:hAnsi="SimSun" w:eastAsia="宋体" w:cs="SimSun"/>
          <w:color w:val="000000"/>
          <w:sz w:val="24"/>
        </w:rPr>
        <w:tab/>
      </w:r>
      <w:hyperlink w:anchor="report_heading_056" w:history="1">
        <w:r>
          <w:rPr>
            <w:rFonts w:ascii="SimSun" w:hAnsi="SimSun" w:eastAsia="宋体" w:cs="SimSun"/>
            <w:b w:val="0"/>
            <w:color w:val="000000"/>
            <w:sz w:val="24"/>
            <w:u w:val="none"/>
          </w:rPr>
          <w:t>35</w:t>
        </w:r>
      </w:hyperlink>
    </w:p>
    <w:p>
      <w:pPr>
        <w:tabs>
          <w:tab w:pos="8901" w:val="right" w:leader="dot"/>
        </w:tabs>
        <w:spacing w:lineRule="exact" w:line="480" w:before="0" w:after="0"/>
        <w:ind w:firstLine="0" w:left="480" w:right="0"/>
      </w:pPr>
      <w:hyperlink w:anchor="report_heading_057" w:history="1">
        <w:r>
          <w:rPr>
            <w:rFonts w:ascii="SimSun" w:hAnsi="SimSun" w:eastAsia="宋体" w:cs="SimSun"/>
            <w:b w:val="0"/>
            <w:color w:val="000000"/>
            <w:sz w:val="24"/>
            <w:u w:val="none"/>
          </w:rPr>
          <w:t>（四）项目组织与沟通</w:t>
        </w:r>
      </w:hyperlink>
      <w:r>
        <w:rPr>
          <w:rFonts w:ascii="SimSun" w:hAnsi="SimSun" w:eastAsia="宋体" w:cs="SimSun"/>
          <w:color w:val="000000"/>
          <w:sz w:val="24"/>
        </w:rPr>
        <w:tab/>
      </w:r>
      <w:hyperlink w:anchor="report_heading_057" w:history="1">
        <w:r>
          <w:rPr>
            <w:rFonts w:ascii="SimSun" w:hAnsi="SimSun" w:eastAsia="宋体" w:cs="SimSun"/>
            <w:b w:val="0"/>
            <w:color w:val="000000"/>
            <w:sz w:val="24"/>
            <w:u w:val="none"/>
          </w:rPr>
          <w:t>36</w:t>
        </w:r>
      </w:hyperlink>
    </w:p>
    <w:p>
      <w:pPr>
        <w:tabs>
          <w:tab w:pos="8901" w:val="right" w:leader="dot"/>
        </w:tabs>
        <w:spacing w:lineRule="exact" w:line="480" w:before="0" w:after="0"/>
        <w:ind w:firstLine="0" w:left="0" w:right="0"/>
      </w:pPr>
      <w:hyperlink w:anchor="report_heading_058" w:history="1">
        <w:r>
          <w:rPr>
            <w:rFonts w:ascii="SimSun" w:hAnsi="SimSun" w:eastAsia="宋体" w:cs="SimSun"/>
            <w:b/>
            <w:color w:val="000000"/>
            <w:sz w:val="24"/>
            <w:u w:val="none"/>
          </w:rPr>
          <w:t>十三、验证方法与验收建议</w:t>
        </w:r>
      </w:hyperlink>
      <w:r>
        <w:rPr>
          <w:rFonts w:ascii="SimSun" w:hAnsi="SimSun" w:eastAsia="宋体" w:cs="SimSun"/>
          <w:color w:val="000000"/>
          <w:sz w:val="24"/>
        </w:rPr>
        <w:tab/>
      </w:r>
      <w:hyperlink w:anchor="report_heading_058" w:history="1">
        <w:r>
          <w:rPr>
            <w:rFonts w:ascii="SimSun" w:hAnsi="SimSun" w:eastAsia="宋体" w:cs="SimSun"/>
            <w:b/>
            <w:color w:val="000000"/>
            <w:sz w:val="24"/>
            <w:u w:val="none"/>
          </w:rPr>
          <w:t>36</w:t>
        </w:r>
      </w:hyperlink>
    </w:p>
    <w:p>
      <w:pPr>
        <w:tabs>
          <w:tab w:pos="8901" w:val="right" w:leader="dot"/>
        </w:tabs>
        <w:spacing w:lineRule="exact" w:line="480" w:before="0" w:after="0"/>
        <w:ind w:firstLine="0" w:left="480" w:right="0"/>
      </w:pPr>
      <w:hyperlink w:anchor="report_heading_059" w:history="1">
        <w:r>
          <w:rPr>
            <w:rFonts w:ascii="SimSun" w:hAnsi="SimSun" w:eastAsia="宋体" w:cs="SimSun"/>
            <w:b w:val="0"/>
            <w:color w:val="000000"/>
            <w:sz w:val="24"/>
            <w:u w:val="none"/>
          </w:rPr>
          <w:t>（一）分层验证方法</w:t>
        </w:r>
      </w:hyperlink>
      <w:r>
        <w:rPr>
          <w:rFonts w:ascii="SimSun" w:hAnsi="SimSun" w:eastAsia="宋体" w:cs="SimSun"/>
          <w:color w:val="000000"/>
          <w:sz w:val="24"/>
        </w:rPr>
        <w:tab/>
      </w:r>
      <w:hyperlink w:anchor="report_heading_059" w:history="1">
        <w:r>
          <w:rPr>
            <w:rFonts w:ascii="SimSun" w:hAnsi="SimSun" w:eastAsia="宋体" w:cs="SimSun"/>
            <w:b w:val="0"/>
            <w:color w:val="000000"/>
            <w:sz w:val="24"/>
            <w:u w:val="none"/>
          </w:rPr>
          <w:t>36</w:t>
        </w:r>
      </w:hyperlink>
    </w:p>
    <w:p>
      <w:pPr>
        <w:tabs>
          <w:tab w:pos="8901" w:val="right" w:leader="dot"/>
        </w:tabs>
        <w:spacing w:lineRule="exact" w:line="480" w:before="0" w:after="0"/>
        <w:ind w:firstLine="0" w:left="480" w:right="0"/>
      </w:pPr>
      <w:hyperlink w:anchor="report_heading_060" w:history="1">
        <w:r>
          <w:rPr>
            <w:rFonts w:ascii="SimSun" w:hAnsi="SimSun" w:eastAsia="宋体" w:cs="SimSun"/>
            <w:b w:val="0"/>
            <w:color w:val="000000"/>
            <w:sz w:val="24"/>
            <w:u w:val="none"/>
          </w:rPr>
          <w:t>（二）典型验收场景</w:t>
        </w:r>
      </w:hyperlink>
      <w:r>
        <w:rPr>
          <w:rFonts w:ascii="SimSun" w:hAnsi="SimSun" w:eastAsia="宋体" w:cs="SimSun"/>
          <w:color w:val="000000"/>
          <w:sz w:val="24"/>
        </w:rPr>
        <w:tab/>
      </w:r>
      <w:hyperlink w:anchor="report_heading_060" w:history="1">
        <w:r>
          <w:rPr>
            <w:rFonts w:ascii="SimSun" w:hAnsi="SimSun" w:eastAsia="宋体" w:cs="SimSun"/>
            <w:b w:val="0"/>
            <w:color w:val="000000"/>
            <w:sz w:val="24"/>
            <w:u w:val="none"/>
          </w:rPr>
          <w:t>37</w:t>
        </w:r>
      </w:hyperlink>
    </w:p>
    <w:p>
      <w:pPr>
        <w:tabs>
          <w:tab w:pos="8901" w:val="right" w:leader="dot"/>
        </w:tabs>
        <w:spacing w:lineRule="exact" w:line="480" w:before="0" w:after="0"/>
        <w:ind w:firstLine="0" w:left="480" w:right="0"/>
      </w:pPr>
      <w:hyperlink w:anchor="report_heading_061" w:history="1">
        <w:r>
          <w:rPr>
            <w:rFonts w:ascii="SimSun" w:hAnsi="SimSun" w:eastAsia="宋体" w:cs="SimSun"/>
            <w:b w:val="0"/>
            <w:color w:val="000000"/>
            <w:sz w:val="24"/>
            <w:u w:val="none"/>
          </w:rPr>
          <w:t>（三）质量指标处理原则</w:t>
        </w:r>
      </w:hyperlink>
      <w:r>
        <w:rPr>
          <w:rFonts w:ascii="SimSun" w:hAnsi="SimSun" w:eastAsia="宋体" w:cs="SimSun"/>
          <w:color w:val="000000"/>
          <w:sz w:val="24"/>
        </w:rPr>
        <w:tab/>
      </w:r>
      <w:hyperlink w:anchor="report_heading_061" w:history="1">
        <w:r>
          <w:rPr>
            <w:rFonts w:ascii="SimSun" w:hAnsi="SimSun" w:eastAsia="宋体" w:cs="SimSun"/>
            <w:b w:val="0"/>
            <w:color w:val="000000"/>
            <w:sz w:val="24"/>
            <w:u w:val="none"/>
          </w:rPr>
          <w:t>37</w:t>
        </w:r>
      </w:hyperlink>
    </w:p>
    <w:p>
      <w:pPr>
        <w:tabs>
          <w:tab w:pos="8901" w:val="right" w:leader="dot"/>
        </w:tabs>
        <w:spacing w:lineRule="exact" w:line="480" w:before="0" w:after="0"/>
        <w:ind w:firstLine="0" w:left="0" w:right="0"/>
      </w:pPr>
      <w:hyperlink w:anchor="report_heading_062" w:history="1">
        <w:r>
          <w:rPr>
            <w:rFonts w:ascii="SimSun" w:hAnsi="SimSun" w:eastAsia="宋体" w:cs="SimSun"/>
            <w:b/>
            <w:color w:val="000000"/>
            <w:sz w:val="24"/>
            <w:u w:val="none"/>
          </w:rPr>
          <w:t>十四、主要风险与控制措施</w:t>
        </w:r>
      </w:hyperlink>
      <w:r>
        <w:rPr>
          <w:rFonts w:ascii="SimSun" w:hAnsi="SimSun" w:eastAsia="宋体" w:cs="SimSun"/>
          <w:color w:val="000000"/>
          <w:sz w:val="24"/>
        </w:rPr>
        <w:tab/>
      </w:r>
      <w:hyperlink w:anchor="report_heading_062" w:history="1">
        <w:r>
          <w:rPr>
            <w:rFonts w:ascii="SimSun" w:hAnsi="SimSun" w:eastAsia="宋体" w:cs="SimSun"/>
            <w:b/>
            <w:color w:val="000000"/>
            <w:sz w:val="24"/>
            <w:u w:val="none"/>
          </w:rPr>
          <w:t>38</w:t>
        </w:r>
      </w:hyperlink>
    </w:p>
    <w:p>
      <w:pPr>
        <w:tabs>
          <w:tab w:pos="8901" w:val="right" w:leader="dot"/>
        </w:tabs>
        <w:spacing w:lineRule="exact" w:line="480" w:before="0" w:after="0"/>
        <w:ind w:firstLine="0" w:left="480" w:right="0"/>
      </w:pPr>
      <w:hyperlink w:anchor="report_heading_063" w:history="1">
        <w:r>
          <w:rPr>
            <w:rFonts w:ascii="SimSun" w:hAnsi="SimSun" w:eastAsia="宋体" w:cs="SimSun"/>
            <w:b w:val="0"/>
            <w:color w:val="000000"/>
            <w:sz w:val="24"/>
            <w:u w:val="none"/>
          </w:rPr>
          <w:t>（一）风险管理机制</w:t>
        </w:r>
      </w:hyperlink>
      <w:r>
        <w:rPr>
          <w:rFonts w:ascii="SimSun" w:hAnsi="SimSun" w:eastAsia="宋体" w:cs="SimSun"/>
          <w:color w:val="000000"/>
          <w:sz w:val="24"/>
        </w:rPr>
        <w:tab/>
      </w:r>
      <w:hyperlink w:anchor="report_heading_063" w:history="1">
        <w:r>
          <w:rPr>
            <w:rFonts w:ascii="SimSun" w:hAnsi="SimSun" w:eastAsia="宋体" w:cs="SimSun"/>
            <w:b w:val="0"/>
            <w:color w:val="000000"/>
            <w:sz w:val="24"/>
            <w:u w:val="none"/>
          </w:rPr>
          <w:t>38</w:t>
        </w:r>
      </w:hyperlink>
    </w:p>
    <w:p>
      <w:pPr>
        <w:tabs>
          <w:tab w:pos="8901" w:val="right" w:leader="dot"/>
        </w:tabs>
        <w:spacing w:lineRule="exact" w:line="480" w:before="0" w:after="0"/>
        <w:ind w:firstLine="0" w:left="0" w:right="0"/>
      </w:pPr>
      <w:hyperlink w:anchor="report_heading_064" w:history="1">
        <w:r>
          <w:rPr>
            <w:rFonts w:ascii="SimSun" w:hAnsi="SimSun" w:eastAsia="宋体" w:cs="SimSun"/>
            <w:b/>
            <w:color w:val="000000"/>
            <w:sz w:val="24"/>
            <w:u w:val="none"/>
          </w:rPr>
          <w:t>十五、结论与建设建议</w:t>
        </w:r>
      </w:hyperlink>
      <w:r>
        <w:rPr>
          <w:rFonts w:ascii="SimSun" w:hAnsi="SimSun" w:eastAsia="宋体" w:cs="SimSun"/>
          <w:color w:val="000000"/>
          <w:sz w:val="24"/>
        </w:rPr>
        <w:tab/>
      </w:r>
      <w:hyperlink w:anchor="report_heading_064" w:history="1">
        <w:r>
          <w:rPr>
            <w:rFonts w:ascii="SimSun" w:hAnsi="SimSun" w:eastAsia="宋体" w:cs="SimSun"/>
            <w:b/>
            <w:color w:val="000000"/>
            <w:sz w:val="24"/>
            <w:u w:val="none"/>
          </w:rPr>
          <w:t>39</w:t>
        </w:r>
      </w:hyperlink>
    </w:p>
    <w:p>
      <w:pPr>
        <w:tabs>
          <w:tab w:pos="8901" w:val="right" w:leader="dot"/>
        </w:tabs>
        <w:spacing w:lineRule="exact" w:line="480" w:before="0" w:after="0"/>
        <w:ind w:firstLine="0" w:left="0" w:right="0"/>
      </w:pPr>
      <w:hyperlink w:anchor="report_heading_065" w:history="1">
        <w:r>
          <w:rPr>
            <w:rFonts w:ascii="SimSun" w:hAnsi="SimSun" w:eastAsia="宋体" w:cs="SimSun"/>
            <w:b/>
            <w:color w:val="000000"/>
            <w:sz w:val="24"/>
            <w:u w:val="none"/>
          </w:rPr>
          <w:t>附录 A 甲方关注事项与报告章节对应表</w:t>
        </w:r>
      </w:hyperlink>
      <w:r>
        <w:rPr>
          <w:rFonts w:ascii="SimSun" w:hAnsi="SimSun" w:eastAsia="宋体" w:cs="SimSun"/>
          <w:color w:val="000000"/>
          <w:sz w:val="24"/>
        </w:rPr>
        <w:tab/>
      </w:r>
      <w:hyperlink w:anchor="report_heading_065" w:history="1">
        <w:r>
          <w:rPr>
            <w:rFonts w:ascii="SimSun" w:hAnsi="SimSun" w:eastAsia="宋体" w:cs="SimSun"/>
            <w:b/>
            <w:color w:val="000000"/>
            <w:sz w:val="24"/>
            <w:u w:val="none"/>
          </w:rPr>
          <w:t>39</w:t>
        </w:r>
      </w:hyperlink>
    </w:p>
    <w:p>
      <w:pPr>
        <w:tabs>
          <w:tab w:pos="8901" w:val="right" w:leader="dot"/>
        </w:tabs>
        <w:spacing w:lineRule="exact" w:line="480" w:before="0" w:after="0"/>
        <w:ind w:firstLine="0" w:left="0" w:right="0"/>
      </w:pPr>
      <w:hyperlink w:anchor="report_heading_066" w:history="1">
        <w:r>
          <w:rPr>
            <w:rFonts w:ascii="SimSun" w:hAnsi="SimSun" w:eastAsia="宋体" w:cs="SimSun"/>
            <w:b/>
            <w:color w:val="000000"/>
            <w:sz w:val="24"/>
            <w:u w:val="none"/>
          </w:rPr>
          <w:t>附录 B 后续详细设计输入清单</w:t>
        </w:r>
      </w:hyperlink>
      <w:r>
        <w:rPr>
          <w:rFonts w:ascii="SimSun" w:hAnsi="SimSun" w:eastAsia="宋体" w:cs="SimSun"/>
          <w:color w:val="000000"/>
          <w:sz w:val="24"/>
        </w:rPr>
        <w:tab/>
      </w:r>
      <w:hyperlink w:anchor="report_heading_066" w:history="1">
        <w:r>
          <w:rPr>
            <w:rFonts w:ascii="SimSun" w:hAnsi="SimSun" w:eastAsia="宋体" w:cs="SimSun"/>
            <w:b/>
            <w:color w:val="000000"/>
            <w:sz w:val="24"/>
            <w:u w:val="none"/>
          </w:rPr>
          <w:t>40</w:t>
        </w:r>
      </w:hyperlink>
    </w:p>
    <w:p>
      <w:r>
        <w:br w:type="page"/>
      </w:r>
    </w:p>
    <w:p>
      <w:pPr>
        <w:pStyle w:val="Heading1"/>
        <w:spacing w:lineRule="exact" w:line="480" w:before="0" w:after="0"/>
        <w:ind w:firstLine="0"/>
      </w:pPr>
      <w:bookmarkStart w:id="1" w:name="report_heading_001"/>
      <w:r>
        <w:rPr>
          <w:rFonts w:ascii="SimHei" w:hAnsi="SimHei" w:eastAsia="黑体" w:cs="SimHei"/>
          <w:b/>
          <w:color w:val="000000"/>
          <w:sz w:val="28"/>
        </w:rPr>
        <w:t>摘要</w:t>
      </w:r>
      <w:bookmarkEnd w:id="1"/>
    </w:p>
    <w:p>
      <w:pPr>
        <w:widowControl/>
        <w:spacing w:lineRule="exact" w:line="480" w:before="0" w:after="0"/>
        <w:ind w:firstLine="480"/>
      </w:pPr>
      <w:r>
        <w:rPr>
          <w:rFonts w:ascii="SimSun" w:hAnsi="SimSun" w:eastAsia="宋体" w:cs="SimSun"/>
          <w:b w:val="0"/>
          <w:color w:val="000000"/>
          <w:sz w:val="24"/>
        </w:rPr>
        <w:t>本报告面向轨道交通客运装备内装模块化分区快速设计平台建设，围绕“分区识别技术、多模态应用、快速设计关键技术、平台总体架构、功能模块、数据与知识底座、实施路线及进度计划”展开研究。报告定位为平台构建前的技术指导文件：向上承接合同、技术规格书和平台建设需求，向下指导需求细化、数据准备、方案设计、系统开发、联调测试和阶段验收。</w:t>
      </w:r>
    </w:p>
    <w:p>
      <w:pPr>
        <w:widowControl/>
        <w:spacing w:lineRule="exact" w:line="480" w:before="0" w:after="0"/>
        <w:ind w:firstLine="480"/>
      </w:pPr>
      <w:r>
        <w:rPr>
          <w:rFonts w:ascii="SimSun" w:hAnsi="SimSun" w:eastAsia="宋体" w:cs="SimSun"/>
          <w:b w:val="0"/>
          <w:color w:val="000000"/>
          <w:sz w:val="24"/>
        </w:rPr>
        <w:t>研究以侧墙、顶部、地板、端墙、座椅、车门周边等典型客室区域为主要对象，采用模块化分解、多模态信息融合、人机协同识别、参数化设计、规则约束、方案检索与多目标评价等方法，形成从设计资料输入、区域与模块识别、设计方案生成、跨区域校核、人工评审到成果归档复用的业务闭环。平台采用分层解耦和能力适配思路，统一组织项目、资源、任务、规则、模型能力和设计成果，避免将单一算法输出直接等同于工程设计结论。</w:t>
      </w:r>
    </w:p>
    <w:p>
      <w:pPr>
        <w:widowControl/>
        <w:spacing w:lineRule="exact" w:line="480" w:before="0" w:after="0"/>
        <w:ind w:firstLine="480"/>
      </w:pPr>
      <w:r>
        <w:rPr>
          <w:rFonts w:ascii="SimSun" w:hAnsi="SimSun" w:eastAsia="宋体" w:cs="SimSun"/>
          <w:b w:val="0"/>
          <w:color w:val="000000"/>
          <w:sz w:val="24"/>
        </w:rPr>
        <w:t>本报告提出的平台蓝图包含应用层、核心能力层、平台支撑层和数据基础层，明确各层职责、接口边界、安全要求与扩展方式；同时给出分阶段建设路径、数据治理方案、验证指标、风险控制和交付物映射，可作为后续详细设计、开发实施和评审验收的统一依据。</w:t>
      </w:r>
    </w:p>
    <w:p>
      <w:pPr>
        <w:widowControl/>
        <w:spacing w:lineRule="exact" w:line="480" w:before="0" w:after="0"/>
        <w:ind w:firstLine="480"/>
      </w:pPr>
      <w:r>
        <w:rPr>
          <w:rFonts w:ascii="SimSun" w:hAnsi="SimSun" w:eastAsia="宋体" w:cs="SimSun"/>
          <w:b/>
          <w:color w:val="000000"/>
          <w:sz w:val="24"/>
        </w:rPr>
        <w:t>关键词：</w:t>
      </w:r>
      <w:r>
        <w:rPr>
          <w:rFonts w:ascii="SimSun" w:hAnsi="SimSun" w:eastAsia="宋体" w:cs="SimSun"/>
          <w:b w:val="0"/>
          <w:color w:val="000000"/>
          <w:sz w:val="24"/>
        </w:rPr>
        <w:t>轨道交通；客运装备；内装模块；分区识别；多模态应用；快速设计；平台架构</w:t>
      </w:r>
    </w:p>
    <w:p>
      <w:pPr>
        <w:pStyle w:val="Heading1"/>
        <w:spacing w:lineRule="exact" w:line="480" w:before="0" w:after="0"/>
        <w:ind w:firstLine="0"/>
      </w:pPr>
      <w:bookmarkStart w:id="2" w:name="report_heading_002"/>
      <w:r>
        <w:rPr>
          <w:rFonts w:ascii="SimHei" w:hAnsi="SimHei" w:eastAsia="黑体" w:cs="SimHei"/>
          <w:b/>
          <w:color w:val="000000"/>
          <w:sz w:val="28"/>
        </w:rPr>
        <w:t>一、报告定位与研究依据</w:t>
      </w:r>
      <w:bookmarkEnd w:id="2"/>
    </w:p>
    <w:p>
      <w:pPr>
        <w:pStyle w:val="Heading2"/>
        <w:spacing w:lineRule="exact" w:line="480" w:before="0" w:after="0"/>
        <w:ind w:firstLine="0"/>
      </w:pPr>
      <w:bookmarkStart w:id="3" w:name="report_heading_003"/>
      <w:r>
        <w:rPr>
          <w:rFonts w:ascii="KaiTi" w:hAnsi="KaiTi" w:eastAsia="楷体" w:cs="KaiTi"/>
          <w:b w:val="0"/>
          <w:color w:val="000000"/>
          <w:sz w:val="28"/>
        </w:rPr>
        <w:t>（一）报告定位</w:t>
      </w:r>
      <w:bookmarkEnd w:id="3"/>
    </w:p>
    <w:p>
      <w:pPr>
        <w:widowControl/>
        <w:spacing w:lineRule="exact" w:line="480" w:before="0" w:after="0"/>
        <w:ind w:firstLine="480"/>
      </w:pPr>
      <w:r>
        <w:rPr>
          <w:rFonts w:ascii="SimSun" w:hAnsi="SimSun" w:eastAsia="宋体" w:cs="SimSun"/>
          <w:b w:val="0"/>
          <w:color w:val="000000"/>
          <w:sz w:val="24"/>
        </w:rPr>
        <w:t>本报告不是系统操作手册，也不是对既有程序细节的说明，而是将前期平台建设要求细化为可执行的研究与工程指导方案。其核心任务是回答四个问题：平台为什么建设、关键技术如何落地、系统由哪些部分组成、各阶段以什么成果和指标判定完成。</w:t>
      </w:r>
    </w:p>
    <w:p>
      <w:pPr>
        <w:widowControl/>
        <w:spacing w:lineRule="exact" w:line="480" w:before="0" w:after="0"/>
        <w:ind w:firstLine="480"/>
      </w:pPr>
      <w:r>
        <w:rPr>
          <w:rFonts w:ascii="SimSun" w:hAnsi="SimSun" w:eastAsia="宋体" w:cs="SimSun"/>
          <w:b w:val="0"/>
          <w:color w:val="000000"/>
          <w:sz w:val="24"/>
        </w:rPr>
        <w:t>前期建设材料明确了总体目标和能力范围，本报告进一步细化研究对象、技术机理、数据流、功能边界、实施步骤、验证方法与风险控制，使后续参与需求、算法、设计、开发、测试和实施的人员能够基于同一技术蓝图开展工作。</w:t>
      </w:r>
    </w:p>
    <w:p>
      <w:pPr>
        <w:pStyle w:val="Caption"/>
        <w:keepNext/>
        <w:jc w:val="center"/>
      </w:pPr>
      <w:r>
        <w:rPr>
          <w:rFonts w:ascii="SimSun" w:hAnsi="SimSun" w:eastAsia="宋体" w:cs="SimSun"/>
          <w:color w:val="000000"/>
          <w:sz w:val="24"/>
        </w:rPr>
        <w:t>表 1 平台建设输入与研究任务的展开关系</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991"/>
        <w:gridCol w:w="2991"/>
        <w:gridCol w:w="2990"/>
      </w:tblGrid>
      <w:tr>
        <w:trPr>
          <w:cantSplit w:val="true"/>
          <w:tblHeader w:val="true"/>
        </w:trPr>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建设输入</w:t>
            </w:r>
          </w:p>
        </w:tc>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本报告研究重点</w:t>
            </w:r>
          </w:p>
        </w:tc>
        <w:tc>
          <w:tcPr>
            <w:tcW w:type="dxa" w:w="299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对后续建设的指导作用</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项目理解与建设目标</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研究边界、建设目标、设计原则</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统一需求范围和验收口径</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总体技术路线</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研究流程、关键技术链、阶段门</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指导任务分解和阶段协同</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系统总体架构</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分层架构、服务边界、数据流和部署边界</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指导概要设计与接口设计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分区识别与快速设计方案</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数据、算法、人机协同、规则与评价</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指导算法研究和业务流程设计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平台功能方案</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功能地图、角色场景、输入输出</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指导产品与详细功能设计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实施、测试与交付</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里程碑、验证指标、证据和风险</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指导进度控制与阶段验收</w:t>
            </w:r>
          </w:p>
        </w:tc>
      </w:tr>
    </w:tbl>
    <w:p>
      <w:pPr>
        <w:keepNext/>
        <w:spacing w:before="80" w:after="0" w:line="240" w:lineRule="auto"/>
        <w:ind w:firstLine="0"/>
        <w:jc w:val="center"/>
      </w:pPr>
      <w:r>
        <w:drawing>
          <wp:inline xmlns:a="http://schemas.openxmlformats.org/drawingml/2006/main" xmlns:pic="http://schemas.openxmlformats.org/drawingml/2006/picture">
            <wp:extent cx="5650992" cy="2928241"/>
            <wp:docPr id="1" name="Picture 1" descr="图 1 平台建设指导框架"/>
            <wp:cNvGraphicFramePr>
              <a:graphicFrameLocks noChangeAspect="1"/>
            </wp:cNvGraphicFramePr>
            <a:graphic>
              <a:graphicData uri="http://schemas.openxmlformats.org/drawingml/2006/picture">
                <pic:pic>
                  <pic:nvPicPr>
                    <pic:cNvPr id="0" name="v2-2-figure-01-guidance-framework.png"/>
                    <pic:cNvPicPr/>
                  </pic:nvPicPr>
                  <pic:blipFill>
                    <a:blip r:embed="rId13"/>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 平台建设指导框架</w:t>
      </w:r>
    </w:p>
    <w:p>
      <w:pPr>
        <w:pStyle w:val="Heading2"/>
        <w:spacing w:lineRule="exact" w:line="480" w:before="0" w:after="0"/>
        <w:ind w:firstLine="0"/>
      </w:pPr>
      <w:bookmarkStart w:id="4" w:name="report_heading_004"/>
      <w:r>
        <w:rPr>
          <w:rFonts w:ascii="KaiTi" w:hAnsi="KaiTi" w:eastAsia="楷体" w:cs="KaiTi"/>
          <w:b w:val="0"/>
          <w:color w:val="000000"/>
          <w:sz w:val="28"/>
        </w:rPr>
        <w:t>（二）建设依据</w:t>
      </w:r>
      <w:bookmarkEnd w:id="4"/>
    </w:p>
    <w:p>
      <w:pPr>
        <w:widowControl/>
        <w:spacing w:lineRule="exact" w:line="480" w:before="0" w:after="0"/>
        <w:ind w:firstLine="480"/>
      </w:pPr>
      <w:r>
        <w:rPr>
          <w:rFonts w:ascii="SimSun" w:hAnsi="SimSun" w:eastAsia="宋体" w:cs="SimSun"/>
          <w:b w:val="0"/>
          <w:color w:val="000000"/>
          <w:sz w:val="24"/>
        </w:rPr>
        <w:t>报告主要依据技术开发合同（26版）及附件技术规格书、平台建设需求、甲方关于研究报告定位和图文表达的补充意见，以及项目实施过程中确认的数据、接口、部署与验收条件。不同材料出现差异时，以双方最终签署的合同、补充协议和书面确认文件为准。</w:t>
      </w:r>
    </w:p>
    <w:p>
      <w:pPr>
        <w:pStyle w:val="Heading2"/>
        <w:spacing w:lineRule="exact" w:line="480" w:before="0" w:after="0"/>
        <w:ind w:firstLine="0"/>
      </w:pPr>
      <w:bookmarkStart w:id="5" w:name="report_heading_005"/>
      <w:r>
        <w:rPr>
          <w:rFonts w:ascii="KaiTi" w:hAnsi="KaiTi" w:eastAsia="楷体" w:cs="KaiTi"/>
          <w:b w:val="0"/>
          <w:color w:val="000000"/>
          <w:sz w:val="28"/>
        </w:rPr>
        <w:t>（三）研究范围</w:t>
      </w:r>
      <w:bookmarkEnd w:id="5"/>
    </w:p>
    <w:p>
      <w:pPr>
        <w:widowControl/>
        <w:spacing w:lineRule="exact" w:line="480" w:before="0" w:after="0"/>
        <w:ind w:firstLine="480"/>
      </w:pPr>
      <w:r>
        <w:rPr>
          <w:rFonts w:ascii="SimSun" w:hAnsi="SimSun" w:eastAsia="宋体" w:cs="SimSun"/>
          <w:b w:val="0"/>
          <w:color w:val="000000"/>
          <w:sz w:val="24"/>
        </w:rPr>
        <w:t>研究范围覆盖客室内装模块分区识别、多模态信息处理、模块化与参数化快速设计、跨区域协同、方案检索评价、平台架构、数据资源、系统集成、质量验证和建设计划。工程结构计算、车辆安全认证结论和未经甲方确认的生产工艺参数不由生成模型替代，仍以专业设计、试验和审批结果为准。</w:t>
      </w:r>
    </w:p>
    <w:p>
      <w:pPr>
        <w:pStyle w:val="Heading2"/>
        <w:spacing w:lineRule="exact" w:line="480" w:before="0" w:after="0"/>
        <w:ind w:firstLine="0"/>
      </w:pPr>
      <w:bookmarkStart w:id="6" w:name="report_heading_006"/>
      <w:r>
        <w:rPr>
          <w:rFonts w:ascii="KaiTi" w:hAnsi="KaiTi" w:eastAsia="楷体" w:cs="KaiTi"/>
          <w:b w:val="0"/>
          <w:color w:val="000000"/>
          <w:sz w:val="28"/>
        </w:rPr>
        <w:t>（四）研究方法</w:t>
      </w:r>
      <w:bookmarkEnd w:id="6"/>
    </w:p>
    <w:p>
      <w:pPr>
        <w:widowControl/>
        <w:spacing w:lineRule="exact" w:line="480" w:before="0" w:after="0"/>
        <w:ind w:firstLine="480"/>
      </w:pPr>
      <w:r>
        <w:rPr>
          <w:rFonts w:ascii="SimSun" w:hAnsi="SimSun" w:eastAsia="宋体" w:cs="SimSun"/>
          <w:b w:val="0"/>
          <w:color w:val="000000"/>
          <w:sz w:val="24"/>
        </w:rPr>
        <w:t>本报告综合采用合同与需求分析、系统工程分解、领域对象建模、多模态融合、人机协同、快速原型、场景验证和风险驱动设计等方法。研究过程遵循“需求可追踪、对象可表达、能力可替换、过程可复现、结果可验证”的原则，既关注智能算法效果，也关注平台治理、人工确认和工程可用性。</w:t>
      </w:r>
    </w:p>
    <w:p>
      <w:pPr>
        <w:widowControl/>
        <w:spacing w:lineRule="exact" w:line="480" w:before="0" w:after="0"/>
        <w:ind w:firstLine="480"/>
      </w:pPr>
      <w:r>
        <w:rPr>
          <w:rFonts w:ascii="SimSun" w:hAnsi="SimSun" w:eastAsia="宋体" w:cs="SimSun"/>
          <w:b w:val="0"/>
          <w:color w:val="000000"/>
          <w:sz w:val="24"/>
        </w:rPr>
        <w:t>研究工作按照“问题定义—技术假设—原型验证—工程固化”推进。问题定义阶段从典型设计任务中识别资料准备、区域判断、模块选择、参数调整、规则检查和成果评审等关键活动，形成业务问题与技术问题的对应关系；技术假设阶段明确不同数据条件下拟采用的识别、检索、生成和校核方法，并给出适用前提；原型验证阶段选择典型车型和区域构造可重复样例，通过对照试验、人工复核和场景走查验证效果；工程固化阶段把已验证的方法转化为对象规范、参数模板、规则条目、接口约定和测试用例。</w:t>
      </w:r>
    </w:p>
    <w:p>
      <w:pPr>
        <w:widowControl/>
        <w:spacing w:lineRule="exact" w:line="480" w:before="0" w:after="0"/>
        <w:ind w:firstLine="480"/>
      </w:pPr>
      <w:r>
        <w:rPr>
          <w:rFonts w:ascii="SimSun" w:hAnsi="SimSun" w:eastAsia="宋体" w:cs="SimSun"/>
          <w:b w:val="0"/>
          <w:color w:val="000000"/>
          <w:sz w:val="24"/>
        </w:rPr>
        <w:t>研究过程建立统一证据链。每项结论应能够关联其需求来源、研究对象、数据范围、方法版本、验证样例、评价指标和评审意见。对于仍需现场数据或外部系统条件才能确认的内容，报告只给出研究假设、验证方法和进入下一阶段的条件，不把待验证方案表述为既定结论。该方法可降低研究报告、系统设计和后续验收之间的口径偏差。</w:t>
      </w:r>
    </w:p>
    <w:p>
      <w:pPr>
        <w:pStyle w:val="Heading1"/>
        <w:spacing w:lineRule="exact" w:line="480" w:before="0" w:after="0"/>
        <w:ind w:firstLine="0"/>
      </w:pPr>
      <w:bookmarkStart w:id="7" w:name="report_heading_007"/>
      <w:r>
        <w:rPr>
          <w:rFonts w:ascii="SimHei" w:hAnsi="SimHei" w:eastAsia="黑体" w:cs="SimHei"/>
          <w:b/>
          <w:color w:val="000000"/>
          <w:sz w:val="28"/>
        </w:rPr>
        <w:t>二、建设背景与总体目标</w:t>
      </w:r>
      <w:bookmarkEnd w:id="7"/>
    </w:p>
    <w:p>
      <w:pPr>
        <w:pStyle w:val="Heading2"/>
        <w:spacing w:lineRule="exact" w:line="480" w:before="0" w:after="0"/>
        <w:ind w:firstLine="0"/>
      </w:pPr>
      <w:bookmarkStart w:id="8" w:name="report_heading_008"/>
      <w:r>
        <w:rPr>
          <w:rFonts w:ascii="KaiTi" w:hAnsi="KaiTi" w:eastAsia="楷体" w:cs="KaiTi"/>
          <w:b w:val="0"/>
          <w:color w:val="000000"/>
          <w:sz w:val="28"/>
        </w:rPr>
        <w:t>（一）业务背景</w:t>
      </w:r>
      <w:bookmarkEnd w:id="8"/>
    </w:p>
    <w:p>
      <w:pPr>
        <w:widowControl/>
        <w:spacing w:lineRule="exact" w:line="480" w:before="0" w:after="0"/>
        <w:ind w:firstLine="480"/>
      </w:pPr>
      <w:r>
        <w:rPr>
          <w:rFonts w:ascii="SimSun" w:hAnsi="SimSun" w:eastAsia="宋体" w:cs="SimSun"/>
          <w:b w:val="0"/>
          <w:color w:val="000000"/>
          <w:sz w:val="24"/>
        </w:rPr>
        <w:t>中车出口客运装备面对多国家、多线路、多车型和多文化审美需求，客室内装设计需要同时兼顾安全、功能、制造、维护、舒适度和视觉一致性。传统工作方式中，图像、图纸、模型、材质、规则和历史方案分散在不同目录或工具中，模块边界不统一，方案复用依赖个人经验，局部调整难以及时反映对相邻区域和整体效果的影响。</w:t>
      </w:r>
    </w:p>
    <w:p>
      <w:pPr>
        <w:widowControl/>
        <w:spacing w:lineRule="exact" w:line="480" w:before="0" w:after="0"/>
        <w:ind w:firstLine="480"/>
      </w:pPr>
      <w:r>
        <w:rPr>
          <w:rFonts w:ascii="SimSun" w:hAnsi="SimSun" w:eastAsia="宋体" w:cs="SimSun"/>
          <w:b w:val="0"/>
          <w:color w:val="000000"/>
          <w:sz w:val="24"/>
        </w:rPr>
        <w:t>平台建设的价值不只是提高单次效果图生成速度，更重要的是将设计对象、数据、规则、任务和成果纳入统一的项目上下文，使每一次识别、设计、修改和评审都能够形成可追溯、可复用的工程资产。</w:t>
      </w:r>
    </w:p>
    <w:p>
      <w:pPr>
        <w:widowControl/>
        <w:spacing w:lineRule="exact" w:line="480" w:before="0" w:after="0"/>
        <w:ind w:firstLine="480"/>
      </w:pPr>
      <w:r>
        <w:rPr>
          <w:rFonts w:ascii="SimSun" w:hAnsi="SimSun" w:eastAsia="宋体" w:cs="SimSun"/>
          <w:b w:val="0"/>
          <w:color w:val="000000"/>
          <w:sz w:val="24"/>
        </w:rPr>
        <w:t>从业务协同角度看，客室内装方案往往需要工业设计、结构、工艺、材料、车辆集成和项目管理等多类人员共同参与。同一对象在不同专业中可能采用不同名称、编号和文件表达，导致资料核对和变更影响分析耗时。平台需要用区域、模块、接口和版本关系建立共同语言，使不同专业能够围绕同一对象讨论，明确谁提出要求、谁修改方案、谁完成确认以及修改影响了哪些相邻区域。</w:t>
      </w:r>
    </w:p>
    <w:p>
      <w:pPr>
        <w:widowControl/>
        <w:spacing w:lineRule="exact" w:line="480" w:before="0" w:after="0"/>
        <w:ind w:firstLine="480"/>
      </w:pPr>
      <w:r>
        <w:rPr>
          <w:rFonts w:ascii="SimSun" w:hAnsi="SimSun" w:eastAsia="宋体" w:cs="SimSun"/>
          <w:b w:val="0"/>
          <w:color w:val="000000"/>
          <w:sz w:val="24"/>
        </w:rPr>
        <w:t>从设计知识积累角度看，历史项目中的可用方案、失败原因、规则冲突和评审意见具有持续价值。如果这些信息只保留在文件目录或个人经验中，新的车型项目仍会重复经历资料查找、方案比选和问题排查。平台应把经过确认的方案及其适用条件转化为可检索知识，同时保留项目边界和授权条件，使复用建立在可追溯、可判断的基础上。</w:t>
      </w:r>
    </w:p>
    <w:p>
      <w:pPr>
        <w:pStyle w:val="Heading2"/>
        <w:spacing w:lineRule="exact" w:line="480" w:before="0" w:after="0"/>
        <w:ind w:firstLine="0"/>
      </w:pPr>
      <w:bookmarkStart w:id="9" w:name="report_heading_009"/>
      <w:r>
        <w:rPr>
          <w:rFonts w:ascii="KaiTi" w:hAnsi="KaiTi" w:eastAsia="楷体" w:cs="KaiTi"/>
          <w:b w:val="0"/>
          <w:color w:val="000000"/>
          <w:sz w:val="28"/>
        </w:rPr>
        <w:t>（二）总体目标</w:t>
      </w:r>
      <w:bookmarkEnd w:id="9"/>
    </w:p>
    <w:p>
      <w:pPr>
        <w:widowControl/>
        <w:spacing w:lineRule="exact" w:line="480" w:before="0" w:after="0"/>
        <w:ind w:firstLine="480"/>
      </w:pPr>
      <w:r>
        <w:rPr>
          <w:rFonts w:ascii="SimSun" w:hAnsi="SimSun" w:eastAsia="宋体" w:cs="SimSun"/>
          <w:b w:val="0"/>
          <w:color w:val="000000"/>
          <w:sz w:val="24"/>
        </w:rPr>
        <w:t>平台建设目标是形成面向客室内装设计的数字化工作环境：建立统一的区域与模块表达方法，形成多模态信息辅助的分区识别能力，构建模块化、参数化和规则化的快速设计流程，沉淀可检索的设计成果库，并预留与既有产品平台的数据和业务交互能力。</w:t>
      </w:r>
    </w:p>
    <w:p>
      <w:pPr>
        <w:widowControl/>
        <w:spacing w:lineRule="exact" w:line="480" w:before="0" w:after="0"/>
        <w:ind w:firstLine="480"/>
      </w:pPr>
      <w:r>
        <w:rPr>
          <w:rFonts w:ascii="SimSun" w:hAnsi="SimSun" w:eastAsia="宋体" w:cs="SimSun"/>
          <w:b w:val="0"/>
          <w:color w:val="000000"/>
          <w:sz w:val="24"/>
        </w:rPr>
        <w:t>总体目标应进一步落实为四类可检查能力。第一类是对象治理能力，能够对车型、客室区域、模块、材料、规则和方案进行统一标识；第二类是智能辅助能力，能够在明确适用范围的前提下输出候选分区、资料关联和设计建议；第三类是设计闭环能力，能够完成从资料输入、方案生成、规则校核、人工评审到成果归档的连续流程；第四类是平台治理能力，能够对项目范围、用户权限、任务状态、版本血缘和接口交互进行持续管理。四类能力需要同步建设，避免形成只有算法演示而没有业务承载，或只有平台页面而缺少专业方法的情况。</w:t>
      </w:r>
    </w:p>
    <w:p>
      <w:pPr>
        <w:pStyle w:val="Caption"/>
        <w:keepNext/>
        <w:jc w:val="center"/>
      </w:pPr>
      <w:r>
        <w:rPr>
          <w:rFonts w:ascii="SimSun" w:hAnsi="SimSun" w:eastAsia="宋体" w:cs="SimSun"/>
          <w:color w:val="000000"/>
          <w:sz w:val="24"/>
        </w:rPr>
        <w:t>表 2 平台建设目标与阶段成果</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991"/>
        <w:gridCol w:w="2991"/>
        <w:gridCol w:w="2990"/>
      </w:tblGrid>
      <w:tr>
        <w:trPr>
          <w:cantSplit w:val="true"/>
          <w:tblHeader w:val="true"/>
        </w:trPr>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建设目标</w:t>
            </w:r>
          </w:p>
        </w:tc>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主要成果</w:t>
            </w:r>
          </w:p>
        </w:tc>
        <w:tc>
          <w:tcPr>
            <w:tcW w:type="dxa" w:w="299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完成判定</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模块分区标准化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区域分类、四级模块对象、属性与接口规范</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典型区域和模块可统一编码、描述和关联</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分区识别智能化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多模态候选识别、人机复核、结果版本化</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识别结果可解释、可修正、可进入设计任务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快速设计流程化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参数模板、规则校核、生成与比选流程</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典型设计任务可形成可重复的业务闭环</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成果资源化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设计方案、版本、评价与来源关系</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成果可查询、比较、复用和追溯</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平台能力服务化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统一项目、资源、任务、权限和能力接口</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外部能力可替换，业务流程保持稳定</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建设过程可验收</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里程碑、测试指标和证据清单</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各阶段具有明确输入、输出和评审依据</w:t>
            </w:r>
          </w:p>
        </w:tc>
      </w:tr>
    </w:tbl>
    <w:p>
      <w:pPr>
        <w:pStyle w:val="Heading2"/>
        <w:spacing w:lineRule="exact" w:line="480" w:before="0" w:after="0"/>
        <w:ind w:firstLine="0"/>
      </w:pPr>
      <w:bookmarkStart w:id="10" w:name="report_heading_010"/>
      <w:r>
        <w:rPr>
          <w:rFonts w:ascii="KaiTi" w:hAnsi="KaiTi" w:eastAsia="楷体" w:cs="KaiTi"/>
          <w:b w:val="0"/>
          <w:color w:val="000000"/>
          <w:sz w:val="28"/>
        </w:rPr>
        <w:t>（三）建设原则</w:t>
      </w:r>
      <w:bookmarkEnd w:id="10"/>
    </w:p>
    <w:p>
      <w:pPr>
        <w:pStyle w:val="ListParagraph"/>
        <w:spacing w:lineRule="exact" w:line="480" w:before="0" w:after="0"/>
        <w:ind w:firstLine="0"/>
        <w:numPr>
          <w:ilvl w:val="0"/>
          <w:numId w:val="10"/>
        </w:numPr>
      </w:pPr>
      <w:r>
        <w:rPr>
          <w:rFonts w:ascii="SimSun" w:hAnsi="SimSun" w:eastAsia="宋体" w:cs="SimSun"/>
          <w:b w:val="0"/>
          <w:color w:val="000000"/>
          <w:sz w:val="24"/>
        </w:rPr>
        <w:t>业务牵引。以真实设计流程和工程约束确定功能，不以算法展示替代业务闭环。</w:t>
      </w:r>
    </w:p>
    <w:p>
      <w:pPr>
        <w:pStyle w:val="ListParagraph"/>
        <w:spacing w:lineRule="exact" w:line="480" w:before="0" w:after="0"/>
        <w:ind w:firstLine="0"/>
        <w:numPr>
          <w:ilvl w:val="0"/>
          <w:numId w:val="10"/>
        </w:numPr>
      </w:pPr>
      <w:r>
        <w:rPr>
          <w:rFonts w:ascii="SimSun" w:hAnsi="SimSun" w:eastAsia="宋体" w:cs="SimSun"/>
          <w:b w:val="0"/>
          <w:color w:val="000000"/>
          <w:sz w:val="24"/>
        </w:rPr>
        <w:t>模块复用。优先沉淀稳定的区域、模块、参数、规则和成果对象，支持不同车型和项目复用。</w:t>
      </w:r>
    </w:p>
    <w:p>
      <w:pPr>
        <w:pStyle w:val="ListParagraph"/>
        <w:spacing w:lineRule="exact" w:line="480" w:before="0" w:after="0"/>
        <w:ind w:firstLine="0"/>
        <w:numPr>
          <w:ilvl w:val="0"/>
          <w:numId w:val="10"/>
        </w:numPr>
      </w:pPr>
      <w:r>
        <w:rPr>
          <w:rFonts w:ascii="SimSun" w:hAnsi="SimSun" w:eastAsia="宋体" w:cs="SimSun"/>
          <w:b w:val="0"/>
          <w:color w:val="000000"/>
          <w:sz w:val="24"/>
        </w:rPr>
        <w:t>人机协同。智能能力提供候选、检索和生成建议，设计人员负责语义确认、约束判断和方案决策。</w:t>
      </w:r>
    </w:p>
    <w:p>
      <w:pPr>
        <w:pStyle w:val="ListParagraph"/>
        <w:spacing w:lineRule="exact" w:line="480" w:before="0" w:after="0"/>
        <w:ind w:firstLine="0"/>
        <w:numPr>
          <w:ilvl w:val="0"/>
          <w:numId w:val="10"/>
        </w:numPr>
      </w:pPr>
      <w:r>
        <w:rPr>
          <w:rFonts w:ascii="SimSun" w:hAnsi="SimSun" w:eastAsia="宋体" w:cs="SimSun"/>
          <w:b w:val="0"/>
          <w:color w:val="000000"/>
          <w:sz w:val="24"/>
        </w:rPr>
        <w:t>数据贯通。识别输入、设计参数、执行过程、输出结果和评审结论通过统一对象关联。</w:t>
      </w:r>
    </w:p>
    <w:p>
      <w:pPr>
        <w:pStyle w:val="ListParagraph"/>
        <w:spacing w:lineRule="exact" w:line="480" w:before="0" w:after="0"/>
        <w:ind w:firstLine="0"/>
        <w:numPr>
          <w:ilvl w:val="0"/>
          <w:numId w:val="10"/>
        </w:numPr>
      </w:pPr>
      <w:r>
        <w:rPr>
          <w:rFonts w:ascii="SimSun" w:hAnsi="SimSun" w:eastAsia="宋体" w:cs="SimSun"/>
          <w:b w:val="0"/>
          <w:color w:val="000000"/>
          <w:sz w:val="24"/>
        </w:rPr>
        <w:t>安全可控。敏感数据、模型服务和系统配置在受控环境中管理，访问和变更可审计。</w:t>
      </w:r>
    </w:p>
    <w:p>
      <w:pPr>
        <w:pStyle w:val="ListParagraph"/>
        <w:spacing w:lineRule="exact" w:line="480" w:before="0" w:after="0"/>
        <w:ind w:firstLine="0"/>
        <w:numPr>
          <w:ilvl w:val="0"/>
          <w:numId w:val="10"/>
        </w:numPr>
      </w:pPr>
      <w:r>
        <w:rPr>
          <w:rFonts w:ascii="SimSun" w:hAnsi="SimSun" w:eastAsia="宋体" w:cs="SimSun"/>
          <w:b w:val="0"/>
          <w:color w:val="000000"/>
          <w:sz w:val="24"/>
        </w:rPr>
        <w:t>分步实施。先形成标准和最小闭环，再提升自动化程度和跨区域优化能力。</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2" name="Picture 2" descr="图 2 从设计需求到成果复用的业务闭环"/>
            <wp:cNvGraphicFramePr>
              <a:graphicFrameLocks noChangeAspect="1"/>
            </wp:cNvGraphicFramePr>
            <a:graphic>
              <a:graphicData uri="http://schemas.openxmlformats.org/drawingml/2006/picture">
                <pic:pic>
                  <pic:nvPicPr>
                    <pic:cNvPr id="0" name="v2-1-figure-02-business-loop.png"/>
                    <pic:cNvPicPr/>
                  </pic:nvPicPr>
                  <pic:blipFill>
                    <a:blip r:embed="rId14"/>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2 从设计需求到成果复用的业务闭环</w:t>
      </w:r>
    </w:p>
    <w:p>
      <w:pPr>
        <w:pStyle w:val="Heading1"/>
        <w:spacing w:lineRule="exact" w:line="480" w:before="0" w:after="0"/>
        <w:ind w:firstLine="0"/>
      </w:pPr>
      <w:bookmarkStart w:id="11" w:name="report_heading_011"/>
      <w:r>
        <w:rPr>
          <w:rFonts w:ascii="SimHei" w:hAnsi="SimHei" w:eastAsia="黑体" w:cs="SimHei"/>
          <w:b/>
          <w:color w:val="000000"/>
          <w:sz w:val="28"/>
        </w:rPr>
        <w:t>三、总体研究框架与关键问题</w:t>
      </w:r>
      <w:bookmarkEnd w:id="11"/>
    </w:p>
    <w:p>
      <w:pPr>
        <w:pStyle w:val="Heading2"/>
        <w:spacing w:lineRule="exact" w:line="480" w:before="0" w:after="0"/>
        <w:ind w:firstLine="0"/>
      </w:pPr>
      <w:bookmarkStart w:id="12" w:name="report_heading_012"/>
      <w:r>
        <w:rPr>
          <w:rFonts w:ascii="KaiTi" w:hAnsi="KaiTi" w:eastAsia="楷体" w:cs="KaiTi"/>
          <w:b w:val="0"/>
          <w:color w:val="000000"/>
          <w:sz w:val="28"/>
        </w:rPr>
        <w:t>（一）研究内容体系</w:t>
      </w:r>
      <w:bookmarkEnd w:id="12"/>
    </w:p>
    <w:p>
      <w:pPr>
        <w:widowControl/>
        <w:spacing w:lineRule="exact" w:line="480" w:before="0" w:after="0"/>
        <w:ind w:firstLine="480"/>
      </w:pPr>
      <w:r>
        <w:rPr>
          <w:rFonts w:ascii="SimSun" w:hAnsi="SimSun" w:eastAsia="宋体" w:cs="SimSun"/>
          <w:b w:val="0"/>
          <w:color w:val="000000"/>
          <w:sz w:val="24"/>
        </w:rPr>
        <w:t>研究内容由四条相互关联的主线构成。第一条是对象主线，解决客室区域、模块、属性、接口和版本如何统一表达；第二条是技术主线，研究多模态识别、参数化生成、规则校核和跨区域优化；第三条是平台主线，建设项目、资源、任务、权限、接口和成果库；第四条是验证主线，通过数据集、指标、场景、测试和评审证明方案可行。</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3" name="Picture 3" descr="图 3 研究内容与平台建设主线"/>
            <wp:cNvGraphicFramePr>
              <a:graphicFrameLocks noChangeAspect="1"/>
            </wp:cNvGraphicFramePr>
            <a:graphic>
              <a:graphicData uri="http://schemas.openxmlformats.org/drawingml/2006/picture">
                <pic:pic>
                  <pic:nvPicPr>
                    <pic:cNvPr id="0" name="v2-1-figure-03-research-streams.png"/>
                    <pic:cNvPicPr/>
                  </pic:nvPicPr>
                  <pic:blipFill>
                    <a:blip r:embed="rId15"/>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3 研究内容与平台建设主线</w:t>
      </w:r>
    </w:p>
    <w:p>
      <w:pPr>
        <w:pStyle w:val="Heading2"/>
        <w:spacing w:lineRule="exact" w:line="480" w:before="0" w:after="0"/>
        <w:ind w:firstLine="0"/>
      </w:pPr>
      <w:bookmarkStart w:id="13" w:name="report_heading_013"/>
      <w:r>
        <w:rPr>
          <w:rFonts w:ascii="KaiTi" w:hAnsi="KaiTi" w:eastAsia="楷体" w:cs="KaiTi"/>
          <w:b w:val="0"/>
          <w:color w:val="000000"/>
          <w:sz w:val="28"/>
        </w:rPr>
        <w:t>（二）需要解决的关键问题</w:t>
      </w:r>
      <w:bookmarkEnd w:id="13"/>
    </w:p>
    <w:p>
      <w:pPr>
        <w:pStyle w:val="ListParagraph"/>
        <w:spacing w:lineRule="exact" w:line="480" w:before="0" w:after="0"/>
        <w:ind w:firstLine="0"/>
        <w:numPr>
          <w:ilvl w:val="0"/>
          <w:numId w:val="11"/>
        </w:numPr>
      </w:pPr>
      <w:r>
        <w:rPr>
          <w:rFonts w:ascii="SimSun" w:hAnsi="SimSun" w:eastAsia="宋体" w:cs="SimSun"/>
          <w:b w:val="0"/>
          <w:color w:val="000000"/>
          <w:sz w:val="24"/>
        </w:rPr>
        <w:t>如何把图像、三维模型、文本、属性和空间关系转换为统一的区域与模块对象。</w:t>
      </w:r>
    </w:p>
    <w:p>
      <w:pPr>
        <w:pStyle w:val="ListParagraph"/>
        <w:spacing w:lineRule="exact" w:line="480" w:before="0" w:after="0"/>
        <w:ind w:firstLine="0"/>
        <w:numPr>
          <w:ilvl w:val="0"/>
          <w:numId w:val="11"/>
        </w:numPr>
      </w:pPr>
      <w:r>
        <w:rPr>
          <w:rFonts w:ascii="SimSun" w:hAnsi="SimSun" w:eastAsia="宋体" w:cs="SimSun"/>
          <w:b w:val="0"/>
          <w:color w:val="000000"/>
          <w:sz w:val="24"/>
        </w:rPr>
        <w:t>如何在样本不足、遮挡、反光和车型差异条件下提高识别稳定性，并允许人工高效修订。</w:t>
      </w:r>
    </w:p>
    <w:p>
      <w:pPr>
        <w:pStyle w:val="ListParagraph"/>
        <w:spacing w:lineRule="exact" w:line="480" w:before="0" w:after="0"/>
        <w:ind w:firstLine="0"/>
        <w:numPr>
          <w:ilvl w:val="0"/>
          <w:numId w:val="11"/>
        </w:numPr>
      </w:pPr>
      <w:r>
        <w:rPr>
          <w:rFonts w:ascii="SimSun" w:hAnsi="SimSun" w:eastAsia="宋体" w:cs="SimSun"/>
          <w:b w:val="0"/>
          <w:color w:val="000000"/>
          <w:sz w:val="24"/>
        </w:rPr>
        <w:t>如何把生成式能力与参数、规则和工程约束结合，避免产生无法落地的“纯效果图方案”。</w:t>
      </w:r>
    </w:p>
    <w:p>
      <w:pPr>
        <w:pStyle w:val="ListParagraph"/>
        <w:spacing w:lineRule="exact" w:line="480" w:before="0" w:after="0"/>
        <w:ind w:firstLine="0"/>
        <w:numPr>
          <w:ilvl w:val="0"/>
          <w:numId w:val="11"/>
        </w:numPr>
      </w:pPr>
      <w:r>
        <w:rPr>
          <w:rFonts w:ascii="SimSun" w:hAnsi="SimSun" w:eastAsia="宋体" w:cs="SimSun"/>
          <w:b w:val="0"/>
          <w:color w:val="000000"/>
          <w:sz w:val="24"/>
        </w:rPr>
        <w:t>如何处理侧墙、顶部、地板、端墙、座椅和门区之间的接口、风格与装配联动。</w:t>
      </w:r>
    </w:p>
    <w:p>
      <w:pPr>
        <w:pStyle w:val="ListParagraph"/>
        <w:spacing w:lineRule="exact" w:line="480" w:before="0" w:after="0"/>
        <w:ind w:firstLine="0"/>
        <w:numPr>
          <w:ilvl w:val="0"/>
          <w:numId w:val="11"/>
        </w:numPr>
      </w:pPr>
      <w:r>
        <w:rPr>
          <w:rFonts w:ascii="SimSun" w:hAnsi="SimSun" w:eastAsia="宋体" w:cs="SimSun"/>
          <w:b w:val="0"/>
          <w:color w:val="000000"/>
          <w:sz w:val="24"/>
        </w:rPr>
        <w:t>如何让算法、工作流或模型升级不破坏既有平台业务、历史数据和验收证据。</w:t>
      </w:r>
    </w:p>
    <w:p>
      <w:pPr>
        <w:pStyle w:val="ListParagraph"/>
        <w:spacing w:lineRule="exact" w:line="480" w:before="0" w:after="0"/>
        <w:ind w:firstLine="0"/>
        <w:numPr>
          <w:ilvl w:val="0"/>
          <w:numId w:val="11"/>
        </w:numPr>
      </w:pPr>
      <w:r>
        <w:rPr>
          <w:rFonts w:ascii="SimSun" w:hAnsi="SimSun" w:eastAsia="宋体" w:cs="SimSun"/>
          <w:b w:val="0"/>
          <w:color w:val="000000"/>
          <w:sz w:val="24"/>
        </w:rPr>
        <w:t>如何以阶段成果、量化指标和可追溯证据控制平台搭建进度与质量。</w:t>
      </w:r>
    </w:p>
    <w:p>
      <w:pPr>
        <w:pStyle w:val="Heading2"/>
        <w:spacing w:lineRule="exact" w:line="480" w:before="0" w:after="0"/>
        <w:ind w:firstLine="0"/>
      </w:pPr>
      <w:bookmarkStart w:id="14" w:name="report_heading_014"/>
      <w:r>
        <w:rPr>
          <w:rFonts w:ascii="KaiTi" w:hAnsi="KaiTi" w:eastAsia="楷体" w:cs="KaiTi"/>
          <w:b w:val="0"/>
          <w:color w:val="000000"/>
          <w:sz w:val="28"/>
        </w:rPr>
        <w:t>（三）研究成果形态</w:t>
      </w:r>
      <w:bookmarkEnd w:id="14"/>
    </w:p>
    <w:p>
      <w:pPr>
        <w:widowControl/>
        <w:spacing w:lineRule="exact" w:line="480" w:before="0" w:after="0"/>
        <w:ind w:firstLine="480"/>
      </w:pPr>
      <w:r>
        <w:rPr>
          <w:rFonts w:ascii="SimSun" w:hAnsi="SimSun" w:eastAsia="宋体" w:cs="SimSun"/>
          <w:b w:val="0"/>
          <w:color w:val="000000"/>
          <w:sz w:val="24"/>
        </w:rPr>
        <w:t>研究成果不局限于文字报告，还应包括区域与模块分类、数据字典、标注规范、规则清单、参数模板、算法评测集、功能原型、接口规范、测试用例、设计方案样例和阶段评审记录。各成果之间通过统一编号和版本关系建立映射，避免“报告、系统、数据和验收材料各自独立”。</w:t>
      </w:r>
    </w:p>
    <w:p>
      <w:pPr>
        <w:widowControl/>
        <w:spacing w:lineRule="exact" w:line="480" w:before="0" w:after="0"/>
        <w:ind w:firstLine="480"/>
      </w:pPr>
      <w:r>
        <w:rPr>
          <w:rFonts w:ascii="SimSun" w:hAnsi="SimSun" w:eastAsia="宋体" w:cs="SimSun"/>
          <w:b w:val="0"/>
          <w:color w:val="000000"/>
          <w:sz w:val="24"/>
        </w:rPr>
        <w:t>成果之间的关系应在第一阶段即建立。区域与模块分类决定标注体系和业务页面中的对象选项；数据字典约束平台存储、模型输入和系统接口；规则清单转化为快速设计中的校核项和测试条件；算法评测集用于比较不同技术方案并确认适用范围；方案样例同时作为功能演示、场景测试和人员培训材料。通过一份成果服务多个后续环节，可以减少重复整理，并确保研究结论真正进入平台设计。</w:t>
      </w:r>
    </w:p>
    <w:p>
      <w:pPr>
        <w:pStyle w:val="Heading1"/>
        <w:spacing w:lineRule="exact" w:line="480" w:before="0" w:after="0"/>
        <w:ind w:firstLine="0"/>
      </w:pPr>
      <w:bookmarkStart w:id="15" w:name="report_heading_015"/>
      <w:r>
        <w:rPr>
          <w:rFonts w:ascii="SimHei" w:hAnsi="SimHei" w:eastAsia="黑体" w:cs="SimHei"/>
          <w:b/>
          <w:color w:val="000000"/>
          <w:sz w:val="28"/>
        </w:rPr>
        <w:t>四、平台总体架构设计</w:t>
      </w:r>
      <w:bookmarkEnd w:id="15"/>
    </w:p>
    <w:p>
      <w:pPr>
        <w:pStyle w:val="Heading2"/>
        <w:spacing w:lineRule="exact" w:line="480" w:before="0" w:after="0"/>
        <w:ind w:firstLine="0"/>
      </w:pPr>
      <w:bookmarkStart w:id="16" w:name="report_heading_016"/>
      <w:r>
        <w:rPr>
          <w:rFonts w:ascii="KaiTi" w:hAnsi="KaiTi" w:eastAsia="楷体" w:cs="KaiTi"/>
          <w:b w:val="0"/>
          <w:color w:val="000000"/>
          <w:sz w:val="28"/>
        </w:rPr>
        <w:t>（一）分层架构</w:t>
      </w:r>
      <w:bookmarkEnd w:id="16"/>
    </w:p>
    <w:p>
      <w:pPr>
        <w:widowControl/>
        <w:spacing w:lineRule="exact" w:line="480" w:before="0" w:after="0"/>
        <w:ind w:firstLine="480"/>
      </w:pPr>
      <w:r>
        <w:rPr>
          <w:rFonts w:ascii="SimSun" w:hAnsi="SimSun" w:eastAsia="宋体" w:cs="SimSun"/>
          <w:b w:val="0"/>
          <w:color w:val="000000"/>
          <w:sz w:val="24"/>
        </w:rPr>
        <w:t>平台采用“应用层—核心能力层—平台支撑层—数据基础层”四层架构。应用层面向设计人员、项目负责人、算法与数据人员、系统管理人员提供场景化工作台；核心能力层封装分区识别、快速设计、规则校核、方案评价和多模态助手；平台支撑层统一处理身份、项目、资源、任务、版本、通知、审计和接口适配；数据基础层保存业务数据、非结构化文件、模块知识、规则和运行记录。</w:t>
      </w:r>
    </w:p>
    <w:p>
      <w:pPr>
        <w:widowControl/>
        <w:spacing w:lineRule="exact" w:line="480" w:before="0" w:after="0"/>
        <w:ind w:firstLine="480"/>
      </w:pPr>
      <w:r>
        <w:rPr>
          <w:rFonts w:ascii="SimSun" w:hAnsi="SimSun" w:eastAsia="宋体" w:cs="SimSun"/>
          <w:b w:val="0"/>
          <w:color w:val="000000"/>
          <w:sz w:val="24"/>
        </w:rPr>
        <w:t>为更准确反映系统复杂度，总体架构在四层业务视角之上进一步区分业务访问、业务应用、领域服务、智能能力、平台支撑以及数据与基础设施六个技术层面。业务访问层承载设计工作台、管理门户、评审入口和产品平台协同；业务应用层按照项目协作、分区识别、模块化设计、整体布置、形态与CMF以及方案评审组织场景；领域服务层稳定表达项目上下文、区域模块、方案版本、资源血缘、任务流程和规则评价；智能能力层组合视觉分割、多模态对齐、知识检索、生成探索、参数优化和跨区域协同；平台支撑层提供统一身份、权限策略、资源管理、任务编排、通知审计和接口适配；底层提供主数据、知识资源、业务数据、文件存储和计算资源。</w:t>
      </w:r>
    </w:p>
    <w:p>
      <w:pPr>
        <w:widowControl/>
        <w:spacing w:lineRule="exact" w:line="480" w:before="0" w:after="0"/>
        <w:ind w:firstLine="480"/>
      </w:pPr>
      <w:r>
        <w:rPr>
          <w:rFonts w:ascii="SimSun" w:hAnsi="SimSun" w:eastAsia="宋体" w:cs="SimSun"/>
          <w:b w:val="0"/>
          <w:color w:val="000000"/>
          <w:sz w:val="24"/>
        </w:rPr>
        <w:t>各层之间采用明确契约连接。上层只依赖下层公开的业务能力，不直接读取下层内部数据结构；智能能力不得绕开项目权限和资源登记；所有耗时处理必须形成任务并报告状态；所有进入后续设计环节的输出必须形成可识别、可授权和可追溯的资源。标准治理和安全运行作为横向能力贯穿各层，分别控制对象规范、数据规范、接口规范、质量基线，以及身份、隔离、审计、监控和恢复要求。</w:t>
      </w:r>
    </w:p>
    <w:p>
      <w:pPr>
        <w:widowControl/>
        <w:spacing w:lineRule="exact" w:line="480" w:before="0" w:after="0"/>
        <w:ind w:firstLine="480"/>
      </w:pPr>
      <w:r>
        <w:rPr>
          <w:rFonts w:ascii="SimSun" w:hAnsi="SimSun" w:eastAsia="宋体" w:cs="SimSun"/>
          <w:b w:val="0"/>
          <w:color w:val="000000"/>
          <w:sz w:val="24"/>
        </w:rPr>
        <w:t>架构设计强调稳定核心与可演进能力分离。项目、对象、资源、任务、规则和方案等业务概念相对稳定，应由平台统一管理；识别模型、生成方法、检索方法和计算资源可能随研究进展调整，应通过能力契约和适配机制接入。这样既允许技术迭代，也避免某一智能服务变化造成业务流程、历史结果或验收证据失效。</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4" name="Picture 4" descr="图 4 平台总体技术架构"/>
            <wp:cNvGraphicFramePr>
              <a:graphicFrameLocks noChangeAspect="1"/>
            </wp:cNvGraphicFramePr>
            <a:graphic>
              <a:graphicData uri="http://schemas.openxmlformats.org/drawingml/2006/picture">
                <pic:pic>
                  <pic:nvPicPr>
                    <pic:cNvPr id="0" name="v2-1-figure-04-layered-architecture.png"/>
                    <pic:cNvPicPr/>
                  </pic:nvPicPr>
                  <pic:blipFill>
                    <a:blip r:embed="rId16"/>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4 平台总体技术架构</w:t>
      </w:r>
    </w:p>
    <w:p>
      <w:pPr>
        <w:pStyle w:val="Caption"/>
        <w:keepNext/>
        <w:jc w:val="center"/>
      </w:pPr>
      <w:r>
        <w:rPr>
          <w:rFonts w:ascii="SimSun" w:hAnsi="SimSun" w:eastAsia="宋体" w:cs="SimSun"/>
          <w:color w:val="000000"/>
          <w:sz w:val="24"/>
        </w:rPr>
        <w:t>表 3 平台各层职责与建设重点</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804"/>
        <w:gridCol w:w="3084"/>
        <w:gridCol w:w="3084"/>
      </w:tblGrid>
      <w:tr>
        <w:trPr>
          <w:cantSplit w:val="true"/>
          <w:tblHeader w:val="true"/>
        </w:trPr>
        <w:tc>
          <w:tcPr>
            <w:tcW w:type="dxa" w:w="280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架构层级</w:t>
            </w:r>
          </w:p>
        </w:tc>
        <w:tc>
          <w:tcPr>
            <w:tcW w:type="dxa" w:w="308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主要职责</w:t>
            </w:r>
          </w:p>
        </w:tc>
        <w:tc>
          <w:tcPr>
            <w:tcW w:type="dxa" w:w="308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建设重点</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应用层</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承载分区识别、快速设计、整体布置、CMF设计、方案评审与管理</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统一项目上下文、交互一致、任务状态清晰</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核心能力层</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提供识别、理解、生成、检索、规则校核和评价能力</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业务语义输入输出、人机复核、能力可替换</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平台支撑层</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提供身份权限、项目资源、任务编排、版本、通知、审计和接口适配</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数据隔离、状态一致、失败可解释、全过程留痕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数据基础层</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管理结构化数据、文件对象、模块知识、规则参数和运行日志</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分类编码、版本关系、备份恢复和访问控制</w:t>
            </w:r>
          </w:p>
        </w:tc>
      </w:tr>
    </w:tbl>
    <w:p>
      <w:pPr>
        <w:pStyle w:val="Heading2"/>
        <w:spacing w:lineRule="exact" w:line="480" w:before="0" w:after="0"/>
        <w:ind w:firstLine="0"/>
      </w:pPr>
      <w:bookmarkStart w:id="17" w:name="report_heading_017"/>
      <w:r>
        <w:rPr>
          <w:rFonts w:ascii="KaiTi" w:hAnsi="KaiTi" w:eastAsia="楷体" w:cs="KaiTi"/>
          <w:b w:val="0"/>
          <w:color w:val="000000"/>
          <w:sz w:val="28"/>
        </w:rPr>
        <w:t>（二）服务边界</w:t>
      </w:r>
      <w:bookmarkEnd w:id="17"/>
    </w:p>
    <w:p>
      <w:pPr>
        <w:widowControl/>
        <w:spacing w:lineRule="exact" w:line="480" w:before="0" w:after="0"/>
        <w:ind w:firstLine="480"/>
      </w:pPr>
      <w:r>
        <w:rPr>
          <w:rFonts w:ascii="SimSun" w:hAnsi="SimSun" w:eastAsia="宋体" w:cs="SimSun"/>
          <w:b w:val="0"/>
          <w:color w:val="000000"/>
          <w:sz w:val="24"/>
        </w:rPr>
        <w:t>浏览器端只负责页面交互、画布操作和结果展示，不直接访问模型服务、计算节点或私有存储。平台服务负责身份校验、项目范围、业务规则、任务编排和成果登记；智能能力服务只接收经过校验的任务输入并返回标准化结果。通过该边界，页面功能、业务数据和算法实现可以独立演进。</w:t>
      </w:r>
    </w:p>
    <w:p>
      <w:pPr>
        <w:widowControl/>
        <w:spacing w:lineRule="exact" w:line="480" w:before="0" w:after="0"/>
        <w:ind w:firstLine="480"/>
      </w:pPr>
      <w:r>
        <w:rPr>
          <w:rFonts w:ascii="SimSun" w:hAnsi="SimSun" w:eastAsia="宋体" w:cs="SimSun"/>
          <w:b w:val="0"/>
          <w:color w:val="000000"/>
          <w:sz w:val="24"/>
        </w:rPr>
        <w:t>服务边界同时规定失败责任。输入资料不完整、对象不在当前项目范围或参数违反基础规则时，由平台在任务提交前拒绝；智能能力超时、不可用或结果格式不正确时，由能力适配层形成明确错误和可重试状态；文件写入或成果登记失败时，平台不得把任务标记为完成；跨系统交换失败时，保留本地结果和交互记录，待条件恢复后按既定策略补偿。每类失败都应具有可理解的提示、责任归属和后续处置方式。</w:t>
      </w:r>
    </w:p>
    <w:p>
      <w:pPr>
        <w:pStyle w:val="Heading2"/>
        <w:spacing w:lineRule="exact" w:line="480" w:before="0" w:after="0"/>
        <w:ind w:firstLine="0"/>
      </w:pPr>
      <w:bookmarkStart w:id="18" w:name="report_heading_018"/>
      <w:r>
        <w:rPr>
          <w:rFonts w:ascii="KaiTi" w:hAnsi="KaiTi" w:eastAsia="楷体" w:cs="KaiTi"/>
          <w:b w:val="0"/>
          <w:color w:val="000000"/>
          <w:sz w:val="28"/>
        </w:rPr>
        <w:t>（三）统一对象和业务协议</w:t>
      </w:r>
      <w:bookmarkEnd w:id="18"/>
    </w:p>
    <w:p>
      <w:pPr>
        <w:widowControl/>
        <w:spacing w:lineRule="exact" w:line="480" w:before="0" w:after="0"/>
        <w:ind w:firstLine="480"/>
      </w:pPr>
      <w:r>
        <w:rPr>
          <w:rFonts w:ascii="SimSun" w:hAnsi="SimSun" w:eastAsia="宋体" w:cs="SimSun"/>
          <w:b w:val="0"/>
          <w:color w:val="000000"/>
          <w:sz w:val="24"/>
        </w:rPr>
        <w:t>平台以项目、区域、模块、资源、任务、方案、规则和评价作为核心对象。所有耗时能力统一抽象为任务，所有输入输出统一登记为项目资源，所有正式方案具有版本和评审状态。外部能力接入时只需完成业务参数映射、任务状态转换和结果登记，不把内部节点或服务细节暴露给普通用户。</w:t>
      </w:r>
    </w:p>
    <w:p>
      <w:pPr>
        <w:widowControl/>
        <w:spacing w:lineRule="exact" w:line="480" w:before="0" w:after="0"/>
        <w:ind w:firstLine="480"/>
      </w:pPr>
      <w:r>
        <w:rPr>
          <w:rFonts w:ascii="SimSun" w:hAnsi="SimSun" w:eastAsia="宋体" w:cs="SimSun"/>
          <w:b w:val="0"/>
          <w:color w:val="000000"/>
          <w:sz w:val="24"/>
        </w:rPr>
        <w:t>统一对象协议至少包含对象标识、项目归属、版本、状态、创建与确认信息、关联资源和适用范围。任务协议包含能力类别、输入引用、参数快照、规则版本、执行状态、错误分类和输出引用；方案协议包含目标区域、模块组合、参数集合、约束结果、评价结果、来源方案和评审结论。对象之间通过标识引用而非文件名猜测建立关系，使同一份图像、模型或方案在移动、重命名或归档后仍保持可追溯。</w:t>
      </w:r>
    </w:p>
    <w:p>
      <w:pPr>
        <w:pStyle w:val="Heading2"/>
        <w:spacing w:lineRule="exact" w:line="480" w:before="0" w:after="0"/>
        <w:ind w:firstLine="0"/>
      </w:pPr>
      <w:bookmarkStart w:id="19" w:name="report_heading_019"/>
      <w:r>
        <w:rPr>
          <w:rFonts w:ascii="KaiTi" w:hAnsi="KaiTi" w:eastAsia="楷体" w:cs="KaiTi"/>
          <w:b w:val="0"/>
          <w:color w:val="000000"/>
          <w:sz w:val="28"/>
        </w:rPr>
        <w:t>（四）部署与扩展架构</w:t>
      </w:r>
      <w:bookmarkEnd w:id="19"/>
    </w:p>
    <w:p>
      <w:pPr>
        <w:widowControl/>
        <w:spacing w:lineRule="exact" w:line="480" w:before="0" w:after="0"/>
        <w:ind w:firstLine="480"/>
      </w:pPr>
      <w:r>
        <w:rPr>
          <w:rFonts w:ascii="SimSun" w:hAnsi="SimSun" w:eastAsia="宋体" w:cs="SimSun"/>
          <w:b w:val="0"/>
          <w:color w:val="000000"/>
          <w:sz w:val="24"/>
        </w:rPr>
        <w:t>部署方案按照访问入口、平台服务区、能力服务区、数据基础设施区和计算资源区进行逻辑分区。各区域之间采用受控接口通信，敏感配置和密钥仅保存在服务端；计算密集型能力可根据任务规模独立扩容。系统应支持开发、测试和生产环境隔离，并形成备份、恢复、监控和升级回退方案。</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5" name="Picture 5" descr="图 5 平台服务边界与部署拓扑"/>
            <wp:cNvGraphicFramePr>
              <a:graphicFrameLocks noChangeAspect="1"/>
            </wp:cNvGraphicFramePr>
            <a:graphic>
              <a:graphicData uri="http://schemas.openxmlformats.org/drawingml/2006/picture">
                <pic:pic>
                  <pic:nvPicPr>
                    <pic:cNvPr id="0" name="v2-1-figure-05-deployment-boundary.png"/>
                    <pic:cNvPicPr/>
                  </pic:nvPicPr>
                  <pic:blipFill>
                    <a:blip r:embed="rId17"/>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5 平台服务边界与部署拓扑</w:t>
      </w:r>
    </w:p>
    <w:p>
      <w:pPr>
        <w:pStyle w:val="Heading1"/>
        <w:spacing w:lineRule="exact" w:line="480" w:before="0" w:after="0"/>
        <w:ind w:firstLine="0"/>
      </w:pPr>
      <w:bookmarkStart w:id="20" w:name="report_heading_020"/>
      <w:r>
        <w:rPr>
          <w:rFonts w:ascii="SimHei" w:hAnsi="SimHei" w:eastAsia="黑体" w:cs="SimHei"/>
          <w:b/>
          <w:color w:val="000000"/>
          <w:sz w:val="28"/>
        </w:rPr>
        <w:t>五、内装模块分区识别关键技术</w:t>
      </w:r>
      <w:bookmarkEnd w:id="20"/>
    </w:p>
    <w:p>
      <w:pPr>
        <w:pStyle w:val="Heading2"/>
        <w:spacing w:lineRule="exact" w:line="480" w:before="0" w:after="0"/>
        <w:ind w:firstLine="0"/>
      </w:pPr>
      <w:bookmarkStart w:id="21" w:name="report_heading_021"/>
      <w:r>
        <w:rPr>
          <w:rFonts w:ascii="KaiTi" w:hAnsi="KaiTi" w:eastAsia="楷体" w:cs="KaiTi"/>
          <w:b w:val="0"/>
          <w:color w:val="000000"/>
          <w:sz w:val="28"/>
        </w:rPr>
        <w:t>（一）区域与模块对象模型</w:t>
      </w:r>
      <w:bookmarkEnd w:id="21"/>
    </w:p>
    <w:p>
      <w:pPr>
        <w:widowControl/>
        <w:spacing w:lineRule="exact" w:line="480" w:before="0" w:after="0"/>
        <w:ind w:firstLine="480"/>
      </w:pPr>
      <w:r>
        <w:rPr>
          <w:rFonts w:ascii="SimSun" w:hAnsi="SimSun" w:eastAsia="宋体" w:cs="SimSun"/>
          <w:b w:val="0"/>
          <w:color w:val="000000"/>
          <w:sz w:val="24"/>
        </w:rPr>
        <w:t>分区识别首先是业务对象建模问题。平台应按空间位置、功能边界、装配关系和设计任务划分侧墙、顶部、地板、端墙、座椅、车门周边等区域，并在区域下组织系统级、子系统级、组件级和零件级模块。每个对象至少包含名称、编码、类别、适用车型、空间范围、接口、材料、颜色、纹理、版本和来源信息。</w:t>
      </w:r>
    </w:p>
    <w:p>
      <w:pPr>
        <w:widowControl/>
        <w:spacing w:lineRule="exact" w:line="480" w:before="0" w:after="0"/>
        <w:ind w:firstLine="480"/>
      </w:pPr>
      <w:r>
        <w:rPr>
          <w:rFonts w:ascii="SimSun" w:hAnsi="SimSun" w:eastAsia="宋体" w:cs="SimSun"/>
          <w:b w:val="0"/>
          <w:color w:val="000000"/>
          <w:sz w:val="24"/>
        </w:rPr>
        <w:t>对象模型需要同时支持“从整车向零件分解”和“从识别结果向设计对象归并”两种使用方式。自上而下分解用于总体方案、区域责任划分和模块库组织；自下而上归并用于把图像轮廓、图纸图层、三维节点和部件清单关联到同一模块。对于一对多或多对一关系，应通过组成、邻接、接口、依赖和引用等显式关系表达，不能把复杂关系压缩到单一名称字段中。</w:t>
      </w:r>
    </w:p>
    <w:p>
      <w:pPr>
        <w:widowControl/>
        <w:spacing w:lineRule="exact" w:line="480" w:before="0" w:after="0"/>
        <w:ind w:firstLine="480"/>
      </w:pPr>
      <w:r>
        <w:rPr>
          <w:rFonts w:ascii="SimSun" w:hAnsi="SimSun" w:eastAsia="宋体" w:cs="SimSun"/>
          <w:b w:val="0"/>
          <w:color w:val="000000"/>
          <w:sz w:val="24"/>
        </w:rPr>
        <w:t>模块编码应保持稳定且可扩展，编码本身只表达必要分类信息，详细属性通过数据字段维护。模块发生形态、材料或接口变化时，应根据是否影响兼容性确定新增版本还是建立新对象；不同车型使用相同模块时记录适用范围，而不是复制多个无关系条目。识别、设计、校核和成果归档均引用同一对象标识，从而实现跨环节追踪。</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6" name="Picture 6" descr="图 6 客室内装四级模块对象体系"/>
            <wp:cNvGraphicFramePr>
              <a:graphicFrameLocks noChangeAspect="1"/>
            </wp:cNvGraphicFramePr>
            <a:graphic>
              <a:graphicData uri="http://schemas.openxmlformats.org/drawingml/2006/picture">
                <pic:pic>
                  <pic:nvPicPr>
                    <pic:cNvPr id="0" name="v2-1-figure-06-module-hierarchy.png"/>
                    <pic:cNvPicPr/>
                  </pic:nvPicPr>
                  <pic:blipFill>
                    <a:blip r:embed="rId18"/>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6 客室内装四级模块对象体系</w:t>
      </w:r>
    </w:p>
    <w:p>
      <w:pPr>
        <w:pStyle w:val="Caption"/>
        <w:keepNext/>
        <w:jc w:val="center"/>
      </w:pPr>
      <w:r>
        <w:rPr>
          <w:rFonts w:ascii="SimSun" w:hAnsi="SimSun" w:eastAsia="宋体" w:cs="SimSun"/>
          <w:color w:val="000000"/>
          <w:sz w:val="24"/>
        </w:rPr>
        <w:t>表 4 典型区域的识别对象与设计关注点</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1751"/>
        <w:gridCol w:w="2407"/>
        <w:gridCol w:w="2407"/>
        <w:gridCol w:w="2407"/>
      </w:tblGrid>
      <w:tr>
        <w:trPr>
          <w:cantSplit w:val="true"/>
          <w:tblHeader w:val="true"/>
        </w:trPr>
        <w:tc>
          <w:tcPr>
            <w:tcW w:type="dxa" w:w="175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客室区域</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主要识别对象</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关键属性</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跨区域关系</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侧墙</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墙板、窗带、装饰带、检修构件</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边界、开口、材质、色彩、安装接口</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与顶部、地板、座椅和窗区衔接</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顶部</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顶板、灯带、风口、扶手安装区</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高度、分段、设备避让、照明关系</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与侧墙、端墙和设备区协调</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地板</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地板面、分区铺装、设备固定区</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通道、拼接、耐磨、防滑、清洁</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与座椅、门区和端墙过渡</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端墙</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端墙板、显示区、设备门、贯通区</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开口、检修、信息显示、视觉中心</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与侧墙、顶部和通道关系</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座椅</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座椅单元、扶手、桌板、固定点</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布置、间距、方向、材料与维护</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与地板固定、侧墙距离和通道净宽相关</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车门周边</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门框、门套、踏步、提示与防护构件</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安全边界、开启范围、警示与耐久</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与侧墙、地板、通道和无障碍要求相关</w:t>
            </w:r>
          </w:p>
        </w:tc>
      </w:tr>
    </w:tbl>
    <w:p>
      <w:pPr>
        <w:pStyle w:val="Heading2"/>
        <w:spacing w:lineRule="exact" w:line="480" w:before="0" w:after="0"/>
        <w:ind w:firstLine="0"/>
      </w:pPr>
      <w:bookmarkStart w:id="22" w:name="report_heading_022"/>
      <w:r>
        <w:rPr>
          <w:rFonts w:ascii="KaiTi" w:hAnsi="KaiTi" w:eastAsia="楷体" w:cs="KaiTi"/>
          <w:b w:val="0"/>
          <w:color w:val="000000"/>
          <w:sz w:val="28"/>
        </w:rPr>
        <w:t>（二）多模态输入与预处理</w:t>
      </w:r>
      <w:bookmarkEnd w:id="22"/>
    </w:p>
    <w:p>
      <w:pPr>
        <w:widowControl/>
        <w:spacing w:lineRule="exact" w:line="480" w:before="0" w:after="0"/>
        <w:ind w:firstLine="480"/>
      </w:pPr>
      <w:r>
        <w:rPr>
          <w:rFonts w:ascii="SimSun" w:hAnsi="SimSun" w:eastAsia="宋体" w:cs="SimSun"/>
          <w:b w:val="0"/>
          <w:color w:val="000000"/>
          <w:sz w:val="24"/>
        </w:rPr>
        <w:t>识别数据包括客室照片、效果图、二维图纸、三维模型、部件清单、设计说明、材料属性和历史方案。数据进入识别流程前应完成格式检查、去重、质量分级、坐标或视角对齐、敏感信息处理和版本登记。低质量或来源不明的数据不得直接进入正式训练集和验收集。</w:t>
      </w:r>
    </w:p>
    <w:p>
      <w:pPr>
        <w:widowControl/>
        <w:spacing w:lineRule="exact" w:line="480" w:before="0" w:after="0"/>
        <w:ind w:firstLine="480"/>
      </w:pPr>
      <w:r>
        <w:rPr>
          <w:rFonts w:ascii="SimSun" w:hAnsi="SimSun" w:eastAsia="宋体" w:cs="SimSun"/>
          <w:b w:val="0"/>
          <w:color w:val="000000"/>
          <w:sz w:val="24"/>
        </w:rPr>
        <w:t>不同模态需要分别制定质量门槛。图像资料检查分辨率、畸变、光照、遮挡和拍摄视角；二维图纸检查图层、比例、坐标、标注完整性和版本；三维模型检查坐标系、层级、几何完整性、轻量化结果和属性保留；文本资料检查术语、章节、有效日期和适用范围；结构化属性检查字段完整性、编码一致性和引用有效性。质量不足的数据可以进入待整理区，但必须与正式数据集隔离。</w:t>
      </w:r>
    </w:p>
    <w:p>
      <w:pPr>
        <w:widowControl/>
        <w:spacing w:lineRule="exact" w:line="480" w:before="0" w:after="0"/>
        <w:ind w:firstLine="480"/>
      </w:pPr>
      <w:r>
        <w:rPr>
          <w:rFonts w:ascii="SimSun" w:hAnsi="SimSun" w:eastAsia="宋体" w:cs="SimSun"/>
          <w:b w:val="0"/>
          <w:color w:val="000000"/>
          <w:sz w:val="24"/>
        </w:rPr>
        <w:t>多源资料对齐以区域和模块对象为锚点。图像通过视角和关键点建立空间对应，图纸通过图层、编号和坐标建立几何对应，三维模型通过节点层级和包围范围建立实体对应，文本通过术语词典和实体识别建立语义对应。无法自动确认的对应关系进入人工核验清单，并记录确认依据，避免错误关联在后续训练、检索和方案生成中被放大。</w:t>
      </w:r>
    </w:p>
    <w:p>
      <w:pPr>
        <w:pStyle w:val="Caption"/>
        <w:keepNext/>
        <w:jc w:val="center"/>
      </w:pPr>
      <w:r>
        <w:rPr>
          <w:rFonts w:ascii="SimSun" w:hAnsi="SimSun" w:eastAsia="宋体" w:cs="SimSun"/>
          <w:color w:val="000000"/>
          <w:sz w:val="24"/>
        </w:rPr>
        <w:t>表 5 多模态数据的处理方式</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243"/>
        <w:gridCol w:w="2243"/>
        <w:gridCol w:w="2243"/>
        <w:gridCol w:w="2243"/>
      </w:tblGrid>
      <w:tr>
        <w:trPr>
          <w:cantSplit w:val="true"/>
          <w:tblHeader w:val="true"/>
        </w:trPr>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数据类型</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可提取信息</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预处理重点</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主要用途</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图像与效果图</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区域边界、部件外观、材质色彩、遮挡关系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去畸变、裁切、质量评估、视角标记</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检测、分割、外观理解与结果对比</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二维图纸</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轮廓、尺寸、编号、空间与接口</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图层整理、比例确认、文字识别</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几何校核和区域边界辅助</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三维模型</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几何、层级、装配和空间关系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坐标统一、轻量化、属性映射</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模块定位、干涉分析和整体布置</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文本资料</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部件名称、功能、约束、市场和风格要求</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术语归一、条款切分、实体提取</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语义补充、规则建立和设计意图理解</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结构化属性</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编码、车型、材料、供应和版本</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字段映射、完整性和一致性校验</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对象关联、检索和规则判断</w:t>
            </w:r>
          </w:p>
        </w:tc>
      </w:tr>
    </w:tbl>
    <w:p>
      <w:pPr>
        <w:pStyle w:val="Heading2"/>
        <w:spacing w:lineRule="exact" w:line="480" w:before="0" w:after="0"/>
        <w:ind w:firstLine="0"/>
      </w:pPr>
      <w:bookmarkStart w:id="23" w:name="report_heading_023"/>
      <w:r>
        <w:rPr>
          <w:rFonts w:ascii="KaiTi" w:hAnsi="KaiTi" w:eastAsia="楷体" w:cs="KaiTi"/>
          <w:b w:val="0"/>
          <w:color w:val="000000"/>
          <w:sz w:val="28"/>
        </w:rPr>
        <w:t>（三）候选识别与多模态融合</w:t>
      </w:r>
      <w:bookmarkEnd w:id="23"/>
    </w:p>
    <w:p>
      <w:pPr>
        <w:widowControl/>
        <w:spacing w:lineRule="exact" w:line="480" w:before="0" w:after="0"/>
        <w:ind w:firstLine="480"/>
      </w:pPr>
      <w:r>
        <w:rPr>
          <w:rFonts w:ascii="SimSun" w:hAnsi="SimSun" w:eastAsia="宋体" w:cs="SimSun"/>
          <w:b w:val="0"/>
          <w:color w:val="000000"/>
          <w:sz w:val="24"/>
        </w:rPr>
        <w:t>候选识别可组合目标检测、语义分割、实例分割、文字识别、视觉特征提取和相似度检索等方法。不同方法输出的类别、边界、置信度和语义描述先转换为统一候选对象，再结合区域先验、模块属性、空间邻接和文本要求进行融合。融合结果应保留证据来源和置信信息，便于人工判断。</w:t>
      </w:r>
    </w:p>
    <w:p>
      <w:pPr>
        <w:widowControl/>
        <w:spacing w:lineRule="exact" w:line="480" w:before="0" w:after="0"/>
        <w:ind w:firstLine="480"/>
      </w:pPr>
      <w:r>
        <w:rPr>
          <w:rFonts w:ascii="SimSun" w:hAnsi="SimSun" w:eastAsia="宋体" w:cs="SimSun"/>
          <w:b w:val="0"/>
          <w:color w:val="000000"/>
          <w:sz w:val="24"/>
        </w:rPr>
        <w:t>识别流程可采用“粗定位—精分割—对象归类—关系校验”的分级策略。粗定位先判断客室整体视角和主要区域，缩小后续处理范围；精分割在目标区域内提取部件轮廓和实例边界；对象归类结合视觉特征、部件词典、设计说明和历史样例判断模块类别；关系校验检查区域包含、空间邻接、接口相连和数量范围。分级策略使不同环节可以使用适合的模型和数据，也便于定位误差来源。</w:t>
      </w:r>
    </w:p>
    <w:p>
      <w:pPr>
        <w:widowControl/>
        <w:spacing w:lineRule="exact" w:line="480" w:before="0" w:after="0"/>
        <w:ind w:firstLine="480"/>
      </w:pPr>
      <w:r>
        <w:rPr>
          <w:rFonts w:ascii="SimSun" w:hAnsi="SimSun" w:eastAsia="宋体" w:cs="SimSun"/>
          <w:b w:val="0"/>
          <w:color w:val="000000"/>
          <w:sz w:val="24"/>
        </w:rPr>
        <w:t>多模态融合不应只采用简单平均。对于边界判断，图纸和三维几何通常具有更高几何可信度；对于材料和色彩判断，受控条件下的图像信息更直接；对于名称、功能和适用条件，部件清单与设计说明更可靠。平台应按任务类型设置证据权重，并在模态冲突时输出冲突项而不是强行合并。融合结果包含类别概率、边界质量、证据列表、冲突状态和建议复核方式。</w:t>
      </w:r>
    </w:p>
    <w:p>
      <w:pPr>
        <w:widowControl/>
        <w:spacing w:lineRule="exact" w:line="480" w:before="0" w:after="0"/>
        <w:ind w:firstLine="480"/>
      </w:pPr>
      <w:r>
        <w:rPr>
          <w:rFonts w:ascii="SimSun" w:hAnsi="SimSun" w:eastAsia="宋体" w:cs="SimSun"/>
          <w:b w:val="0"/>
          <w:color w:val="000000"/>
          <w:sz w:val="24"/>
        </w:rPr>
        <w:t>针对客室场景中的细长件、反光表面、遮挡区域和重复纹理，应设置专项处理。可通过多尺度特征、边界增强、区域先验、相邻帧或多视角补充提高稳定性；对于训练样本较少的新车型，可使用迁移学习、少样本适配和人工反馈逐步扩展。技术验证需要单独统计这些困难场景，避免总体指标掩盖关键区域的识别缺陷。</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7" name="Picture 7" descr="图 7 多模态分区识别技术流程"/>
            <wp:cNvGraphicFramePr>
              <a:graphicFrameLocks noChangeAspect="1"/>
            </wp:cNvGraphicFramePr>
            <a:graphic>
              <a:graphicData uri="http://schemas.openxmlformats.org/drawingml/2006/picture">
                <pic:pic>
                  <pic:nvPicPr>
                    <pic:cNvPr id="0" name="v2-1-figure-07-multimodal-recognition.png"/>
                    <pic:cNvPicPr/>
                  </pic:nvPicPr>
                  <pic:blipFill>
                    <a:blip r:embed="rId19"/>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7 多模态分区识别技术流程</w:t>
      </w:r>
    </w:p>
    <w:p>
      <w:pPr>
        <w:pStyle w:val="Heading2"/>
        <w:spacing w:lineRule="exact" w:line="480" w:before="0" w:after="0"/>
        <w:ind w:firstLine="0"/>
      </w:pPr>
      <w:bookmarkStart w:id="24" w:name="report_heading_024"/>
      <w:r>
        <w:rPr>
          <w:rFonts w:ascii="KaiTi" w:hAnsi="KaiTi" w:eastAsia="楷体" w:cs="KaiTi"/>
          <w:b w:val="0"/>
          <w:color w:val="000000"/>
          <w:sz w:val="28"/>
        </w:rPr>
        <w:t>（四）人机协同复核</w:t>
      </w:r>
      <w:bookmarkEnd w:id="24"/>
    </w:p>
    <w:p>
      <w:pPr>
        <w:widowControl/>
        <w:spacing w:lineRule="exact" w:line="480" w:before="0" w:after="0"/>
        <w:ind w:firstLine="480"/>
      </w:pPr>
      <w:r>
        <w:rPr>
          <w:rFonts w:ascii="SimSun" w:hAnsi="SimSun" w:eastAsia="宋体" w:cs="SimSun"/>
          <w:b w:val="0"/>
          <w:color w:val="000000"/>
          <w:sz w:val="24"/>
        </w:rPr>
        <w:t>自动识别的目标不是完全替代设计人员，而是降低定位、描边、归类和资料检索的重复劳动。系统可按置信度和规则冲突情况分流：高置信且无冲突的候选进入快速确认，中等置信候选进入重点复核，低置信或违反硬约束的候选要求重新标注。人工修订应保留原始候选、修订内容、确认人和时间，形成可用于后续优化的数据闭环。</w:t>
      </w:r>
    </w:p>
    <w:p>
      <w:pPr>
        <w:widowControl/>
        <w:spacing w:lineRule="exact" w:line="480" w:before="0" w:after="0"/>
        <w:ind w:firstLine="480"/>
      </w:pPr>
      <w:r>
        <w:rPr>
          <w:rFonts w:ascii="SimSun" w:hAnsi="SimSun" w:eastAsia="宋体" w:cs="SimSun"/>
          <w:b w:val="0"/>
          <w:color w:val="000000"/>
          <w:sz w:val="24"/>
        </w:rPr>
        <w:t>复核界面应把模型判断依据转化为设计人员能够理解的信息，包括候选区域、预测类别、置信区间、关联资料、规则冲突和历史相似对象。设计人员可以调整边界、修改类别、拆分或合并实例、补充属性并说明原因。对于影响安全、接口或总体布置的对象，即使置信度较高，也应设置强制确认；对于重复出现且规则稳定的对象，可在抽样监督下提高确认效率。</w:t>
      </w:r>
    </w:p>
    <w:p>
      <w:pPr>
        <w:widowControl/>
        <w:spacing w:lineRule="exact" w:line="480" w:before="0" w:after="0"/>
        <w:ind w:firstLine="480"/>
      </w:pPr>
      <w:r>
        <w:rPr>
          <w:rFonts w:ascii="SimSun" w:hAnsi="SimSun" w:eastAsia="宋体" w:cs="SimSun"/>
          <w:b w:val="0"/>
          <w:color w:val="000000"/>
          <w:sz w:val="24"/>
        </w:rPr>
        <w:t>人工反馈进入数据闭环前需要质量控制。复核结果经责任人确认后形成新版本，原始候选保持只读；存在争议的样例进入复审队列，由专业负责人给出最终结论。可用于后续优化的反馈需要注明适用车型、区域、场景和质量等级，防止将临时妥协或项目特例误当作通用知识。</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8" name="Picture 8" descr="图 8 识别结果的人机协同决策逻辑"/>
            <wp:cNvGraphicFramePr>
              <a:graphicFrameLocks noChangeAspect="1"/>
            </wp:cNvGraphicFramePr>
            <a:graphic>
              <a:graphicData uri="http://schemas.openxmlformats.org/drawingml/2006/picture">
                <pic:pic>
                  <pic:nvPicPr>
                    <pic:cNvPr id="0" name="v2-1-figure-08-human-review.png"/>
                    <pic:cNvPicPr/>
                  </pic:nvPicPr>
                  <pic:blipFill>
                    <a:blip r:embed="rId20"/>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8 识别结果的人机协同决策逻辑</w:t>
      </w:r>
    </w:p>
    <w:p>
      <w:pPr>
        <w:pStyle w:val="Heading2"/>
        <w:spacing w:lineRule="exact" w:line="480" w:before="0" w:after="0"/>
        <w:ind w:firstLine="0"/>
      </w:pPr>
      <w:bookmarkStart w:id="25" w:name="report_heading_025"/>
      <w:r>
        <w:rPr>
          <w:rFonts w:ascii="KaiTi" w:hAnsi="KaiTi" w:eastAsia="楷体" w:cs="KaiTi"/>
          <w:b w:val="0"/>
          <w:color w:val="000000"/>
          <w:sz w:val="28"/>
        </w:rPr>
        <w:t>（五）识别数据集与评价指标</w:t>
      </w:r>
      <w:bookmarkEnd w:id="25"/>
    </w:p>
    <w:p>
      <w:pPr>
        <w:widowControl/>
        <w:spacing w:lineRule="exact" w:line="480" w:before="0" w:after="0"/>
        <w:ind w:firstLine="480"/>
      </w:pPr>
      <w:r>
        <w:rPr>
          <w:rFonts w:ascii="SimSun" w:hAnsi="SimSun" w:eastAsia="宋体" w:cs="SimSun"/>
          <w:b w:val="0"/>
          <w:color w:val="000000"/>
          <w:sz w:val="24"/>
        </w:rPr>
        <w:t>数据集应按车型、区域、视角、光照、遮挡、图像质量和来源进行分层，训练、验证和测试样本按项目或场景隔离，避免相近图片同时出现在不同集合。评价既关注算法精度，也关注人工干预强度和设计任务可用性。</w:t>
      </w:r>
    </w:p>
    <w:p>
      <w:pPr>
        <w:widowControl/>
        <w:spacing w:lineRule="exact" w:line="480" w:before="0" w:after="0"/>
        <w:ind w:firstLine="480"/>
      </w:pPr>
      <w:r>
        <w:rPr>
          <w:rFonts w:ascii="SimSun" w:hAnsi="SimSun" w:eastAsia="宋体" w:cs="SimSun"/>
          <w:b w:val="0"/>
          <w:color w:val="000000"/>
          <w:sz w:val="24"/>
        </w:rPr>
        <w:t>数据集建设建议采用版本化清单管理。每一版记录样本来源、授权范围、筛选规则、标注规范、标注人员、复核比例、类别分布和困难样例比例。测试集在阶段评测期间保持稳定，新增样本进入下一版本，避免反复调整测试数据导致指标失真。类别不均衡时分别报告宏平均、微平均和关键类别结果，并说明阈值设置。</w:t>
      </w:r>
    </w:p>
    <w:p>
      <w:pPr>
        <w:widowControl/>
        <w:spacing w:lineRule="exact" w:line="480" w:before="0" w:after="0"/>
        <w:ind w:firstLine="480"/>
      </w:pPr>
      <w:r>
        <w:rPr>
          <w:rFonts w:ascii="SimSun" w:hAnsi="SimSun" w:eastAsia="宋体" w:cs="SimSun"/>
          <w:b w:val="0"/>
          <w:color w:val="000000"/>
          <w:sz w:val="24"/>
        </w:rPr>
        <w:t>评价报告除总体数值外，还应提供按区域、车型、视角和困难场景拆分的结果，以及典型正确、漏检、误检和边界偏差样例。人工效率通过统一任务脚本记录确认时间、修改点数和退回率；业务可用性由设计人员判断结果能否直接进入模块映射或快速设计。只有精度、人工干预强度和业务可用性共同达到阶段目标，才能认定识别能力具备进入平台流程的条件。</w:t>
      </w:r>
    </w:p>
    <w:p>
      <w:pPr>
        <w:pStyle w:val="Caption"/>
        <w:keepNext/>
        <w:jc w:val="center"/>
      </w:pPr>
      <w:r>
        <w:rPr>
          <w:rFonts w:ascii="SimSun" w:hAnsi="SimSun" w:eastAsia="宋体" w:cs="SimSun"/>
          <w:color w:val="000000"/>
          <w:sz w:val="24"/>
        </w:rPr>
        <w:t>表 6 分区识别建议评价指标</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991"/>
        <w:gridCol w:w="2991"/>
        <w:gridCol w:w="2990"/>
      </w:tblGrid>
      <w:tr>
        <w:trPr>
          <w:cantSplit w:val="true"/>
          <w:tblHeader w:val="true"/>
        </w:trPr>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指标类别</w:t>
            </w:r>
          </w:p>
        </w:tc>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指标示例</w:t>
            </w:r>
          </w:p>
        </w:tc>
        <w:tc>
          <w:tcPr>
            <w:tcW w:type="dxa" w:w="299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评价目的</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类别识别</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准确率、召回率、F1值</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判断模块和区域类别识别能力</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区域分割</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交并比、平均交并比、边界F值</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判断区域覆盖和边界质量</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小目标与遮挡</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小目标召回率、遮挡场景召回率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判断复杂客室场景适应性</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人机效率</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单图确认时间、边界修订量、重标率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判断识别结果是否真正减少重复操作</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业务可用性</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可进入设计任务比例、规则冲突率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判断输出是否满足后续快速设计需要</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稳定性</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不同车型、视角和光照下的指标波动</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判断跨场景泛化能力</w:t>
            </w:r>
          </w:p>
        </w:tc>
      </w:tr>
    </w:tbl>
    <w:p>
      <w:pPr>
        <w:pStyle w:val="Heading1"/>
        <w:spacing w:lineRule="exact" w:line="480" w:before="0" w:after="0"/>
        <w:ind w:firstLine="0"/>
      </w:pPr>
      <w:bookmarkStart w:id="26" w:name="report_heading_026"/>
      <w:r>
        <w:rPr>
          <w:rFonts w:ascii="SimHei" w:hAnsi="SimHei" w:eastAsia="黑体" w:cs="SimHei"/>
          <w:b/>
          <w:color w:val="000000"/>
          <w:sz w:val="28"/>
        </w:rPr>
        <w:t>六、多模态应用关键技术</w:t>
      </w:r>
      <w:bookmarkEnd w:id="26"/>
    </w:p>
    <w:p>
      <w:pPr>
        <w:pStyle w:val="Heading2"/>
        <w:spacing w:lineRule="exact" w:line="480" w:before="0" w:after="0"/>
        <w:ind w:firstLine="0"/>
      </w:pPr>
      <w:bookmarkStart w:id="27" w:name="report_heading_027"/>
      <w:r>
        <w:rPr>
          <w:rFonts w:ascii="KaiTi" w:hAnsi="KaiTi" w:eastAsia="楷体" w:cs="KaiTi"/>
          <w:b w:val="0"/>
          <w:color w:val="000000"/>
          <w:sz w:val="28"/>
        </w:rPr>
        <w:t>（一）多模态能力定位</w:t>
      </w:r>
      <w:bookmarkEnd w:id="27"/>
    </w:p>
    <w:p>
      <w:pPr>
        <w:widowControl/>
        <w:spacing w:lineRule="exact" w:line="480" w:before="0" w:after="0"/>
        <w:ind w:firstLine="480"/>
      </w:pPr>
      <w:r>
        <w:rPr>
          <w:rFonts w:ascii="SimSun" w:hAnsi="SimSun" w:eastAsia="宋体" w:cs="SimSun"/>
          <w:b w:val="0"/>
          <w:color w:val="000000"/>
          <w:sz w:val="24"/>
        </w:rPr>
        <w:t>多模态能力用于理解不同资料之间的互补关系，而不是简单把图像和文字同时提交给模型。平台应建立统一的项目术语、区域编码和模块编码，使图像中的候选区域、图纸中的编号、三维模型中的节点、文本中的部件名称能够映射到同一业务对象。</w:t>
      </w:r>
    </w:p>
    <w:p>
      <w:pPr>
        <w:widowControl/>
        <w:spacing w:lineRule="exact" w:line="480" w:before="0" w:after="0"/>
        <w:ind w:firstLine="480"/>
      </w:pPr>
      <w:r>
        <w:rPr>
          <w:rFonts w:ascii="SimSun" w:hAnsi="SimSun" w:eastAsia="宋体" w:cs="SimSun"/>
          <w:b w:val="0"/>
          <w:color w:val="000000"/>
          <w:sz w:val="24"/>
        </w:rPr>
        <w:t>多模态应用按任务可分为识别型、检索型、生成型和解释型。识别型能力把多源资料转换为区域、模块和属性候选；检索型能力根据文字、图像或对象条件查找关联资料与相似方案；生成型能力在目标区域、参考资料和约束条件下提出方案变体；解释型能力汇总规则结果、方案差异和来源证据。不同类型使用统一对象输入和资源输出，但评价指标、风险等级和人工确认方式应分别定义。</w:t>
      </w:r>
    </w:p>
    <w:p>
      <w:pPr>
        <w:pStyle w:val="Heading2"/>
        <w:spacing w:lineRule="exact" w:line="480" w:before="0" w:after="0"/>
        <w:ind w:firstLine="0"/>
      </w:pPr>
      <w:bookmarkStart w:id="28" w:name="report_heading_028"/>
      <w:r>
        <w:rPr>
          <w:rFonts w:ascii="KaiTi" w:hAnsi="KaiTi" w:eastAsia="楷体" w:cs="KaiTi"/>
          <w:b w:val="0"/>
          <w:color w:val="000000"/>
          <w:sz w:val="28"/>
        </w:rPr>
        <w:t>（二）语义对齐与知识增强</w:t>
      </w:r>
      <w:bookmarkEnd w:id="28"/>
    </w:p>
    <w:p>
      <w:pPr>
        <w:widowControl/>
        <w:spacing w:lineRule="exact" w:line="480" w:before="0" w:after="0"/>
        <w:ind w:firstLine="480"/>
      </w:pPr>
      <w:r>
        <w:rPr>
          <w:rFonts w:ascii="SimSun" w:hAnsi="SimSun" w:eastAsia="宋体" w:cs="SimSun"/>
          <w:b w:val="0"/>
          <w:color w:val="000000"/>
          <w:sz w:val="24"/>
        </w:rPr>
        <w:t>系统可通过术语词典、模块知识库、向量检索和规则库为多模态理解提供上下文。模型生成的描述或分类结果需要经过对象词典和项目范围校验，不能引用无权限资料。对设计问答和资料推荐，应同时返回关联对象、来源和适用范围，便于设计人员判断可靠性。</w:t>
      </w:r>
    </w:p>
    <w:p>
      <w:pPr>
        <w:widowControl/>
        <w:spacing w:lineRule="exact" w:line="480" w:before="0" w:after="0"/>
        <w:ind w:firstLine="480"/>
      </w:pPr>
      <w:r>
        <w:rPr>
          <w:rFonts w:ascii="SimSun" w:hAnsi="SimSun" w:eastAsia="宋体" w:cs="SimSun"/>
          <w:b w:val="0"/>
          <w:color w:val="000000"/>
          <w:sz w:val="24"/>
        </w:rPr>
        <w:t>语义对齐需要处理同义词、缩略语、项目习惯名称和多语言表达。平台维护规范名称、别名、上位概念、下位概念和适用区域，并把文本实体与对象编码关联。检索时先应用项目范围和权限过滤，再组合关键词、结构化条件、语义相似和视觉相似结果；返回内容同时说明匹配原因，避免只给出难以判断的排序列表。</w:t>
      </w:r>
    </w:p>
    <w:p>
      <w:pPr>
        <w:widowControl/>
        <w:spacing w:lineRule="exact" w:line="480" w:before="0" w:after="0"/>
        <w:ind w:firstLine="480"/>
      </w:pPr>
      <w:r>
        <w:rPr>
          <w:rFonts w:ascii="SimSun" w:hAnsi="SimSun" w:eastAsia="宋体" w:cs="SimSun"/>
          <w:b w:val="0"/>
          <w:color w:val="000000"/>
          <w:sz w:val="24"/>
        </w:rPr>
        <w:t>知识增强内容按照可信等级管理。经标准或正式评审确认的规则和对象属于高可信知识，可用于自动校核；项目资料和历史方案属于有范围知识，使用时必须带出项目、版本和适用条件；模型自动生成的描述属于候选知识，只有经过人工确认才能进入正式知识库。不同等级知识在界面和任务结果中应有明确标识。</w:t>
      </w:r>
    </w:p>
    <w:p>
      <w:pPr>
        <w:pStyle w:val="Heading2"/>
        <w:spacing w:lineRule="exact" w:line="480" w:before="0" w:after="0"/>
        <w:ind w:firstLine="0"/>
      </w:pPr>
      <w:bookmarkStart w:id="29" w:name="report_heading_029"/>
      <w:r>
        <w:rPr>
          <w:rFonts w:ascii="KaiTi" w:hAnsi="KaiTi" w:eastAsia="楷体" w:cs="KaiTi"/>
          <w:b w:val="0"/>
          <w:color w:val="000000"/>
          <w:sz w:val="28"/>
        </w:rPr>
        <w:t>（三）能力编排</w:t>
      </w:r>
      <w:bookmarkEnd w:id="29"/>
    </w:p>
    <w:p>
      <w:pPr>
        <w:widowControl/>
        <w:spacing w:lineRule="exact" w:line="480" w:before="0" w:after="0"/>
        <w:ind w:firstLine="480"/>
      </w:pPr>
      <w:r>
        <w:rPr>
          <w:rFonts w:ascii="SimSun" w:hAnsi="SimSun" w:eastAsia="宋体" w:cs="SimSun"/>
          <w:b w:val="0"/>
          <w:color w:val="000000"/>
          <w:sz w:val="24"/>
        </w:rPr>
        <w:t>复杂任务通常由多个能力协同完成。例如“根据端墙参考图修改材质并保持设备开口”需要依次完成对象识别、区域确认、参考资料检索、设计参数生成、局部方案生成、结构保持检查和人工评审。平台通过统一任务编排管理各步骤的输入、状态、超时、失败和输出，使单项能力可以替换而不改变完整业务流程。</w:t>
      </w:r>
    </w:p>
    <w:p>
      <w:pPr>
        <w:widowControl/>
        <w:spacing w:lineRule="exact" w:line="480" w:before="0" w:after="0"/>
        <w:ind w:firstLine="480"/>
      </w:pPr>
      <w:r>
        <w:rPr>
          <w:rFonts w:ascii="SimSun" w:hAnsi="SimSun" w:eastAsia="宋体" w:cs="SimSun"/>
          <w:b w:val="0"/>
          <w:color w:val="000000"/>
          <w:sz w:val="24"/>
        </w:rPr>
        <w:t>编排过程区分业务步骤与技术调用。业务步骤采用设计人员熟悉的名称并明确输入输出，技术调用则由平台根据能力可用性和适用范围选择。每个步骤保存输入资源、参数快照、规则版本、能力版本和运行结果；可重试步骤不得重复产生正式成果，不可重试步骤失败后保留诊断信息并转人工处理。流程模板经过测试和发布后才能用于正式项目，修改时形成新版本。</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9" name="Picture 9" descr="图 9 多模态能力编排与结果约束"/>
            <wp:cNvGraphicFramePr>
              <a:graphicFrameLocks noChangeAspect="1"/>
            </wp:cNvGraphicFramePr>
            <a:graphic>
              <a:graphicData uri="http://schemas.openxmlformats.org/drawingml/2006/picture">
                <pic:pic>
                  <pic:nvPicPr>
                    <pic:cNvPr id="0" name="v2-1-figure-09-capability-orchestration.png"/>
                    <pic:cNvPicPr/>
                  </pic:nvPicPr>
                  <pic:blipFill>
                    <a:blip r:embed="rId21"/>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9 多模态能力编排与结果约束</w:t>
      </w:r>
    </w:p>
    <w:p>
      <w:pPr>
        <w:pStyle w:val="Heading2"/>
        <w:spacing w:lineRule="exact" w:line="480" w:before="0" w:after="0"/>
        <w:ind w:firstLine="0"/>
      </w:pPr>
      <w:bookmarkStart w:id="30" w:name="report_heading_030"/>
      <w:r>
        <w:rPr>
          <w:rFonts w:ascii="KaiTi" w:hAnsi="KaiTi" w:eastAsia="楷体" w:cs="KaiTi"/>
          <w:b w:val="0"/>
          <w:color w:val="000000"/>
          <w:sz w:val="28"/>
        </w:rPr>
        <w:t>（四）模型选型与评测</w:t>
      </w:r>
      <w:bookmarkEnd w:id="30"/>
    </w:p>
    <w:p>
      <w:pPr>
        <w:widowControl/>
        <w:spacing w:lineRule="exact" w:line="480" w:before="0" w:after="0"/>
        <w:ind w:firstLine="480"/>
      </w:pPr>
      <w:r>
        <w:rPr>
          <w:rFonts w:ascii="SimSun" w:hAnsi="SimSun" w:eastAsia="宋体" w:cs="SimSun"/>
          <w:b w:val="0"/>
          <w:color w:val="000000"/>
          <w:sz w:val="24"/>
        </w:rPr>
        <w:t>模型选型应以能力类别、数据安全、中文理解、结构保持、部署条件、处理时延和运行环境适配性为依据，不在业务页面中绑定单一模型。正式选型前使用代表性样例开展对比试验，记录输入条件、模型配置、输出质量、失败类型和设计人员评价。影响尺寸、接口、装配和安全的结论必须由结构化规则或专业人员确认。</w:t>
      </w:r>
    </w:p>
    <w:p>
      <w:pPr>
        <w:pStyle w:val="Heading1"/>
        <w:spacing w:lineRule="exact" w:line="480" w:before="0" w:after="0"/>
        <w:ind w:firstLine="0"/>
      </w:pPr>
      <w:bookmarkStart w:id="31" w:name="report_heading_031"/>
      <w:r>
        <w:rPr>
          <w:rFonts w:ascii="SimHei" w:hAnsi="SimHei" w:eastAsia="黑体" w:cs="SimHei"/>
          <w:b/>
          <w:color w:val="000000"/>
          <w:sz w:val="28"/>
        </w:rPr>
        <w:t>七、快速设计系统关键技术</w:t>
      </w:r>
      <w:bookmarkEnd w:id="31"/>
    </w:p>
    <w:p>
      <w:pPr>
        <w:pStyle w:val="Heading2"/>
        <w:spacing w:lineRule="exact" w:line="480" w:before="0" w:after="0"/>
        <w:ind w:firstLine="0"/>
      </w:pPr>
      <w:bookmarkStart w:id="32" w:name="report_heading_032"/>
      <w:r>
        <w:rPr>
          <w:rFonts w:ascii="KaiTi" w:hAnsi="KaiTi" w:eastAsia="楷体" w:cs="KaiTi"/>
          <w:b w:val="0"/>
          <w:color w:val="000000"/>
          <w:sz w:val="28"/>
        </w:rPr>
        <w:t>（一）模块化、参数化与规则化</w:t>
      </w:r>
      <w:bookmarkEnd w:id="32"/>
    </w:p>
    <w:p>
      <w:pPr>
        <w:widowControl/>
        <w:spacing w:lineRule="exact" w:line="480" w:before="0" w:after="0"/>
        <w:ind w:firstLine="480"/>
      </w:pPr>
      <w:r>
        <w:rPr>
          <w:rFonts w:ascii="SimSun" w:hAnsi="SimSun" w:eastAsia="宋体" w:cs="SimSun"/>
          <w:b w:val="0"/>
          <w:color w:val="000000"/>
          <w:sz w:val="24"/>
        </w:rPr>
        <w:t>快速设计的基础是把可复用模块、可调整参数和必须满足的规则分开管理。模块定义“可选什么”，参数定义“可以怎样调整”，规则定义“哪些组合允许进入正式评审”。三者共同作用，使设计方案既具有生成式探索空间，又保持工程边界。</w:t>
      </w:r>
    </w:p>
    <w:p>
      <w:pPr>
        <w:widowControl/>
        <w:spacing w:lineRule="exact" w:line="480" w:before="0" w:after="0"/>
        <w:ind w:firstLine="480"/>
      </w:pPr>
      <w:r>
        <w:rPr>
          <w:rFonts w:ascii="SimSun" w:hAnsi="SimSun" w:eastAsia="宋体" w:cs="SimSun"/>
          <w:b w:val="0"/>
          <w:color w:val="000000"/>
          <w:sz w:val="24"/>
        </w:rPr>
        <w:t>模块化设计需要明确模块粒度和接口稳定性。粒度过大，难以形成多样化组合；粒度过小，会增加参数、规则和装配关系的管理负担。建议以能够独立选配、具有明确边界和接口、能够形成版本的组件作为主要设计模块，以材料、表面和紧固等信息作为下级对象。模块库中的每个条目应包含预览、适用区域、参数集合、必选接口、互斥关系和历史使用情况。</w:t>
      </w:r>
    </w:p>
    <w:p>
      <w:pPr>
        <w:widowControl/>
        <w:spacing w:lineRule="exact" w:line="480" w:before="0" w:after="0"/>
        <w:ind w:firstLine="480"/>
      </w:pPr>
      <w:r>
        <w:rPr>
          <w:rFonts w:ascii="SimSun" w:hAnsi="SimSun" w:eastAsia="宋体" w:cs="SimSun"/>
          <w:b w:val="0"/>
          <w:color w:val="000000"/>
          <w:sz w:val="24"/>
        </w:rPr>
        <w:t>参数化设计将可调整内容转化为具有名称、单位、范围、默认值和联动关系的参数。几何参数控制尺寸、位置和分段，功能参数控制设备、照明和检修需求，CMF参数控制材料、色彩、纹理和表面效果，项目参数控制车型、市场和客室等级。参数之间存在计算或条件依赖时，应明确驱动方向和更新顺序，防止循环引用和局部修改造成不一致。</w:t>
      </w:r>
    </w:p>
    <w:p>
      <w:pPr>
        <w:pStyle w:val="Heading2"/>
        <w:spacing w:lineRule="exact" w:line="480" w:before="0" w:after="0"/>
        <w:ind w:firstLine="0"/>
      </w:pPr>
      <w:bookmarkStart w:id="33" w:name="report_heading_033"/>
      <w:r>
        <w:rPr>
          <w:rFonts w:ascii="KaiTi" w:hAnsi="KaiTi" w:eastAsia="楷体" w:cs="KaiTi"/>
          <w:b w:val="0"/>
          <w:color w:val="000000"/>
          <w:sz w:val="28"/>
        </w:rPr>
        <w:t>（二）快速设计流程</w:t>
      </w:r>
      <w:bookmarkEnd w:id="33"/>
    </w:p>
    <w:p>
      <w:pPr>
        <w:widowControl/>
        <w:spacing w:lineRule="exact" w:line="480" w:before="0" w:after="0"/>
        <w:ind w:firstLine="480"/>
      </w:pPr>
      <w:r>
        <w:rPr>
          <w:rFonts w:ascii="SimSun" w:hAnsi="SimSun" w:eastAsia="宋体" w:cs="SimSun"/>
          <w:b w:val="0"/>
          <w:color w:val="000000"/>
          <w:sz w:val="24"/>
        </w:rPr>
        <w:t>设计人员在项目和目标区域下选择模块或历史方案，配置形态、材质、色彩、纹理及业务参数，系统生成候选方案并执行规则校核。通过的方案进入对比评价，不通过的方案返回冲突原因和调整建议。人工确认后的结果形成新版本并进入成果库，可继续深化或复用于其他项目。</w:t>
      </w:r>
    </w:p>
    <w:p>
      <w:pPr>
        <w:widowControl/>
        <w:spacing w:lineRule="exact" w:line="480" w:before="0" w:after="0"/>
        <w:ind w:firstLine="480"/>
      </w:pPr>
      <w:r>
        <w:rPr>
          <w:rFonts w:ascii="SimSun" w:hAnsi="SimSun" w:eastAsia="宋体" w:cs="SimSun"/>
          <w:b w:val="0"/>
          <w:color w:val="000000"/>
          <w:sz w:val="24"/>
        </w:rPr>
        <w:t>快速设计流程首先固定目标对象和设计边界，再加载适用模块、参数模板和规则集。系统根据用户选择和参考资料生成多个可比较变体，每个变体均关联同一输入基线；规则引擎先执行硬约束校核，再执行条件规则和软目标评价。设计人员能够查看不同方案在模块组合、关键参数、冲突项和评价维度上的差异，并选择某一方案继续深化，而不是在无版本记录的情况下覆盖结果。</w:t>
      </w:r>
    </w:p>
    <w:p>
      <w:pPr>
        <w:widowControl/>
        <w:spacing w:lineRule="exact" w:line="480" w:before="0" w:after="0"/>
        <w:ind w:firstLine="480"/>
      </w:pPr>
      <w:r>
        <w:rPr>
          <w:rFonts w:ascii="SimSun" w:hAnsi="SimSun" w:eastAsia="宋体" w:cs="SimSun"/>
          <w:b w:val="0"/>
          <w:color w:val="000000"/>
          <w:sz w:val="24"/>
        </w:rPr>
        <w:t>流程中的自动化程度应按风险分级。视觉风格、纹理和非关键形态可以提供较大探索空间；设备开口、通道、装配接口和安全边界只允许在明确参数范围内调整；涉及工程结论的内容必须由规则、专业计算或责任人员确认。平台通过操作记录和方案分支保留探索过程，使被否决方案及原因也能用于后续规则完善。</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0" name="Picture 10" descr="图 10 快速设计引擎与方案闭环"/>
            <wp:cNvGraphicFramePr>
              <a:graphicFrameLocks noChangeAspect="1"/>
            </wp:cNvGraphicFramePr>
            <a:graphic>
              <a:graphicData uri="http://schemas.openxmlformats.org/drawingml/2006/picture">
                <pic:pic>
                  <pic:nvPicPr>
                    <pic:cNvPr id="0" name="v2-1-figure-10-rapid-design-engine.png"/>
                    <pic:cNvPicPr/>
                  </pic:nvPicPr>
                  <pic:blipFill>
                    <a:blip r:embed="rId22"/>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10 快速设计引擎与方案闭环</w:t>
      </w:r>
    </w:p>
    <w:p>
      <w:pPr>
        <w:pStyle w:val="Heading2"/>
        <w:spacing w:lineRule="exact" w:line="480" w:before="0" w:after="0"/>
        <w:ind w:firstLine="0"/>
      </w:pPr>
      <w:bookmarkStart w:id="34" w:name="report_heading_034"/>
      <w:r>
        <w:rPr>
          <w:rFonts w:ascii="KaiTi" w:hAnsi="KaiTi" w:eastAsia="楷体" w:cs="KaiTi"/>
          <w:b w:val="0"/>
          <w:color w:val="000000"/>
          <w:sz w:val="28"/>
        </w:rPr>
        <w:t>（三）规则与约束体系</w:t>
      </w:r>
      <w:bookmarkEnd w:id="34"/>
    </w:p>
    <w:p>
      <w:pPr>
        <w:widowControl/>
        <w:spacing w:lineRule="exact" w:line="480" w:before="0" w:after="0"/>
        <w:ind w:firstLine="480"/>
      </w:pPr>
      <w:r>
        <w:rPr>
          <w:rFonts w:ascii="SimSun" w:hAnsi="SimSun" w:eastAsia="宋体" w:cs="SimSun"/>
          <w:b w:val="0"/>
          <w:color w:val="000000"/>
          <w:sz w:val="24"/>
        </w:rPr>
        <w:t>规则体系分为硬约束、条件规则和软目标。硬约束包括区域边界、接口尺寸、设备避让、通道与安全要求，不满足时阻止方案进入正式评审；条件规则由车型、市场、材料、供应或维护条件触发；软目标用于评价美观、协调、独特性、制造与维护便利性。</w:t>
      </w:r>
    </w:p>
    <w:p>
      <w:pPr>
        <w:widowControl/>
        <w:spacing w:lineRule="exact" w:line="480" w:before="0" w:after="0"/>
        <w:ind w:firstLine="480"/>
      </w:pPr>
      <w:r>
        <w:rPr>
          <w:rFonts w:ascii="SimSun" w:hAnsi="SimSun" w:eastAsia="宋体" w:cs="SimSun"/>
          <w:b w:val="0"/>
          <w:color w:val="000000"/>
          <w:sz w:val="24"/>
        </w:rPr>
        <w:t>规则以“适用对象—触发条件—判断逻辑—结果等级—提示内容—依据来源”的结构维护。硬约束失败产生阻断结果并定位冲突对象；条件规则根据车型、区域、材料或项目条件限制可选项；软目标输出分项评价而不直接代替设计决策。规则发布前使用正常、边界和异常样例验证，确认不会误伤已有有效方案；规则发生变化时，历史方案继续保留原规则版本，同时可按需要执行影响分析。</w:t>
      </w:r>
    </w:p>
    <w:p>
      <w:pPr>
        <w:widowControl/>
        <w:spacing w:lineRule="exact" w:line="480" w:before="0" w:after="0"/>
        <w:ind w:firstLine="480"/>
      </w:pPr>
      <w:r>
        <w:rPr>
          <w:rFonts w:ascii="SimSun" w:hAnsi="SimSun" w:eastAsia="宋体" w:cs="SimSun"/>
          <w:b w:val="0"/>
          <w:color w:val="000000"/>
          <w:sz w:val="24"/>
        </w:rPr>
        <w:t>当规则之间发生冲突时，按照安全与法规、接口与装配、功能要求、项目约束、风格目标的优先级处理。无法自动裁决的冲突进入例外流程，由责任人说明原因、适用范围和有效期限。例外不是删除规则，而是形成带审批和证据的项目级决策，以便后续复核。</w:t>
      </w:r>
    </w:p>
    <w:p>
      <w:pPr>
        <w:pStyle w:val="Caption"/>
        <w:keepNext/>
        <w:jc w:val="center"/>
      </w:pPr>
      <w:r>
        <w:rPr>
          <w:rFonts w:ascii="SimSun" w:hAnsi="SimSun" w:eastAsia="宋体" w:cs="SimSun"/>
          <w:color w:val="000000"/>
          <w:sz w:val="24"/>
        </w:rPr>
        <w:t>表 7 设计约束分类与处理策略</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1751"/>
        <w:gridCol w:w="2407"/>
        <w:gridCol w:w="2407"/>
        <w:gridCol w:w="2407"/>
      </w:tblGrid>
      <w:tr>
        <w:trPr>
          <w:cantSplit w:val="true"/>
          <w:tblHeader w:val="true"/>
        </w:trPr>
        <w:tc>
          <w:tcPr>
            <w:tcW w:type="dxa" w:w="175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约束类别</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典型内容</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系统处理方式</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结果表达</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硬约束</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边界、尺寸、接口、干涉、安全和法规要求</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自动校核，失败则阻断</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冲突对象、规则依据和修改建议</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条件规则</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车型、市场、材料、供应和维护条件</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条件触发，限制选项或参数范围</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触发条件、可选范围和替代项</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软目标</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美观、色彩协调、独特性、制造适配、复用率</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多目标评分和排序</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分项得分、权重和综合评价</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人工判断</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风格取舍、品牌表达和例外批准</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评审确认并记录理由</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评审结论、责任人和适用范围</w:t>
            </w:r>
          </w:p>
        </w:tc>
      </w:tr>
    </w:tbl>
    <w:p>
      <w:pPr>
        <w:pStyle w:val="Heading2"/>
        <w:spacing w:lineRule="exact" w:line="480" w:before="0" w:after="0"/>
        <w:ind w:firstLine="0"/>
      </w:pPr>
      <w:bookmarkStart w:id="35" w:name="report_heading_035"/>
      <w:r>
        <w:rPr>
          <w:rFonts w:ascii="KaiTi" w:hAnsi="KaiTi" w:eastAsia="楷体" w:cs="KaiTi"/>
          <w:b w:val="0"/>
          <w:color w:val="000000"/>
          <w:sz w:val="28"/>
        </w:rPr>
        <w:t>（四）跨区域协同优化</w:t>
      </w:r>
      <w:bookmarkEnd w:id="35"/>
    </w:p>
    <w:p>
      <w:pPr>
        <w:widowControl/>
        <w:spacing w:lineRule="exact" w:line="480" w:before="0" w:after="0"/>
        <w:ind w:firstLine="480"/>
      </w:pPr>
      <w:r>
        <w:rPr>
          <w:rFonts w:ascii="SimSun" w:hAnsi="SimSun" w:eastAsia="宋体" w:cs="SimSun"/>
          <w:b w:val="0"/>
          <w:color w:val="000000"/>
          <w:sz w:val="24"/>
        </w:rPr>
        <w:t>客室各区域通过空间邻接、装配接口、功能影响和视觉连续性形成区域依赖图。局部调整后，系统识别受影响的相邻区域和关联模块，执行接口、材质、色彩、纹理和整体风格检查。优化过程采用“硬约束先过滤、条件规则再限制、软目标后排序、人工评审最终确认”的顺序。</w:t>
      </w:r>
    </w:p>
    <w:p>
      <w:pPr>
        <w:widowControl/>
        <w:spacing w:lineRule="exact" w:line="480" w:before="0" w:after="0"/>
        <w:ind w:firstLine="480"/>
      </w:pPr>
      <w:r>
        <w:rPr>
          <w:rFonts w:ascii="SimSun" w:hAnsi="SimSun" w:eastAsia="宋体" w:cs="SimSun"/>
          <w:b w:val="0"/>
          <w:color w:val="000000"/>
          <w:sz w:val="24"/>
        </w:rPr>
        <w:t>为避免复杂关系图产生大量交叉连线，平台以“区域—约束维度”依赖矩阵表达协同关系。矩阵按顶部、侧墙、地板、端墙、门区和座椅等区域组织行，按空间边界、装配接口、功能联动和风格协调组织列，每个单元记录检查项、关联对象和责任专业。方案修改后只展开受影响的矩阵单元，生成可读的检查清单和处理顺序。</w:t>
      </w:r>
    </w:p>
    <w:p>
      <w:pPr>
        <w:widowControl/>
        <w:spacing w:lineRule="exact" w:line="480" w:before="0" w:after="0"/>
        <w:ind w:firstLine="480"/>
      </w:pPr>
      <w:r>
        <w:rPr>
          <w:rFonts w:ascii="SimSun" w:hAnsi="SimSun" w:eastAsia="宋体" w:cs="SimSun"/>
          <w:b w:val="0"/>
          <w:color w:val="000000"/>
          <w:sz w:val="24"/>
        </w:rPr>
        <w:t>协同优化采用影响传播而非全量重算。首先定位被修改对象，再沿空间邻接和接口依赖确定直接影响项，随后根据功能与风格规则确定间接影响项。硬约束冲突优先处理，条件规则限定可用调整范围，软目标用于比较多个可行方案。系统输出冲突来源、受影响区域、建议调整和未决事项，由相关专业共同确认。</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1" name="Picture 11" descr="图 11 跨区域依赖与协同优化逻辑"/>
            <wp:cNvGraphicFramePr>
              <a:graphicFrameLocks noChangeAspect="1"/>
            </wp:cNvGraphicFramePr>
            <a:graphic>
              <a:graphicData uri="http://schemas.openxmlformats.org/drawingml/2006/picture">
                <pic:pic>
                  <pic:nvPicPr>
                    <pic:cNvPr id="0" name="v2-1-figure-11-cross-region-optimization.png"/>
                    <pic:cNvPicPr/>
                  </pic:nvPicPr>
                  <pic:blipFill>
                    <a:blip r:embed="rId23"/>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11 跨区域依赖与协同优化逻辑</w:t>
      </w:r>
    </w:p>
    <w:p>
      <w:pPr>
        <w:pStyle w:val="Heading2"/>
        <w:spacing w:lineRule="exact" w:line="480" w:before="0" w:after="0"/>
        <w:ind w:firstLine="0"/>
      </w:pPr>
      <w:bookmarkStart w:id="36" w:name="report_heading_036"/>
      <w:r>
        <w:rPr>
          <w:rFonts w:ascii="KaiTi" w:hAnsi="KaiTi" w:eastAsia="楷体" w:cs="KaiTi"/>
          <w:b w:val="0"/>
          <w:color w:val="000000"/>
          <w:sz w:val="28"/>
        </w:rPr>
        <w:t>（五）方案检索、评价与复用</w:t>
      </w:r>
      <w:bookmarkEnd w:id="36"/>
    </w:p>
    <w:p>
      <w:pPr>
        <w:widowControl/>
        <w:spacing w:lineRule="exact" w:line="480" w:before="0" w:after="0"/>
        <w:ind w:firstLine="480"/>
      </w:pPr>
      <w:r>
        <w:rPr>
          <w:rFonts w:ascii="SimSun" w:hAnsi="SimSun" w:eastAsia="宋体" w:cs="SimSun"/>
          <w:b w:val="0"/>
          <w:color w:val="000000"/>
          <w:sz w:val="24"/>
        </w:rPr>
        <w:t>成果库支持按车型、区域、模块、材料、色彩、风格、项目和评审状态检索，并可通过语义与视觉特征召回相似方案。复用时不直接覆盖原方案，而是建立来源关系并生成新版本；设计人员可查看差异、适用条件和历史评价，减少重复劳动并保留创新空间。</w:t>
      </w:r>
    </w:p>
    <w:p>
      <w:pPr>
        <w:pStyle w:val="Heading1"/>
        <w:spacing w:lineRule="exact" w:line="480" w:before="0" w:after="0"/>
        <w:ind w:firstLine="0"/>
      </w:pPr>
      <w:bookmarkStart w:id="37" w:name="report_heading_037"/>
      <w:r>
        <w:rPr>
          <w:rFonts w:ascii="SimHei" w:hAnsi="SimHei" w:eastAsia="黑体" w:cs="SimHei"/>
          <w:b/>
          <w:color w:val="000000"/>
          <w:sz w:val="28"/>
        </w:rPr>
        <w:t>八、平台功能模块设计</w:t>
      </w:r>
      <w:bookmarkEnd w:id="37"/>
    </w:p>
    <w:p>
      <w:pPr>
        <w:pStyle w:val="Heading2"/>
        <w:spacing w:lineRule="exact" w:line="480" w:before="0" w:after="0"/>
        <w:ind w:firstLine="0"/>
      </w:pPr>
      <w:bookmarkStart w:id="38" w:name="report_heading_038"/>
      <w:r>
        <w:rPr>
          <w:rFonts w:ascii="KaiTi" w:hAnsi="KaiTi" w:eastAsia="楷体" w:cs="KaiTi"/>
          <w:b w:val="0"/>
          <w:color w:val="000000"/>
          <w:sz w:val="28"/>
        </w:rPr>
        <w:t>（一）功能总体布局</w:t>
      </w:r>
      <w:bookmarkEnd w:id="38"/>
    </w:p>
    <w:p>
      <w:pPr>
        <w:widowControl/>
        <w:spacing w:lineRule="exact" w:line="480" w:before="0" w:after="0"/>
        <w:ind w:firstLine="480"/>
      </w:pPr>
      <w:r>
        <w:rPr>
          <w:rFonts w:ascii="SimSun" w:hAnsi="SimSun" w:eastAsia="宋体" w:cs="SimSun"/>
          <w:b w:val="0"/>
          <w:color w:val="000000"/>
          <w:sz w:val="24"/>
        </w:rPr>
        <w:t>平台以设计工作台为统一入口，围绕项目上下文组织资料准备、分区识别、快速设计、任务执行、方案评审和成果归档。业务功能与管理功能分离，设计人员看到业务语义和结果，系统管理人员负责能力、规则、权限、数据和运行配置。</w:t>
      </w:r>
    </w:p>
    <w:p>
      <w:pPr>
        <w:widowControl/>
        <w:spacing w:lineRule="exact" w:line="480" w:before="0" w:after="0"/>
        <w:ind w:firstLine="480"/>
      </w:pPr>
      <w:r>
        <w:rPr>
          <w:rFonts w:ascii="SimSun" w:hAnsi="SimSun" w:eastAsia="宋体" w:cs="SimSun"/>
          <w:b w:val="0"/>
          <w:color w:val="000000"/>
          <w:sz w:val="24"/>
        </w:rPr>
        <w:t>功能划分遵循高内聚、低耦合和对象贯通原则。项目协同域管理范围、成员、资料和阶段；智能设计域管理识别、模块组合、形态与CMF以及整体协同；成果知识域管理方案版本、评价、检索和复用；运营管理域管理用户权限、规则能力、运行状态和审计。各功能域共享统一身份、项目上下文、资源版本和任务状态，避免形成互不关联的独立工具。</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2" name="Picture 12" descr="图 12 平台功能模块地图"/>
            <wp:cNvGraphicFramePr>
              <a:graphicFrameLocks noChangeAspect="1"/>
            </wp:cNvGraphicFramePr>
            <a:graphic>
              <a:graphicData uri="http://schemas.openxmlformats.org/drawingml/2006/picture">
                <pic:pic>
                  <pic:nvPicPr>
                    <pic:cNvPr id="0" name="v2-1-figure-12-function-map.png"/>
                    <pic:cNvPicPr/>
                  </pic:nvPicPr>
                  <pic:blipFill>
                    <a:blip r:embed="rId24"/>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12 平台功能模块地图</w:t>
      </w:r>
    </w:p>
    <w:p>
      <w:pPr>
        <w:pStyle w:val="Caption"/>
        <w:keepNext/>
        <w:jc w:val="center"/>
      </w:pPr>
      <w:r>
        <w:rPr>
          <w:rFonts w:ascii="SimSun" w:hAnsi="SimSun" w:eastAsia="宋体" w:cs="SimSun"/>
          <w:color w:val="000000"/>
          <w:sz w:val="24"/>
        </w:rPr>
        <w:t>表 8 平台功能模块及主要输入输出</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243"/>
        <w:gridCol w:w="2243"/>
        <w:gridCol w:w="2243"/>
        <w:gridCol w:w="2243"/>
      </w:tblGrid>
      <w:tr>
        <w:trPr>
          <w:cantSplit w:val="true"/>
          <w:tblHeader w:val="true"/>
        </w:trPr>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功能模块</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主要输入</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主要处理</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主要输出</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项目与协作</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项目信息、成员和范围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项目建立、成员协作、权限控制</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项目空间和协作记录</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设计资源管理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图像、图纸、模型、材料和文档</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分类、编码、标签、版本和权限</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可检索的项目资源</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分区识别</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客室资料、区域规则和模块知识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候选识别、融合、人工复核</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区域与模块识别结果</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模块化快速设计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目标区域、模块、参数和约束</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方案生成、规则校核、调整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零部件和大部件候选方案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整体布置设计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多区域方案和空间关系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组合、位置调整、跨区域检查</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客室整体布置方案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形态与CMF设计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形态、材质、色彩、纹理和参考资料</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配置、生成、对比和评价</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装配效果和CMF方案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方案成果库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确认方案、评价和来源关系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版本、检索、比较和复用</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可追溯的设计成果</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任务与通知</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识别、生成、检索和报告任务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排队、执行、进度、取消和失败处理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任务状态、结果和通知</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规则与能力管理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规则、参数模板和能力配置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测试、发布、停用、回退</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受控的业务能力版本</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用户与运行管理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用户、角色、日志和运行指标</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身份、权限、审计和监控</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安全可控的运行环境</w:t>
            </w:r>
          </w:p>
        </w:tc>
      </w:tr>
    </w:tbl>
    <w:p>
      <w:pPr>
        <w:pStyle w:val="Heading2"/>
        <w:spacing w:lineRule="exact" w:line="480" w:before="0" w:after="0"/>
        <w:ind w:firstLine="0"/>
      </w:pPr>
      <w:bookmarkStart w:id="39" w:name="report_heading_039"/>
      <w:r>
        <w:rPr>
          <w:rFonts w:ascii="KaiTi" w:hAnsi="KaiTi" w:eastAsia="楷体" w:cs="KaiTi"/>
          <w:b w:val="0"/>
          <w:color w:val="000000"/>
          <w:sz w:val="28"/>
        </w:rPr>
        <w:t>（二）典型业务场景</w:t>
      </w:r>
      <w:bookmarkEnd w:id="39"/>
    </w:p>
    <w:p>
      <w:pPr>
        <w:widowControl/>
        <w:spacing w:lineRule="exact" w:line="480" w:before="0" w:after="0"/>
        <w:ind w:firstLine="480"/>
      </w:pPr>
      <w:r>
        <w:rPr>
          <w:rFonts w:ascii="SimSun" w:hAnsi="SimSun" w:eastAsia="宋体" w:cs="SimSun"/>
          <w:b w:val="0"/>
          <w:color w:val="000000"/>
          <w:sz w:val="24"/>
        </w:rPr>
        <w:t>典型场景从项目建立开始：导入客室资料，选择目标区域，调用分区识别并完成人工确认；系统将确认结果转换为模块清单、参数和约束，设计人员生成候选方案并比较；方案通过规则检查和评审后入库，再用于整体布置、深化设计或后续项目复用。全过程应能够查看任务状态、来源关系和版本差异。</w:t>
      </w:r>
    </w:p>
    <w:p>
      <w:pPr>
        <w:widowControl/>
        <w:spacing w:lineRule="exact" w:line="480" w:before="0" w:after="0"/>
        <w:ind w:firstLine="480"/>
      </w:pPr>
      <w:r>
        <w:rPr>
          <w:rFonts w:ascii="SimSun" w:hAnsi="SimSun" w:eastAsia="宋体" w:cs="SimSun"/>
          <w:b w:val="0"/>
          <w:color w:val="000000"/>
          <w:sz w:val="24"/>
        </w:rPr>
        <w:t>除正常流程外，功能设计需要覆盖资料不完整、识别结果存在冲突、外部能力暂不可用、任务超时、方案规则不通过、成员权限变化和成果回传失败等异常场景。异常处理不能只显示失败提示，还应保留已完成步骤、说明未完成原因、提供可执行的继续方式，并避免重复生成或丢失已经确认的成果。</w:t>
      </w:r>
    </w:p>
    <w:p>
      <w:pPr>
        <w:pStyle w:val="Heading2"/>
        <w:spacing w:lineRule="exact" w:line="480" w:before="0" w:after="0"/>
        <w:ind w:firstLine="0"/>
      </w:pPr>
      <w:bookmarkStart w:id="40" w:name="report_heading_040"/>
      <w:r>
        <w:rPr>
          <w:rFonts w:ascii="KaiTi" w:hAnsi="KaiTi" w:eastAsia="楷体" w:cs="KaiTi"/>
          <w:b w:val="0"/>
          <w:color w:val="000000"/>
          <w:sz w:val="28"/>
        </w:rPr>
        <w:t>（三）角色与权限</w:t>
      </w:r>
      <w:bookmarkEnd w:id="40"/>
    </w:p>
    <w:p>
      <w:pPr>
        <w:widowControl/>
        <w:spacing w:lineRule="exact" w:line="480" w:before="0" w:after="0"/>
        <w:ind w:firstLine="480"/>
      </w:pPr>
      <w:r>
        <w:rPr>
          <w:rFonts w:ascii="SimSun" w:hAnsi="SimSun" w:eastAsia="宋体" w:cs="SimSun"/>
          <w:b w:val="0"/>
          <w:color w:val="000000"/>
          <w:sz w:val="24"/>
        </w:rPr>
        <w:t>设计人员负责资料选择、分区确认、方案生成和评审；项目负责人负责范围、成员、阶段成果和风险；算法与数据人员负责数据集、识别能力、规则与评测；系统管理人员负责用户、权限、能力发布、运行监控和备份。权限必须由平台服务统一校验，页面按钮隐藏不能代替数据范围控制。</w:t>
      </w:r>
    </w:p>
    <w:p>
      <w:pPr>
        <w:pStyle w:val="Heading1"/>
        <w:spacing w:lineRule="exact" w:line="480" w:before="0" w:after="0"/>
        <w:ind w:firstLine="0"/>
      </w:pPr>
      <w:bookmarkStart w:id="41" w:name="report_heading_041"/>
      <w:r>
        <w:rPr>
          <w:rFonts w:ascii="SimHei" w:hAnsi="SimHei" w:eastAsia="黑体" w:cs="SimHei"/>
          <w:b/>
          <w:color w:val="000000"/>
          <w:sz w:val="28"/>
        </w:rPr>
        <w:t>九、数据资源与知识底座</w:t>
      </w:r>
      <w:bookmarkEnd w:id="41"/>
    </w:p>
    <w:p>
      <w:pPr>
        <w:pStyle w:val="Heading2"/>
        <w:spacing w:lineRule="exact" w:line="480" w:before="0" w:after="0"/>
        <w:ind w:firstLine="0"/>
      </w:pPr>
      <w:bookmarkStart w:id="42" w:name="report_heading_042"/>
      <w:r>
        <w:rPr>
          <w:rFonts w:ascii="KaiTi" w:hAnsi="KaiTi" w:eastAsia="楷体" w:cs="KaiTi"/>
          <w:b w:val="0"/>
          <w:color w:val="000000"/>
          <w:sz w:val="28"/>
        </w:rPr>
        <w:t>（一）数据资源体系</w:t>
      </w:r>
      <w:bookmarkEnd w:id="42"/>
    </w:p>
    <w:p>
      <w:pPr>
        <w:widowControl/>
        <w:spacing w:lineRule="exact" w:line="480" w:before="0" w:after="0"/>
        <w:ind w:firstLine="480"/>
      </w:pPr>
      <w:r>
        <w:rPr>
          <w:rFonts w:ascii="SimSun" w:hAnsi="SimSun" w:eastAsia="宋体" w:cs="SimSun"/>
          <w:b w:val="0"/>
          <w:color w:val="000000"/>
          <w:sz w:val="24"/>
        </w:rPr>
        <w:t>平台数据底座由客室基础资料、内装模块库、材料色彩纹理库、规则与参数库、设计成果库和运行审计数据构成。各类数据使用统一分类、编码、标签、版本和归属关系，结构化数据与文件资料通过资源标识关联。</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3" name="Picture 13" descr="图 13 平台数据资源与知识底座"/>
            <wp:cNvGraphicFramePr>
              <a:graphicFrameLocks noChangeAspect="1"/>
            </wp:cNvGraphicFramePr>
            <a:graphic>
              <a:graphicData uri="http://schemas.openxmlformats.org/drawingml/2006/picture">
                <pic:pic>
                  <pic:nvPicPr>
                    <pic:cNvPr id="0" name="v2-1-figure-13-data-foundation.png"/>
                    <pic:cNvPicPr/>
                  </pic:nvPicPr>
                  <pic:blipFill>
                    <a:blip r:embed="rId25"/>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13 平台数据资源与知识底座</w:t>
      </w:r>
    </w:p>
    <w:p>
      <w:pPr>
        <w:pStyle w:val="Caption"/>
        <w:keepNext/>
        <w:jc w:val="center"/>
      </w:pPr>
      <w:r>
        <w:rPr>
          <w:rFonts w:ascii="SimSun" w:hAnsi="SimSun" w:eastAsia="宋体" w:cs="SimSun"/>
          <w:color w:val="000000"/>
          <w:sz w:val="24"/>
        </w:rPr>
        <w:t>表 9 数据资源建设内容</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243"/>
        <w:gridCol w:w="2243"/>
        <w:gridCol w:w="2243"/>
        <w:gridCol w:w="2243"/>
      </w:tblGrid>
      <w:tr>
        <w:trPr>
          <w:cantSplit w:val="true"/>
          <w:tblHeader w:val="true"/>
        </w:trPr>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数据资源</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主要内容</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建设要求</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主要应用</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客室基础资料</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车型、区域、图纸、模型、照片和设计条件</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来源明确、版本可查、权限受控</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需求分析和识别输入</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内装模块库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四级模块对象、属性、接口和适用范围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编码唯一、层级清晰、可扩展</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分区识别、模块选择和组合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材料色彩纹理库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材料、颜色、纹理、工艺和样例</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参数规范、样例关联、适用条件明确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CMF配置和方案评价</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规则与参数库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约束、条件规则、参数范围和模板</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规则可解释、可测试、可版本化</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快速设计和自动校核</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设计成果库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方案、版本、评价、评审和输出文件</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来源可追溯、状态可管理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检索、比较、复用和交付</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运行与审计数据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任务、操作、异常、接口和监控记录</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最小必要、敏感信息脱敏</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问题定位、质量证明和安全审计</w:t>
            </w:r>
          </w:p>
        </w:tc>
      </w:tr>
    </w:tbl>
    <w:p>
      <w:pPr>
        <w:pStyle w:val="Heading2"/>
        <w:spacing w:lineRule="exact" w:line="480" w:before="0" w:after="0"/>
        <w:ind w:firstLine="0"/>
      </w:pPr>
      <w:bookmarkStart w:id="43" w:name="report_heading_043"/>
      <w:r>
        <w:rPr>
          <w:rFonts w:ascii="KaiTi" w:hAnsi="KaiTi" w:eastAsia="楷体" w:cs="KaiTi"/>
          <w:b w:val="0"/>
          <w:color w:val="000000"/>
          <w:sz w:val="28"/>
        </w:rPr>
        <w:t>（二）数据治理流程</w:t>
      </w:r>
      <w:bookmarkEnd w:id="43"/>
    </w:p>
    <w:p>
      <w:pPr>
        <w:widowControl/>
        <w:spacing w:lineRule="exact" w:line="480" w:before="0" w:after="0"/>
        <w:ind w:firstLine="480"/>
      </w:pPr>
      <w:r>
        <w:rPr>
          <w:rFonts w:ascii="SimSun" w:hAnsi="SimSun" w:eastAsia="宋体" w:cs="SimSun"/>
          <w:b w:val="0"/>
          <w:color w:val="000000"/>
          <w:sz w:val="24"/>
        </w:rPr>
        <w:t>数据治理包括资料清点、分类编码、质量检查、权限确认、入库、使用、变更、归档和清理。训练数据和验收数据分别管理；规则、参数模板和模块知识变更前必须经过评审与测试。设计成果对外共享或进入正式交付前，应确认来源、授权、版本和适用范围。</w:t>
      </w:r>
    </w:p>
    <w:p>
      <w:pPr>
        <w:widowControl/>
        <w:spacing w:lineRule="exact" w:line="480" w:before="0" w:after="0"/>
        <w:ind w:firstLine="480"/>
      </w:pPr>
      <w:r>
        <w:rPr>
          <w:rFonts w:ascii="SimSun" w:hAnsi="SimSun" w:eastAsia="宋体" w:cs="SimSun"/>
          <w:b w:val="0"/>
          <w:color w:val="000000"/>
          <w:sz w:val="24"/>
        </w:rPr>
        <w:t>数据治理责任应落实到具体角色。资料提供方确认来源和授权，数据人员负责清洗、标注与质量报告，领域人员负责对象归类和规则解释，项目负责人确认共享范围和阶段状态，系统管理人员负责权限、备份和生命周期策略。平台以状态流转控制草稿、待复核、已确认、已发布和已归档数据，未达到质量门槛的内容不得进入正式检索、训练或验收范围。</w:t>
      </w:r>
    </w:p>
    <w:p>
      <w:pPr>
        <w:pStyle w:val="Heading2"/>
        <w:spacing w:lineRule="exact" w:line="480" w:before="0" w:after="0"/>
        <w:ind w:firstLine="0"/>
      </w:pPr>
      <w:bookmarkStart w:id="44" w:name="report_heading_044"/>
      <w:r>
        <w:rPr>
          <w:rFonts w:ascii="KaiTi" w:hAnsi="KaiTi" w:eastAsia="楷体" w:cs="KaiTi"/>
          <w:b w:val="0"/>
          <w:color w:val="000000"/>
          <w:sz w:val="28"/>
        </w:rPr>
        <w:t>（三）数据质量控制</w:t>
      </w:r>
      <w:bookmarkEnd w:id="44"/>
    </w:p>
    <w:p>
      <w:pPr>
        <w:widowControl/>
        <w:spacing w:lineRule="exact" w:line="480" w:before="0" w:after="0"/>
        <w:ind w:firstLine="480"/>
      </w:pPr>
      <w:r>
        <w:rPr>
          <w:rFonts w:ascii="SimSun" w:hAnsi="SimSun" w:eastAsia="宋体" w:cs="SimSun"/>
          <w:b w:val="0"/>
          <w:color w:val="000000"/>
          <w:sz w:val="24"/>
        </w:rPr>
        <w:t>数据质量从完整性、一致性、准确性、唯一性、及时性和可追溯性六个维度评价。平台应为必填字段、编码冲突、无效关联、孤立文件和过期版本设置检查规则，并建立问题修复责任和关闭记录。</w:t>
      </w:r>
    </w:p>
    <w:p>
      <w:pPr>
        <w:pStyle w:val="Heading1"/>
        <w:spacing w:lineRule="exact" w:line="480" w:before="0" w:after="0"/>
        <w:ind w:firstLine="0"/>
      </w:pPr>
      <w:bookmarkStart w:id="45" w:name="report_heading_045"/>
      <w:r>
        <w:rPr>
          <w:rFonts w:ascii="SimHei" w:hAnsi="SimHei" w:eastAsia="黑体" w:cs="SimHei"/>
          <w:b/>
          <w:color w:val="000000"/>
          <w:sz w:val="28"/>
        </w:rPr>
        <w:t>十、系统集成与接口设计</w:t>
      </w:r>
      <w:bookmarkEnd w:id="45"/>
    </w:p>
    <w:p>
      <w:pPr>
        <w:pStyle w:val="Heading2"/>
        <w:spacing w:lineRule="exact" w:line="480" w:before="0" w:after="0"/>
        <w:ind w:firstLine="0"/>
      </w:pPr>
      <w:bookmarkStart w:id="46" w:name="report_heading_046"/>
      <w:r>
        <w:rPr>
          <w:rFonts w:ascii="KaiTi" w:hAnsi="KaiTi" w:eastAsia="楷体" w:cs="KaiTi"/>
          <w:b w:val="0"/>
          <w:color w:val="000000"/>
          <w:sz w:val="28"/>
        </w:rPr>
        <w:t>（一）与既有产品平台的交互</w:t>
      </w:r>
      <w:bookmarkEnd w:id="46"/>
    </w:p>
    <w:p>
      <w:pPr>
        <w:widowControl/>
        <w:spacing w:lineRule="exact" w:line="480" w:before="0" w:after="0"/>
        <w:ind w:firstLine="480"/>
      </w:pPr>
      <w:r>
        <w:rPr>
          <w:rFonts w:ascii="SimSun" w:hAnsi="SimSun" w:eastAsia="宋体" w:cs="SimSun"/>
          <w:b w:val="0"/>
          <w:color w:val="000000"/>
          <w:sz w:val="24"/>
        </w:rPr>
        <w:t>平台预留项目、车型、模块、设计资料、任务状态和成果方案等接口。具体字段、调用方向、身份方式、网络边界和错误处理应在项目启动阶段与甲方确认。接口设计遵循最小权限、版本兼容、重复提交可识别、异常可定位和数据可追溯原则。</w:t>
      </w:r>
    </w:p>
    <w:p>
      <w:pPr>
        <w:widowControl/>
        <w:spacing w:lineRule="exact" w:line="480" w:before="0" w:after="0"/>
        <w:ind w:firstLine="480"/>
      </w:pPr>
      <w:r>
        <w:rPr>
          <w:rFonts w:ascii="SimSun" w:hAnsi="SimSun" w:eastAsia="宋体" w:cs="SimSun"/>
          <w:b w:val="0"/>
          <w:color w:val="000000"/>
          <w:sz w:val="24"/>
        </w:rPr>
        <w:t>接口设计先形成业务对象映射，再确定传输方式。双方需共同确认主数据来源、唯一标识、字段含义、枚举值、时间与版本表达、文件引用方式和状态转换规则。对于尚未具备真实联调条件的接口，可使用受控样例和模拟服务验证字段、幂等、超时和错误处理；正式联调后用真实记录替换模拟证据，并保留差异说明。</w:t>
      </w:r>
    </w:p>
    <w:p>
      <w:pPr>
        <w:pStyle w:val="Caption"/>
        <w:keepNext/>
        <w:jc w:val="center"/>
      </w:pPr>
      <w:r>
        <w:rPr>
          <w:rFonts w:ascii="SimSun" w:hAnsi="SimSun" w:eastAsia="宋体" w:cs="SimSun"/>
          <w:color w:val="000000"/>
          <w:sz w:val="24"/>
        </w:rPr>
        <w:t>表 10 建议的系统集成对象</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087"/>
        <w:gridCol w:w="2295"/>
        <w:gridCol w:w="2295"/>
        <w:gridCol w:w="2295"/>
      </w:tblGrid>
      <w:tr>
        <w:trPr>
          <w:cantSplit w:val="true"/>
          <w:tblHeader w:val="true"/>
        </w:trPr>
        <w:tc>
          <w:tcPr>
            <w:tcW w:type="dxa" w:w="208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集成对象</w:t>
            </w:r>
          </w:p>
        </w:tc>
        <w:tc>
          <w:tcPr>
            <w:tcW w:type="dxa" w:w="2295"/>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交换内容</w:t>
            </w:r>
          </w:p>
        </w:tc>
        <w:tc>
          <w:tcPr>
            <w:tcW w:type="dxa" w:w="2295"/>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建议方式</w:t>
            </w:r>
          </w:p>
        </w:tc>
        <w:tc>
          <w:tcPr>
            <w:tcW w:type="dxa" w:w="2295"/>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关键控制</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项目与车型</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项目编号、车型、市场、阶段和成员范围</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结构化接口或受控导入</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主数据映射、权限和版本</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设计资料</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图像、图纸、模型、说明和属性</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资源标识与受控文件传输</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文件校验、断点和来源记录</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模块与规则</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模块编码、属性、接口、参数和规则版本</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版本化结构数据</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冲突检测、适用范围和审批</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任务与进度</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任务编号、状态、进度、错误和结果</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查询、事件通知或消息方式</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幂等、超时、重试和状态一致</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设计成果</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方案版本、评价、输出文件和评审状态</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结构化数据与资源引用</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来源关系、签收和回传确认</w:t>
            </w:r>
          </w:p>
        </w:tc>
      </w:tr>
    </w:tbl>
    <w:p>
      <w:pPr>
        <w:pStyle w:val="Heading2"/>
        <w:spacing w:lineRule="exact" w:line="480" w:before="0" w:after="0"/>
        <w:ind w:firstLine="0"/>
      </w:pPr>
      <w:bookmarkStart w:id="47" w:name="report_heading_047"/>
      <w:r>
        <w:rPr>
          <w:rFonts w:ascii="KaiTi" w:hAnsi="KaiTi" w:eastAsia="楷体" w:cs="KaiTi"/>
          <w:b w:val="0"/>
          <w:color w:val="000000"/>
          <w:sz w:val="28"/>
        </w:rPr>
        <w:t>（二）外部智能能力接入</w:t>
      </w:r>
      <w:bookmarkEnd w:id="47"/>
    </w:p>
    <w:p>
      <w:pPr>
        <w:widowControl/>
        <w:spacing w:lineRule="exact" w:line="480" w:before="0" w:after="0"/>
        <w:ind w:firstLine="480"/>
      </w:pPr>
      <w:r>
        <w:rPr>
          <w:rFonts w:ascii="SimSun" w:hAnsi="SimSun" w:eastAsia="宋体" w:cs="SimSun"/>
          <w:b w:val="0"/>
          <w:color w:val="000000"/>
          <w:sz w:val="24"/>
        </w:rPr>
        <w:t>识别、理解、生成、检索或三维处理能力通过独立适配层接入。适配层负责业务参数转换、资源准备、任务提交、进度获取、错误映射和结果登记。外部服务未配置、超时或返回无效结果时必须明确失败，不生成虚假成果。</w:t>
      </w:r>
    </w:p>
    <w:p>
      <w:pPr>
        <w:pStyle w:val="Heading2"/>
        <w:spacing w:lineRule="exact" w:line="480" w:before="0" w:after="0"/>
        <w:ind w:firstLine="0"/>
      </w:pPr>
      <w:bookmarkStart w:id="48" w:name="report_heading_048"/>
      <w:r>
        <w:rPr>
          <w:rFonts w:ascii="KaiTi" w:hAnsi="KaiTi" w:eastAsia="楷体" w:cs="KaiTi"/>
          <w:b w:val="0"/>
          <w:color w:val="000000"/>
          <w:sz w:val="28"/>
        </w:rPr>
        <w:t>（三）接口验证</w:t>
      </w:r>
      <w:bookmarkEnd w:id="48"/>
    </w:p>
    <w:p>
      <w:pPr>
        <w:widowControl/>
        <w:spacing w:lineRule="exact" w:line="480" w:before="0" w:after="0"/>
        <w:ind w:firstLine="480"/>
      </w:pPr>
      <w:r>
        <w:rPr>
          <w:rFonts w:ascii="SimSun" w:hAnsi="SimSun" w:eastAsia="宋体" w:cs="SimSun"/>
          <w:b w:val="0"/>
          <w:color w:val="000000"/>
          <w:sz w:val="24"/>
        </w:rPr>
        <w:t>接口验证至少覆盖身份权限、字段映射、大文件传输、重复请求、超时重试、状态回调、版本兼容、异常恢复和审计留痕。联调记录应包含输入、预期、实际结果、问题原因、修复版本和复验结论。</w:t>
      </w:r>
    </w:p>
    <w:p>
      <w:pPr>
        <w:pStyle w:val="Heading1"/>
        <w:spacing w:lineRule="exact" w:line="480" w:before="0" w:after="0"/>
        <w:ind w:firstLine="0"/>
      </w:pPr>
      <w:bookmarkStart w:id="49" w:name="report_heading_049"/>
      <w:r>
        <w:rPr>
          <w:rFonts w:ascii="SimHei" w:hAnsi="SimHei" w:eastAsia="黑体" w:cs="SimHei"/>
          <w:b/>
          <w:color w:val="000000"/>
          <w:sz w:val="28"/>
        </w:rPr>
        <w:t>十一、安全、质量与运行保障</w:t>
      </w:r>
      <w:bookmarkEnd w:id="49"/>
    </w:p>
    <w:p>
      <w:pPr>
        <w:pStyle w:val="Heading2"/>
        <w:spacing w:lineRule="exact" w:line="480" w:before="0" w:after="0"/>
        <w:ind w:firstLine="0"/>
      </w:pPr>
      <w:bookmarkStart w:id="50" w:name="report_heading_050"/>
      <w:r>
        <w:rPr>
          <w:rFonts w:ascii="KaiTi" w:hAnsi="KaiTi" w:eastAsia="楷体" w:cs="KaiTi"/>
          <w:b w:val="0"/>
          <w:color w:val="000000"/>
          <w:sz w:val="28"/>
        </w:rPr>
        <w:t>（一）安全与保密</w:t>
      </w:r>
      <w:bookmarkEnd w:id="50"/>
    </w:p>
    <w:p>
      <w:pPr>
        <w:widowControl/>
        <w:spacing w:lineRule="exact" w:line="480" w:before="0" w:after="0"/>
        <w:ind w:firstLine="480"/>
      </w:pPr>
      <w:r>
        <w:rPr>
          <w:rFonts w:ascii="SimSun" w:hAnsi="SimSun" w:eastAsia="宋体" w:cs="SimSun"/>
          <w:b w:val="0"/>
          <w:color w:val="000000"/>
          <w:sz w:val="24"/>
        </w:rPr>
        <w:t>平台按照甲方网络分区、身份认证、访问控制和数据保密要求部署。项目资料、模型、接口协议、测试结果和设计成果不得通过未授权渠道传输；敏感配置仅在服务端受控保存。核心人员按项目要求签署保密承诺，资料使用、导出和共享保留审批与审计记录。</w:t>
      </w:r>
    </w:p>
    <w:p>
      <w:pPr>
        <w:widowControl/>
        <w:spacing w:lineRule="exact" w:line="480" w:before="0" w:after="0"/>
        <w:ind w:firstLine="480"/>
      </w:pPr>
      <w:r>
        <w:rPr>
          <w:rFonts w:ascii="SimSun" w:hAnsi="SimSun" w:eastAsia="宋体" w:cs="SimSun"/>
          <w:b w:val="0"/>
          <w:color w:val="000000"/>
          <w:sz w:val="24"/>
        </w:rPr>
        <w:t>安全设计贯穿数据进入、业务处理、能力调用和成果输出全过程。访问控制同时校验用户身份、角色、项目成员关系和对象状态；智能能力只能读取任务明确引用且当前用户有权使用的资料；日志记录必要的操作元数据和错误分类，不记录密码、令牌或完整敏感正文；导出与跨系统传输执行权限复核、文件校验和接收确认。安全规则应通过越权访问、失效会话、错误项目引用和异常导出等场景验证。</w:t>
      </w:r>
    </w:p>
    <w:p>
      <w:pPr>
        <w:pStyle w:val="Heading2"/>
        <w:spacing w:lineRule="exact" w:line="480" w:before="0" w:after="0"/>
        <w:ind w:firstLine="0"/>
      </w:pPr>
      <w:bookmarkStart w:id="51" w:name="report_heading_051"/>
      <w:r>
        <w:rPr>
          <w:rFonts w:ascii="KaiTi" w:hAnsi="KaiTi" w:eastAsia="楷体" w:cs="KaiTi"/>
          <w:b w:val="0"/>
          <w:color w:val="000000"/>
          <w:sz w:val="28"/>
        </w:rPr>
        <w:t>（二）可追溯设计</w:t>
      </w:r>
      <w:bookmarkEnd w:id="51"/>
    </w:p>
    <w:p>
      <w:pPr>
        <w:widowControl/>
        <w:spacing w:lineRule="exact" w:line="480" w:before="0" w:after="0"/>
        <w:ind w:firstLine="480"/>
      </w:pPr>
      <w:r>
        <w:rPr>
          <w:rFonts w:ascii="SimSun" w:hAnsi="SimSun" w:eastAsia="宋体" w:cs="SimSun"/>
          <w:b w:val="0"/>
          <w:color w:val="000000"/>
          <w:sz w:val="24"/>
        </w:rPr>
        <w:t>平台为每个设计方案保留项目、区域、模块、输入资料、参数、规则版本、任务过程、输出结果、人工修订和评审结论。可追溯设计既服务于问题定位，也为研究评测、成果复用和合同验收提供证据。</w:t>
      </w:r>
    </w:p>
    <w:p>
      <w:pPr>
        <w:pStyle w:val="Heading2"/>
        <w:spacing w:lineRule="exact" w:line="480" w:before="0" w:after="0"/>
        <w:ind w:firstLine="0"/>
      </w:pPr>
      <w:bookmarkStart w:id="52" w:name="report_heading_052"/>
      <w:r>
        <w:rPr>
          <w:rFonts w:ascii="KaiTi" w:hAnsi="KaiTi" w:eastAsia="楷体" w:cs="KaiTi"/>
          <w:b w:val="0"/>
          <w:color w:val="000000"/>
          <w:sz w:val="28"/>
        </w:rPr>
        <w:t>（三）运行保障</w:t>
      </w:r>
      <w:bookmarkEnd w:id="52"/>
    </w:p>
    <w:p>
      <w:pPr>
        <w:widowControl/>
        <w:spacing w:lineRule="exact" w:line="480" w:before="0" w:after="0"/>
        <w:ind w:firstLine="480"/>
      </w:pPr>
      <w:r>
        <w:rPr>
          <w:rFonts w:ascii="SimSun" w:hAnsi="SimSun" w:eastAsia="宋体" w:cs="SimSun"/>
          <w:b w:val="0"/>
          <w:color w:val="000000"/>
          <w:sz w:val="24"/>
        </w:rPr>
        <w:t>运行保障包括服务监控、任务监控、容量预警、日志留存、数据备份、恢复演练、版本升级和故障回退。正式运行前应明确服务等级、数据保留期限、备份频率、恢复目标和问题处置机制，并在目标环境中完成验证。</w:t>
      </w:r>
    </w:p>
    <w:p>
      <w:pPr>
        <w:pStyle w:val="Heading1"/>
        <w:spacing w:lineRule="exact" w:line="480" w:before="0" w:after="0"/>
        <w:ind w:firstLine="0"/>
      </w:pPr>
      <w:bookmarkStart w:id="53" w:name="report_heading_053"/>
      <w:r>
        <w:rPr>
          <w:rFonts w:ascii="SimHei" w:hAnsi="SimHei" w:eastAsia="黑体" w:cs="SimHei"/>
          <w:b/>
          <w:color w:val="000000"/>
          <w:sz w:val="28"/>
        </w:rPr>
        <w:t>十二、实施技术路线与进度计划</w:t>
      </w:r>
      <w:bookmarkEnd w:id="53"/>
    </w:p>
    <w:p>
      <w:pPr>
        <w:pStyle w:val="Heading2"/>
        <w:spacing w:lineRule="exact" w:line="480" w:before="0" w:after="0"/>
        <w:ind w:firstLine="0"/>
      </w:pPr>
      <w:bookmarkStart w:id="54" w:name="report_heading_054"/>
      <w:r>
        <w:rPr>
          <w:rFonts w:ascii="KaiTi" w:hAnsi="KaiTi" w:eastAsia="楷体" w:cs="KaiTi"/>
          <w:b w:val="0"/>
          <w:color w:val="000000"/>
          <w:sz w:val="28"/>
        </w:rPr>
        <w:t>（一）总体实施路线</w:t>
      </w:r>
      <w:bookmarkEnd w:id="54"/>
    </w:p>
    <w:p>
      <w:pPr>
        <w:widowControl/>
        <w:spacing w:lineRule="exact" w:line="480" w:before="0" w:after="0"/>
        <w:ind w:firstLine="480"/>
      </w:pPr>
      <w:r>
        <w:rPr>
          <w:rFonts w:ascii="SimSun" w:hAnsi="SimSun" w:eastAsia="宋体" w:cs="SimSun"/>
          <w:b w:val="0"/>
          <w:color w:val="000000"/>
          <w:sz w:val="24"/>
        </w:rPr>
        <w:t>实施按照“需求与数据梳理—关键技术研究—模块与规则体系建设—平台开发集成—联调验证—成果固化”推进。每个阶段设置输入条件、输出成果和评审门，不满足前置条件时不应直接进入下一阶段，以减少后期返工。</w:t>
      </w:r>
    </w:p>
    <w:p>
      <w:pPr>
        <w:widowControl/>
        <w:spacing w:lineRule="exact" w:line="480" w:before="0" w:after="0"/>
        <w:ind w:firstLine="480"/>
      </w:pPr>
      <w:r>
        <w:rPr>
          <w:rFonts w:ascii="SimSun" w:hAnsi="SimSun" w:eastAsia="宋体" w:cs="SimSun"/>
          <w:b w:val="0"/>
          <w:color w:val="000000"/>
          <w:sz w:val="24"/>
        </w:rPr>
        <w:t>标准与数据、关键技术、平台系统、测试交付四条工作流并行推进，并在阶段门汇合。第一阶段重点冻结研究范围、对象标准、数据条件、总体架构和评价方法；第二阶段以典型场景为牵引完成技术原型、核心功能、能力接入和分层测试；第三阶段完成产品平台协同、目标环境验证、资料固化和人员培训。阶段门评审同时检查成果内容、版本关系、问题闭环和下一阶段输入是否具备。</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4" name="Picture 14" descr="图 14 平台建设技术路线与阶段门"/>
            <wp:cNvGraphicFramePr>
              <a:graphicFrameLocks noChangeAspect="1"/>
            </wp:cNvGraphicFramePr>
            <a:graphic>
              <a:graphicData uri="http://schemas.openxmlformats.org/drawingml/2006/picture">
                <pic:pic>
                  <pic:nvPicPr>
                    <pic:cNvPr id="0" name="v2-1-figure-14-technical-roadmap.png"/>
                    <pic:cNvPicPr/>
                  </pic:nvPicPr>
                  <pic:blipFill>
                    <a:blip r:embed="rId26"/>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14 平台建设技术路线与阶段门</w:t>
      </w:r>
    </w:p>
    <w:p>
      <w:pPr>
        <w:pStyle w:val="Heading2"/>
        <w:spacing w:lineRule="exact" w:line="480" w:before="0" w:after="0"/>
        <w:ind w:firstLine="0"/>
      </w:pPr>
      <w:bookmarkStart w:id="55" w:name="report_heading_055"/>
      <w:r>
        <w:rPr>
          <w:rFonts w:ascii="KaiTi" w:hAnsi="KaiTi" w:eastAsia="楷体" w:cs="KaiTi"/>
          <w:b w:val="0"/>
          <w:color w:val="000000"/>
          <w:sz w:val="28"/>
        </w:rPr>
        <w:t>（二）阶段进度计划</w:t>
      </w:r>
      <w:bookmarkEnd w:id="55"/>
    </w:p>
    <w:p>
      <w:pPr>
        <w:pStyle w:val="Caption"/>
        <w:keepNext/>
        <w:jc w:val="center"/>
      </w:pPr>
      <w:r>
        <w:rPr>
          <w:rFonts w:ascii="SimSun" w:hAnsi="SimSun" w:eastAsia="宋体" w:cs="SimSun"/>
          <w:color w:val="000000"/>
          <w:sz w:val="24"/>
        </w:rPr>
        <w:t>表 11 建设阶段、主要工作与里程碑</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1794"/>
        <w:gridCol w:w="1794"/>
        <w:gridCol w:w="1794"/>
        <w:gridCol w:w="1794"/>
        <w:gridCol w:w="1796"/>
      </w:tblGrid>
      <w:tr>
        <w:trPr>
          <w:cantSplit w:val="true"/>
          <w:tblHeader w:val="true"/>
        </w:trPr>
        <w:tc>
          <w:tcPr>
            <w:tcW w:type="dxa" w:w="179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阶段</w:t>
            </w:r>
          </w:p>
        </w:tc>
        <w:tc>
          <w:tcPr>
            <w:tcW w:type="dxa" w:w="179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计划节点</w:t>
            </w:r>
          </w:p>
        </w:tc>
        <w:tc>
          <w:tcPr>
            <w:tcW w:type="dxa" w:w="179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主要工作</w:t>
            </w:r>
          </w:p>
        </w:tc>
        <w:tc>
          <w:tcPr>
            <w:tcW w:type="dxa" w:w="179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主要成果</w:t>
            </w:r>
          </w:p>
        </w:tc>
        <w:tc>
          <w:tcPr>
            <w:tcW w:type="dxa" w:w="1796"/>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阶段门</w:t>
            </w:r>
          </w:p>
        </w:tc>
      </w:tr>
      <w:tr>
        <w:trPr>
          <w:cantSplit w:val="true"/>
        </w:trPr>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第一阶段：研究与总体设计</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2026-09-30前</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需求、数据、分区识别、快速设计关键技术和总体架构研究</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研究报告、总体架构、技术路线、功能蓝图和数据方案</w:t>
            </w:r>
          </w:p>
        </w:tc>
        <w:tc>
          <w:tcPr>
            <w:tcW w:type="dxa" w:w="179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研究报告通过专家评审，建设范围和路线获得确认</w:t>
            </w:r>
          </w:p>
        </w:tc>
      </w:tr>
      <w:tr>
        <w:trPr>
          <w:cantSplit w:val="true"/>
        </w:trPr>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第二阶段：平台构建与检测</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2026-10至2026-12-31</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模块与规则整理、核心功能开发、外部能力接入、内部联调和第三方检测</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快速设计系统阶段版本、测试资料和问题闭环</w:t>
            </w:r>
          </w:p>
        </w:tc>
        <w:tc>
          <w:tcPr>
            <w:tcW w:type="dxa" w:w="179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主要功能完成，第三方检测和甲方阶段验收通过</w:t>
            </w:r>
          </w:p>
        </w:tc>
      </w:tr>
      <w:tr>
        <w:trPr>
          <w:cantSplit w:val="true"/>
        </w:trPr>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第三阶段：完善、集成与交付</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2027-01至2027-03-31</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产品平台接口、系统测试、性能安全优化、资料固化和培训</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交付系统、源程序、使用手册、软著及验收材料</w:t>
            </w:r>
          </w:p>
        </w:tc>
        <w:tc>
          <w:tcPr>
            <w:tcW w:type="dxa" w:w="179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系统测试和最终验收通过，成果完成归档移交</w:t>
            </w:r>
          </w:p>
        </w:tc>
      </w:tr>
    </w:tbl>
    <w:p>
      <w:pPr>
        <w:pStyle w:val="Heading2"/>
        <w:spacing w:lineRule="exact" w:line="480" w:before="0" w:after="0"/>
        <w:ind w:firstLine="0"/>
      </w:pPr>
      <w:bookmarkStart w:id="56" w:name="report_heading_056"/>
      <w:r>
        <w:rPr>
          <w:rFonts w:ascii="KaiTi" w:hAnsi="KaiTi" w:eastAsia="楷体" w:cs="KaiTi"/>
          <w:b w:val="0"/>
          <w:color w:val="000000"/>
          <w:sz w:val="28"/>
        </w:rPr>
        <w:t>（三）近期工作分解</w:t>
      </w:r>
      <w:bookmarkEnd w:id="56"/>
    </w:p>
    <w:p>
      <w:pPr>
        <w:pStyle w:val="ListParagraph"/>
        <w:spacing w:lineRule="exact" w:line="480" w:before="0" w:after="0"/>
        <w:ind w:firstLine="0"/>
        <w:numPr>
          <w:ilvl w:val="0"/>
          <w:numId w:val="12"/>
        </w:numPr>
      </w:pPr>
      <w:r>
        <w:rPr>
          <w:rFonts w:ascii="SimSun" w:hAnsi="SimSun" w:eastAsia="宋体" w:cs="SimSun"/>
          <w:b w:val="0"/>
          <w:color w:val="000000"/>
          <w:sz w:val="24"/>
        </w:rPr>
        <w:t>完成客室区域、四级模块、属性、接口和编码规则评审。</w:t>
      </w:r>
    </w:p>
    <w:p>
      <w:pPr>
        <w:pStyle w:val="ListParagraph"/>
        <w:spacing w:lineRule="exact" w:line="480" w:before="0" w:after="0"/>
        <w:ind w:firstLine="0"/>
        <w:numPr>
          <w:ilvl w:val="0"/>
          <w:numId w:val="12"/>
        </w:numPr>
      </w:pPr>
      <w:r>
        <w:rPr>
          <w:rFonts w:ascii="SimSun" w:hAnsi="SimSun" w:eastAsia="宋体" w:cs="SimSun"/>
          <w:b w:val="0"/>
          <w:color w:val="000000"/>
          <w:sz w:val="24"/>
        </w:rPr>
        <w:t>建立数据清单、样本分层、标注规范和数据授权记录。</w:t>
      </w:r>
    </w:p>
    <w:p>
      <w:pPr>
        <w:pStyle w:val="ListParagraph"/>
        <w:spacing w:lineRule="exact" w:line="480" w:before="0" w:after="0"/>
        <w:ind w:firstLine="0"/>
        <w:numPr>
          <w:ilvl w:val="0"/>
          <w:numId w:val="12"/>
        </w:numPr>
      </w:pPr>
      <w:r>
        <w:rPr>
          <w:rFonts w:ascii="SimSun" w:hAnsi="SimSun" w:eastAsia="宋体" w:cs="SimSun"/>
          <w:b w:val="0"/>
          <w:color w:val="000000"/>
          <w:sz w:val="24"/>
        </w:rPr>
        <w:t>选取侧墙、顶部、地板等典型场景开展识别和快速设计原型验证。</w:t>
      </w:r>
    </w:p>
    <w:p>
      <w:pPr>
        <w:pStyle w:val="ListParagraph"/>
        <w:spacing w:lineRule="exact" w:line="480" w:before="0" w:after="0"/>
        <w:ind w:firstLine="0"/>
        <w:numPr>
          <w:ilvl w:val="0"/>
          <w:numId w:val="12"/>
        </w:numPr>
      </w:pPr>
      <w:r>
        <w:rPr>
          <w:rFonts w:ascii="SimSun" w:hAnsi="SimSun" w:eastAsia="宋体" w:cs="SimSun"/>
          <w:b w:val="0"/>
          <w:color w:val="000000"/>
          <w:sz w:val="24"/>
        </w:rPr>
        <w:t>固化项目、资源、任务、方案、规则和评价对象及其关系。</w:t>
      </w:r>
    </w:p>
    <w:p>
      <w:pPr>
        <w:pStyle w:val="ListParagraph"/>
        <w:spacing w:lineRule="exact" w:line="480" w:before="0" w:after="0"/>
        <w:ind w:firstLine="0"/>
        <w:numPr>
          <w:ilvl w:val="0"/>
          <w:numId w:val="12"/>
        </w:numPr>
      </w:pPr>
      <w:r>
        <w:rPr>
          <w:rFonts w:ascii="SimSun" w:hAnsi="SimSun" w:eastAsia="宋体" w:cs="SimSun"/>
          <w:b w:val="0"/>
          <w:color w:val="000000"/>
          <w:sz w:val="24"/>
        </w:rPr>
        <w:t>完成平台概要设计、功能原型、接口清单和部署条件确认。</w:t>
      </w:r>
    </w:p>
    <w:p>
      <w:pPr>
        <w:pStyle w:val="ListParagraph"/>
        <w:spacing w:lineRule="exact" w:line="480" w:before="0" w:after="0"/>
        <w:ind w:firstLine="0"/>
        <w:numPr>
          <w:ilvl w:val="0"/>
          <w:numId w:val="12"/>
        </w:numPr>
      </w:pPr>
      <w:r>
        <w:rPr>
          <w:rFonts w:ascii="SimSun" w:hAnsi="SimSun" w:eastAsia="宋体" w:cs="SimSun"/>
          <w:b w:val="0"/>
          <w:color w:val="000000"/>
          <w:sz w:val="24"/>
        </w:rPr>
        <w:t>建立需求—设计—功能—测试—交付的追踪矩阵。</w:t>
      </w:r>
    </w:p>
    <w:p>
      <w:pPr>
        <w:pStyle w:val="Heading2"/>
        <w:spacing w:lineRule="exact" w:line="480" w:before="0" w:after="0"/>
        <w:ind w:firstLine="0"/>
      </w:pPr>
      <w:bookmarkStart w:id="57" w:name="report_heading_057"/>
      <w:r>
        <w:rPr>
          <w:rFonts w:ascii="KaiTi" w:hAnsi="KaiTi" w:eastAsia="楷体" w:cs="KaiTi"/>
          <w:b w:val="0"/>
          <w:color w:val="000000"/>
          <w:sz w:val="28"/>
        </w:rPr>
        <w:t>（四）项目组织与沟通</w:t>
      </w:r>
      <w:bookmarkEnd w:id="57"/>
    </w:p>
    <w:p>
      <w:pPr>
        <w:widowControl/>
        <w:spacing w:lineRule="exact" w:line="480" w:before="0" w:after="0"/>
        <w:ind w:firstLine="480"/>
      </w:pPr>
      <w:r>
        <w:rPr>
          <w:rFonts w:ascii="SimSun" w:hAnsi="SimSun" w:eastAsia="宋体" w:cs="SimSun"/>
          <w:b w:val="0"/>
          <w:color w:val="000000"/>
          <w:sz w:val="24"/>
        </w:rPr>
        <w:t>项目组织建议设置项目负责人、技术负责人、算法与数据负责人、系统设计与开发负责人、测试负责人和实施培训负责人。项目启动后按合同要求提交实施计划，定期汇报完成情况、下一步安排、问题和风险；重大变更和关键接口条件以书面方式确认。</w:t>
      </w:r>
    </w:p>
    <w:p>
      <w:pPr>
        <w:pStyle w:val="Heading1"/>
        <w:spacing w:lineRule="exact" w:line="480" w:before="0" w:after="0"/>
        <w:ind w:firstLine="0"/>
      </w:pPr>
      <w:bookmarkStart w:id="58" w:name="report_heading_058"/>
      <w:r>
        <w:rPr>
          <w:rFonts w:ascii="SimHei" w:hAnsi="SimHei" w:eastAsia="黑体" w:cs="SimHei"/>
          <w:b/>
          <w:color w:val="000000"/>
          <w:sz w:val="28"/>
        </w:rPr>
        <w:t>十三、验证方法与验收建议</w:t>
      </w:r>
      <w:bookmarkEnd w:id="58"/>
    </w:p>
    <w:p>
      <w:pPr>
        <w:pStyle w:val="Heading2"/>
        <w:spacing w:lineRule="exact" w:line="480" w:before="0" w:after="0"/>
        <w:ind w:firstLine="0"/>
      </w:pPr>
      <w:bookmarkStart w:id="59" w:name="report_heading_059"/>
      <w:r>
        <w:rPr>
          <w:rFonts w:ascii="KaiTi" w:hAnsi="KaiTi" w:eastAsia="楷体" w:cs="KaiTi"/>
          <w:b w:val="0"/>
          <w:color w:val="000000"/>
          <w:sz w:val="28"/>
        </w:rPr>
        <w:t>（一）分层验证方法</w:t>
      </w:r>
      <w:bookmarkEnd w:id="59"/>
    </w:p>
    <w:p>
      <w:pPr>
        <w:widowControl/>
        <w:spacing w:lineRule="exact" w:line="480" w:before="0" w:after="0"/>
        <w:ind w:firstLine="480"/>
      </w:pPr>
      <w:r>
        <w:rPr>
          <w:rFonts w:ascii="SimSun" w:hAnsi="SimSun" w:eastAsia="宋体" w:cs="SimSun"/>
          <w:b w:val="0"/>
          <w:color w:val="000000"/>
          <w:sz w:val="24"/>
        </w:rPr>
        <w:t>验证分为算法与规则验证、模块功能验证、系统集成验证、业务场景验证和验收资料核查。算法验证关注识别和评价指标，功能验证关注输入输出与异常处理，集成验证关注数据和状态一致性，场景验证关注设计人员能否完成完整任务，验收核查关注成果物和证据是否齐全。</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5" name="Picture 15" descr="图 15 从关键技术到验收证据的验证体系"/>
            <wp:cNvGraphicFramePr>
              <a:graphicFrameLocks noChangeAspect="1"/>
            </wp:cNvGraphicFramePr>
            <a:graphic>
              <a:graphicData uri="http://schemas.openxmlformats.org/drawingml/2006/picture">
                <pic:pic>
                  <pic:nvPicPr>
                    <pic:cNvPr id="0" name="v2-1-figure-15-verification-system.png"/>
                    <pic:cNvPicPr/>
                  </pic:nvPicPr>
                  <pic:blipFill>
                    <a:blip r:embed="rId27"/>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15 从关键技术到验收证据的验证体系</w:t>
      </w:r>
    </w:p>
    <w:p>
      <w:pPr>
        <w:pStyle w:val="Caption"/>
        <w:keepNext/>
        <w:jc w:val="center"/>
      </w:pPr>
      <w:r>
        <w:rPr>
          <w:rFonts w:ascii="SimSun" w:hAnsi="SimSun" w:eastAsia="宋体" w:cs="SimSun"/>
          <w:color w:val="000000"/>
          <w:sz w:val="24"/>
        </w:rPr>
        <w:t>表 12 建议验证指标与证据</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804"/>
        <w:gridCol w:w="3084"/>
        <w:gridCol w:w="3084"/>
      </w:tblGrid>
      <w:tr>
        <w:trPr>
          <w:cantSplit w:val="true"/>
          <w:tblHeader w:val="true"/>
        </w:trPr>
        <w:tc>
          <w:tcPr>
            <w:tcW w:type="dxa" w:w="280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验证维度</w:t>
            </w:r>
          </w:p>
        </w:tc>
        <w:tc>
          <w:tcPr>
            <w:tcW w:type="dxa" w:w="308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建议指标或检查项</w:t>
            </w:r>
          </w:p>
        </w:tc>
        <w:tc>
          <w:tcPr>
            <w:tcW w:type="dxa" w:w="308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主要证据</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技术可行性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识别精度、边界质量、人工修订时间、规则命中正确性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算法评测报告、样例和复核记录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功能完整性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约定功能完成率、正常与异常流程覆盖</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需求追踪矩阵、功能测试记录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流程可用性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典型任务成功率、平均操作时间、用户问题数</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场景测试、试用反馈和改进记录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系统质量</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测试用例通过率、严重缺陷、连续运行稳定性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测试报告、缺陷台账和运行监控</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安全合规</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身份、权限、数据隔离、审计、备份恢复</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安全测试、权限矩阵和恢复演练记录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交付完整性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报告、系统、源程序、手册和测试资料一致</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交付清单、版本清单和签收记录</w:t>
            </w:r>
          </w:p>
        </w:tc>
      </w:tr>
    </w:tbl>
    <w:p>
      <w:pPr>
        <w:pStyle w:val="Heading2"/>
        <w:spacing w:lineRule="exact" w:line="480" w:before="0" w:after="0"/>
        <w:ind w:firstLine="0"/>
      </w:pPr>
      <w:bookmarkStart w:id="60" w:name="report_heading_060"/>
      <w:r>
        <w:rPr>
          <w:rFonts w:ascii="KaiTi" w:hAnsi="KaiTi" w:eastAsia="楷体" w:cs="KaiTi"/>
          <w:b w:val="0"/>
          <w:color w:val="000000"/>
          <w:sz w:val="28"/>
        </w:rPr>
        <w:t>（二）典型验收场景</w:t>
      </w:r>
      <w:bookmarkEnd w:id="60"/>
    </w:p>
    <w:p>
      <w:pPr>
        <w:widowControl/>
        <w:spacing w:lineRule="exact" w:line="480" w:before="0" w:after="0"/>
        <w:ind w:firstLine="480"/>
      </w:pPr>
      <w:r>
        <w:rPr>
          <w:rFonts w:ascii="SimSun" w:hAnsi="SimSun" w:eastAsia="宋体" w:cs="SimSun"/>
          <w:b w:val="0"/>
          <w:color w:val="000000"/>
          <w:sz w:val="24"/>
        </w:rPr>
        <w:t>验收场景应覆盖项目建立、资料导入、分区候选识别、人工复核、参数配置、候选方案生成、规则冲突提示、跨区域检查、方案评价、成果入库、历史方案检索、版本比较、权限隔离、任务失败和恢复等完整流程。测试数据、环境、角色和预期结果需提前固化。</w:t>
      </w:r>
    </w:p>
    <w:p>
      <w:pPr>
        <w:widowControl/>
        <w:spacing w:lineRule="exact" w:line="480" w:before="0" w:after="0"/>
        <w:ind w:firstLine="480"/>
      </w:pPr>
      <w:r>
        <w:rPr>
          <w:rFonts w:ascii="SimSun" w:hAnsi="SimSun" w:eastAsia="宋体" w:cs="SimSun"/>
          <w:b w:val="0"/>
          <w:color w:val="000000"/>
          <w:sz w:val="24"/>
        </w:rPr>
        <w:t>验收用例按“前置条件—操作步骤—预期结果—实际结果—证据位置—问题状态”记录。每个关键场景同时验证正常路径、边界条件和失败恢复，涉及多角色协作时分别验证各角色可见范围和操作权限。测试结果与需求、功能模块、规则版本和交付成果建立对应关系，确保问题整改后能够定位受影响用例并完成复验。</w:t>
      </w:r>
    </w:p>
    <w:p>
      <w:pPr>
        <w:pStyle w:val="Heading2"/>
        <w:spacing w:lineRule="exact" w:line="480" w:before="0" w:after="0"/>
        <w:ind w:firstLine="0"/>
      </w:pPr>
      <w:bookmarkStart w:id="61" w:name="report_heading_061"/>
      <w:r>
        <w:rPr>
          <w:rFonts w:ascii="KaiTi" w:hAnsi="KaiTi" w:eastAsia="楷体" w:cs="KaiTi"/>
          <w:b w:val="0"/>
          <w:color w:val="000000"/>
          <w:sz w:val="28"/>
        </w:rPr>
        <w:t>（三）质量指标处理原则</w:t>
      </w:r>
      <w:bookmarkEnd w:id="61"/>
    </w:p>
    <w:p>
      <w:pPr>
        <w:widowControl/>
        <w:spacing w:lineRule="exact" w:line="480" w:before="0" w:after="0"/>
        <w:ind w:firstLine="480"/>
      </w:pPr>
      <w:r>
        <w:rPr>
          <w:rFonts w:ascii="SimSun" w:hAnsi="SimSun" w:eastAsia="宋体" w:cs="SimSun"/>
          <w:b w:val="0"/>
          <w:color w:val="000000"/>
          <w:sz w:val="24"/>
        </w:rPr>
        <w:t>合同规定的功能完成率、测试通过率、严重缺陷和稳定运行指标应通过可复核证据证明。合同、补充协议或后续书面文件对整改时限等要求不一致时，以最终生效文件为准，并在验收计划中明确起算条件、责任人和复验方式。</w:t>
      </w:r>
    </w:p>
    <w:p>
      <w:pPr>
        <w:pStyle w:val="Heading1"/>
        <w:spacing w:lineRule="exact" w:line="480" w:before="0" w:after="0"/>
        <w:ind w:firstLine="0"/>
      </w:pPr>
      <w:bookmarkStart w:id="62" w:name="report_heading_062"/>
      <w:r>
        <w:rPr>
          <w:rFonts w:ascii="SimHei" w:hAnsi="SimHei" w:eastAsia="黑体" w:cs="SimHei"/>
          <w:b/>
          <w:color w:val="000000"/>
          <w:sz w:val="28"/>
        </w:rPr>
        <w:t>十四、主要风险与控制措施</w:t>
      </w:r>
      <w:bookmarkEnd w:id="62"/>
    </w:p>
    <w:p>
      <w:pPr>
        <w:pStyle w:val="Caption"/>
        <w:keepNext/>
        <w:jc w:val="center"/>
      </w:pPr>
      <w:r>
        <w:rPr>
          <w:rFonts w:ascii="SimSun" w:hAnsi="SimSun" w:eastAsia="宋体" w:cs="SimSun"/>
          <w:color w:val="000000"/>
          <w:sz w:val="24"/>
        </w:rPr>
        <w:t>表 13 平台建设主要风险与控制措施</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243"/>
        <w:gridCol w:w="2243"/>
        <w:gridCol w:w="2243"/>
        <w:gridCol w:w="2243"/>
      </w:tblGrid>
      <w:tr>
        <w:trPr>
          <w:cantSplit w:val="true"/>
          <w:tblHeader w:val="true"/>
        </w:trPr>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风险</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可能影响</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预警信号</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控制措施</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数据不足或质量不稳定</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识别效果波动，难以形成可靠评测</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样本集中、标注分歧大、低质量资料占比高</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分层采样、标注复核、质量分级和数据补充计划</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模块与区域标准不统一</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数据无法关联，功能反复调整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同一对象多名称、多编码、边界争议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优先完成分类编码和数据字典评审</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智能结果与工程约束脱节</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方案不可制造或不可评审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规则冲突多、人工推翻率高</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结构化参数、硬约束过滤和人工终审</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外部能力不稳定</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任务积压、失败或结果不一致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超时增加、版本变化、输出格式漂移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适配层、能力版本、超时重试和替代方案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产品平台接口条件滞后</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联调延期、字段反复修改</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接口责任人和测试环境未明确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提前形成接口清单、模拟验证和书面确认</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范围扩张与进度冲突</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里程碑延期、质量下降</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新需求持续进入且无取舍</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变更评估、优先级和阶段范围冻结</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安全与授权不清</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数据无法使用或产生合规风险</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数据来源、许可或共享范围缺失</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数据授权清单、最小权限和导出审批</w:t>
            </w:r>
          </w:p>
        </w:tc>
      </w:tr>
    </w:tbl>
    <w:p>
      <w:pPr>
        <w:pStyle w:val="Heading2"/>
        <w:spacing w:lineRule="exact" w:line="480" w:before="0" w:after="0"/>
        <w:ind w:firstLine="0"/>
      </w:pPr>
      <w:bookmarkStart w:id="63" w:name="report_heading_063"/>
      <w:r>
        <w:rPr>
          <w:rFonts w:ascii="KaiTi" w:hAnsi="KaiTi" w:eastAsia="楷体" w:cs="KaiTi"/>
          <w:b w:val="0"/>
          <w:color w:val="000000"/>
          <w:sz w:val="28"/>
        </w:rPr>
        <w:t>（一）风险管理机制</w:t>
      </w:r>
      <w:bookmarkEnd w:id="63"/>
    </w:p>
    <w:p>
      <w:pPr>
        <w:widowControl/>
        <w:spacing w:lineRule="exact" w:line="480" w:before="0" w:after="0"/>
        <w:ind w:firstLine="480"/>
      </w:pPr>
      <w:r>
        <w:rPr>
          <w:rFonts w:ascii="SimSun" w:hAnsi="SimSun" w:eastAsia="宋体" w:cs="SimSun"/>
          <w:b w:val="0"/>
          <w:color w:val="000000"/>
          <w:sz w:val="24"/>
        </w:rPr>
        <w:t>项目建立风险台账，记录风险等级、责任人、触发条件、应对措施、计划日期和关闭证据。高风险事项纳入阶段评审，影响里程碑、数据安全或核心技术路线的风险及时向甲方报告并形成书面决策。</w:t>
      </w:r>
    </w:p>
    <w:p>
      <w:pPr>
        <w:pStyle w:val="Heading1"/>
        <w:spacing w:lineRule="exact" w:line="480" w:before="0" w:after="0"/>
        <w:ind w:firstLine="0"/>
      </w:pPr>
      <w:bookmarkStart w:id="64" w:name="report_heading_064"/>
      <w:r>
        <w:rPr>
          <w:rFonts w:ascii="SimHei" w:hAnsi="SimHei" w:eastAsia="黑体" w:cs="SimHei"/>
          <w:b/>
          <w:color w:val="000000"/>
          <w:sz w:val="28"/>
        </w:rPr>
        <w:t>十五、结论与建设建议</w:t>
      </w:r>
      <w:bookmarkEnd w:id="64"/>
    </w:p>
    <w:p>
      <w:pPr>
        <w:widowControl/>
        <w:spacing w:lineRule="exact" w:line="480" w:before="0" w:after="0"/>
        <w:ind w:firstLine="480"/>
      </w:pPr>
      <w:r>
        <w:rPr>
          <w:rFonts w:ascii="SimSun" w:hAnsi="SimSun" w:eastAsia="宋体" w:cs="SimSun"/>
          <w:b w:val="0"/>
          <w:color w:val="000000"/>
          <w:sz w:val="24"/>
        </w:rPr>
        <w:t>本报告围绕平台搭建的关键技术和实施方法，形成了从模块对象、多模态分区识别、快速设计、规则约束、跨区域优化到平台架构、数据底座、系统集成和验证计划的完整指导框架。其核心思想是以稳定的业务对象和平台治理承载可演进的智能能力，以人工复核和显式规则保证工程可用性，以项目资源、任务和版本关系保证全过程可追溯。</w:t>
      </w:r>
    </w:p>
    <w:p>
      <w:pPr>
        <w:widowControl/>
        <w:spacing w:lineRule="exact" w:line="480" w:before="0" w:after="0"/>
        <w:ind w:firstLine="480"/>
      </w:pPr>
      <w:r>
        <w:rPr>
          <w:rFonts w:ascii="SimSun" w:hAnsi="SimSun" w:eastAsia="宋体" w:cs="SimSun"/>
          <w:b w:val="0"/>
          <w:color w:val="000000"/>
          <w:sz w:val="24"/>
        </w:rPr>
        <w:t>后续建设应优先完成区域与四级模块标准、数据清单、标注规范、规则参数和典型场景定义，在此基础上同步推进识别原型、快速设计闭环和平台支撑能力。第一阶段重点固化研究结论和总体设计；第二阶段围绕核心功能、能力接入和检测形成可运行系统；第三阶段完成产品平台集成、系统级验证和成果交付。所有阶段均应以可检查的成果和证据关闭，而不以页面展示或模型单次成功替代工程完成判定。</w:t>
      </w:r>
    </w:p>
    <w:p>
      <w:pPr>
        <w:pStyle w:val="Heading1"/>
        <w:spacing w:lineRule="exact" w:line="480" w:before="0" w:after="0"/>
        <w:ind w:firstLine="0"/>
      </w:pPr>
      <w:bookmarkStart w:id="65" w:name="report_heading_065"/>
      <w:r>
        <w:rPr>
          <w:rFonts w:ascii="SimHei" w:hAnsi="SimHei" w:eastAsia="黑体" w:cs="SimHei"/>
          <w:b/>
          <w:color w:val="000000"/>
          <w:sz w:val="28"/>
        </w:rPr>
        <w:t>附录 A 甲方关注事项与报告章节对应表</w:t>
      </w:r>
      <w:bookmarkEnd w:id="65"/>
    </w:p>
    <w:p>
      <w:pPr>
        <w:pStyle w:val="Caption"/>
        <w:keepNext/>
        <w:jc w:val="center"/>
      </w:pPr>
      <w:r>
        <w:rPr>
          <w:rFonts w:ascii="SimSun" w:hAnsi="SimSun" w:eastAsia="宋体" w:cs="SimSun"/>
          <w:color w:val="000000"/>
          <w:sz w:val="24"/>
        </w:rPr>
        <w:t>表 14 甲方要求追踪矩阵</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991"/>
        <w:gridCol w:w="2991"/>
        <w:gridCol w:w="2990"/>
      </w:tblGrid>
      <w:tr>
        <w:trPr>
          <w:cantSplit w:val="true"/>
          <w:tblHeader w:val="true"/>
        </w:trPr>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甲方关注事项</w:t>
            </w:r>
          </w:p>
        </w:tc>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对应章节</w:t>
            </w:r>
          </w:p>
        </w:tc>
        <w:tc>
          <w:tcPr>
            <w:tcW w:type="dxa" w:w="299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本报告落实说明</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聚焦平台搭建技术点</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第五、六、七章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系统论述分区识别、多模态应用、参数化与规则化快速设计关键技术</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说明平台搭建架构</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第四、九、十章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给出分层架构、服务边界、数据底座、部署和接口设计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明确技术路线</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第三、十二章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给出研究主线、实施路线、阶段门和近期任务分解</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明确功能模块</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第八章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给出功能地图、主要输入输出、典型场景和角色职责</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明确搭建进度计划</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第十二章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对齐三阶段时间节点、主要工作、成果和完成条件</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报告作为建设前指导文件</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第一章及全文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将建设要求细化到对象、数据、技术、功能、实施和验证方法</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图文并茂</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全文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统一设置15幅技术图和14张数据表，并在正文中逐一引用</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可用于后续落地与验收</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第十至十四章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明确接口、安全、运行、验证、证据和风险控制方法</w:t>
            </w:r>
          </w:p>
        </w:tc>
      </w:tr>
    </w:tbl>
    <w:p>
      <w:pPr>
        <w:pStyle w:val="Heading1"/>
        <w:spacing w:lineRule="exact" w:line="480" w:before="0" w:after="0"/>
        <w:ind w:firstLine="0"/>
      </w:pPr>
      <w:bookmarkStart w:id="66" w:name="report_heading_066"/>
      <w:r>
        <w:rPr>
          <w:rFonts w:ascii="SimHei" w:hAnsi="SimHei" w:eastAsia="黑体" w:cs="SimHei"/>
          <w:b/>
          <w:color w:val="000000"/>
          <w:sz w:val="28"/>
        </w:rPr>
        <w:t>附录 B 后续详细设计输入清单</w:t>
      </w:r>
      <w:bookmarkEnd w:id="66"/>
    </w:p>
    <w:p>
      <w:pPr>
        <w:pStyle w:val="ListParagraph"/>
        <w:spacing w:lineRule="exact" w:line="480" w:before="0" w:after="0"/>
        <w:ind w:firstLine="0"/>
        <w:numPr>
          <w:ilvl w:val="0"/>
          <w:numId w:val="13"/>
        </w:numPr>
      </w:pPr>
      <w:r>
        <w:rPr>
          <w:rFonts w:ascii="SimSun" w:hAnsi="SimSun" w:eastAsia="宋体" w:cs="SimSun"/>
          <w:b w:val="0"/>
          <w:color w:val="000000"/>
          <w:sz w:val="24"/>
        </w:rPr>
        <w:t>经确认的区域分类、四级模块清单、编码规则和对象数据字典。</w:t>
      </w:r>
    </w:p>
    <w:p>
      <w:pPr>
        <w:pStyle w:val="ListParagraph"/>
        <w:spacing w:lineRule="exact" w:line="480" w:before="0" w:after="0"/>
        <w:ind w:firstLine="0"/>
        <w:numPr>
          <w:ilvl w:val="0"/>
          <w:numId w:val="13"/>
        </w:numPr>
      </w:pPr>
      <w:r>
        <w:rPr>
          <w:rFonts w:ascii="SimSun" w:hAnsi="SimSun" w:eastAsia="宋体" w:cs="SimSun"/>
          <w:b w:val="0"/>
          <w:color w:val="000000"/>
          <w:sz w:val="24"/>
        </w:rPr>
        <w:t>数据来源、样本规模、质量等级、授权范围和标注规范。</w:t>
      </w:r>
    </w:p>
    <w:p>
      <w:pPr>
        <w:pStyle w:val="ListParagraph"/>
        <w:spacing w:lineRule="exact" w:line="480" w:before="0" w:after="0"/>
        <w:ind w:firstLine="0"/>
        <w:numPr>
          <w:ilvl w:val="0"/>
          <w:numId w:val="13"/>
        </w:numPr>
      </w:pPr>
      <w:r>
        <w:rPr>
          <w:rFonts w:ascii="SimSun" w:hAnsi="SimSun" w:eastAsia="宋体" w:cs="SimSun"/>
          <w:b w:val="0"/>
          <w:color w:val="000000"/>
          <w:sz w:val="24"/>
        </w:rPr>
        <w:t>典型车型、典型区域、典型设计任务和验收样例。</w:t>
      </w:r>
    </w:p>
    <w:p>
      <w:pPr>
        <w:pStyle w:val="ListParagraph"/>
        <w:spacing w:lineRule="exact" w:line="480" w:before="0" w:after="0"/>
        <w:ind w:firstLine="0"/>
        <w:numPr>
          <w:ilvl w:val="0"/>
          <w:numId w:val="13"/>
        </w:numPr>
      </w:pPr>
      <w:r>
        <w:rPr>
          <w:rFonts w:ascii="SimSun" w:hAnsi="SimSun" w:eastAsia="宋体" w:cs="SimSun"/>
          <w:b w:val="0"/>
          <w:color w:val="000000"/>
          <w:sz w:val="24"/>
        </w:rPr>
        <w:t>设计参数、硬约束、条件规则、软目标和例外审批机制。</w:t>
      </w:r>
    </w:p>
    <w:p>
      <w:pPr>
        <w:pStyle w:val="ListParagraph"/>
        <w:spacing w:lineRule="exact" w:line="480" w:before="0" w:after="0"/>
        <w:ind w:firstLine="0"/>
        <w:numPr>
          <w:ilvl w:val="0"/>
          <w:numId w:val="13"/>
        </w:numPr>
      </w:pPr>
      <w:r>
        <w:rPr>
          <w:rFonts w:ascii="SimSun" w:hAnsi="SimSun" w:eastAsia="宋体" w:cs="SimSun"/>
          <w:b w:val="0"/>
          <w:color w:val="000000"/>
          <w:sz w:val="24"/>
        </w:rPr>
        <w:t>既有产品平台的主数据、接口字段、身份方式和测试环境。</w:t>
      </w:r>
    </w:p>
    <w:p>
      <w:pPr>
        <w:pStyle w:val="ListParagraph"/>
        <w:spacing w:lineRule="exact" w:line="480" w:before="0" w:after="0"/>
        <w:ind w:firstLine="0"/>
        <w:numPr>
          <w:ilvl w:val="0"/>
          <w:numId w:val="13"/>
        </w:numPr>
      </w:pPr>
      <w:r>
        <w:rPr>
          <w:rFonts w:ascii="SimSun" w:hAnsi="SimSun" w:eastAsia="宋体" w:cs="SimSun"/>
          <w:b w:val="0"/>
          <w:color w:val="000000"/>
          <w:sz w:val="24"/>
        </w:rPr>
        <w:t>模型能力、计算资源、网络分区、存储容量和安全要求。</w:t>
      </w:r>
    </w:p>
    <w:p>
      <w:pPr>
        <w:pStyle w:val="ListParagraph"/>
        <w:spacing w:lineRule="exact" w:line="480" w:before="0" w:after="0"/>
        <w:ind w:firstLine="0"/>
        <w:numPr>
          <w:ilvl w:val="0"/>
          <w:numId w:val="13"/>
        </w:numPr>
      </w:pPr>
      <w:r>
        <w:rPr>
          <w:rFonts w:ascii="SimSun" w:hAnsi="SimSun" w:eastAsia="宋体" w:cs="SimSun"/>
          <w:b w:val="0"/>
          <w:color w:val="000000"/>
          <w:sz w:val="24"/>
        </w:rPr>
        <w:t>用户角色、项目权限、成果共享、审计和保密要求。</w:t>
      </w:r>
    </w:p>
    <w:p>
      <w:pPr>
        <w:pStyle w:val="ListParagraph"/>
        <w:spacing w:lineRule="exact" w:line="480" w:before="0" w:after="0"/>
        <w:ind w:firstLine="0"/>
        <w:numPr>
          <w:ilvl w:val="0"/>
          <w:numId w:val="13"/>
        </w:numPr>
      </w:pPr>
      <w:r>
        <w:rPr>
          <w:rFonts w:ascii="SimSun" w:hAnsi="SimSun" w:eastAsia="宋体" w:cs="SimSun"/>
          <w:b w:val="0"/>
          <w:color w:val="000000"/>
          <w:sz w:val="24"/>
        </w:rPr>
        <w:t>阶段里程碑、交付物、质量指标、评审组织和整改流程。</w:t>
      </w:r>
    </w:p>
    <w:sectPr w:rsidR="00FC693F" w:rsidRPr="0006063C" w:rsidSect="00034616">
      <w:headerReference w:type="default" r:id="rId11"/>
      <w:footerReference w:type="default" r:id="rId12"/>
      <w:pgSz w:w="11906" w:h="16838"/>
      <w:pgMar w:top="1417" w:right="1361" w:bottom="1417" w:left="1474"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80" w:before="0" w:after="0"/>
      <w:ind w:firstLine="0"/>
      <w:jc w:val="right"/>
    </w:pPr>
    <w:r>
      <w:rPr>
        <w:rFonts w:ascii="SimSun" w:hAnsi="SimSun" w:eastAsia="宋体" w:cs="SimSun"/>
        <w:color w:val="000000"/>
        <w:sz w:val="18"/>
      </w:rPr>
      <w:t xml:space="preserve">第 </w:t>
    </w:r>
    <w:r>
      <w:rPr>
        <w:rFonts w:ascii="SimSun" w:hAnsi="SimSun" w:eastAsia="宋体" w:cs="SimSun"/>
        <w:color w:val="000000"/>
        <w:sz w:val="18"/>
      </w:rPr>
      <w:fldChar w:fldCharType="begin"/>
    </w:r>
    <w:r>
      <w:rPr>
        <w:rFonts w:ascii="SimSun" w:hAnsi="SimSun" w:eastAsia="宋体" w:cs="SimSun"/>
        <w:color w:val="000000"/>
        <w:sz w:val="18"/>
      </w:rPr>
      <w:instrText xml:space="preserve"> PAGE </w:instrText>
    </w:r>
    <w:r>
      <w:rPr>
        <w:rFonts w:ascii="SimSun" w:hAnsi="SimSun" w:eastAsia="宋体" w:cs="SimSun"/>
        <w:color w:val="000000"/>
        <w:sz w:val="18"/>
      </w:rPr>
      <w:fldChar w:fldCharType="separate"/>
    </w:r>
    <w:r>
      <w:rPr>
        <w:rFonts w:ascii="SimSun" w:hAnsi="SimSun" w:eastAsia="宋体" w:cs="SimSun"/>
        <w:color w:val="000000"/>
        <w:sz w:val="18"/>
      </w:rPr>
      <w:t>1</w:t>
    </w:r>
    <w:r>
      <w:rPr>
        <w:rFonts w:ascii="SimSun" w:hAnsi="SimSun" w:eastAsia="宋体" w:cs="SimSun"/>
        <w:color w:val="000000"/>
        <w:sz w:val="18"/>
      </w:rPr>
      <w:fldChar w:fldCharType="end"/>
    </w:r>
    <w:r>
      <w:rPr>
        <w:rFonts w:ascii="SimSun" w:hAnsi="SimSun" w:eastAsia="宋体" w:cs="SimSun"/>
        <w:color w:val="000000"/>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80" w:before="0" w:after="0"/>
      <w:ind w:firstLine="0"/>
      <w:jc w:val="right"/>
    </w:pPr>
    <w:r>
      <w:rPr>
        <w:rFonts w:ascii="SimSun" w:hAnsi="SimSun" w:eastAsia="宋体" w:cs="SimSun"/>
        <w:color w:val="000000"/>
        <w:sz w:val="18"/>
      </w:rPr>
      <w:t xml:space="preserve">第 </w:t>
    </w:r>
    <w:r>
      <w:rPr>
        <w:rFonts w:ascii="SimSun" w:hAnsi="SimSun" w:eastAsia="宋体" w:cs="SimSun"/>
        <w:color w:val="000000"/>
        <w:sz w:val="18"/>
      </w:rPr>
      <w:fldChar w:fldCharType="begin"/>
    </w:r>
    <w:r>
      <w:rPr>
        <w:rFonts w:ascii="SimSun" w:hAnsi="SimSun" w:eastAsia="宋体" w:cs="SimSun"/>
        <w:color w:val="000000"/>
        <w:sz w:val="18"/>
      </w:rPr>
      <w:instrText xml:space="preserve"> PAGE </w:instrText>
    </w:r>
    <w:r>
      <w:rPr>
        <w:rFonts w:ascii="SimSun" w:hAnsi="SimSun" w:eastAsia="宋体" w:cs="SimSun"/>
        <w:color w:val="000000"/>
        <w:sz w:val="18"/>
      </w:rPr>
      <w:fldChar w:fldCharType="separate"/>
    </w:r>
    <w:r>
      <w:rPr>
        <w:rFonts w:ascii="SimSun" w:hAnsi="SimSun" w:eastAsia="宋体" w:cs="SimSun"/>
        <w:color w:val="000000"/>
        <w:sz w:val="18"/>
      </w:rPr>
      <w:t>1</w:t>
    </w:r>
    <w:r>
      <w:rPr>
        <w:rFonts w:ascii="SimSun" w:hAnsi="SimSun" w:eastAsia="宋体" w:cs="SimSun"/>
        <w:color w:val="000000"/>
        <w:sz w:val="18"/>
      </w:rPr>
      <w:fldChar w:fldCharType="end"/>
    </w:r>
    <w:r>
      <w:rPr>
        <w:rFonts w:ascii="SimSun" w:hAnsi="SimSun" w:eastAsia="宋体" w:cs="SimSun"/>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480" w:hanging="240"/>
        <w:spacing w:before="0" w:after="0" w:line="480" w:lineRule="exact"/>
      </w:pPr>
    </w:lvl>
  </w:abstractNum>
  <w:num w:numId="10">
    <w:abstractNumId w:val="9"/>
  </w:num>
  <w:abstractNum w:abstractNumId="10">
    <w:multiLevelType w:val="singleLevel"/>
    <w:lvl w:ilvl="0">
      <w:start w:val="1"/>
      <w:numFmt w:val="decimal"/>
      <w:lvlText w:val="%1．"/>
      <w:suff w:val="space"/>
      <w:pPr>
        <w:ind w:left="480" w:hanging="240"/>
        <w:spacing w:before="0" w:after="0" w:line="480" w:lineRule="exact"/>
      </w:pPr>
    </w:lvl>
  </w:abstractNum>
  <w:num w:numId="11">
    <w:abstractNumId w:val="10"/>
  </w:num>
  <w:abstractNum w:abstractNumId="11">
    <w:multiLevelType w:val="singleLevel"/>
    <w:lvl w:ilvl="0">
      <w:start w:val="1"/>
      <w:numFmt w:val="decimal"/>
      <w:lvlText w:val="%1．"/>
      <w:suff w:val="space"/>
      <w:pPr>
        <w:ind w:left="480" w:hanging="240"/>
        <w:spacing w:before="0" w:after="0" w:line="480" w:lineRule="exact"/>
      </w:pPr>
    </w:lvl>
  </w:abstractNum>
  <w:num w:numId="12">
    <w:abstractNumId w:val="11"/>
  </w:num>
  <w:abstractNum w:abstractNumId="12">
    <w:multiLevelType w:val="singleLevel"/>
    <w:lvl w:ilvl="0">
      <w:start w:val="1"/>
      <w:numFmt w:val="decimal"/>
      <w:lvlText w:val="%1．"/>
      <w:suff w:val="space"/>
      <w:pPr>
        <w:ind w:left="480" w:hanging="240"/>
        <w:spacing w:before="0" w:after="0" w:line="480" w:lineRule="exact"/>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80" w:before="0" w:after="0"/>
      <w:ind w:firstLine="480"/>
      <w:jc w:val="both"/>
    </w:pPr>
    <w:rPr>
      <w:rFonts w:ascii="SimSun" w:hAnsi="SimSun" w:eastAsia="宋体" w:cs="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Rule="exact" w:line="480"/>
      <w:ind w:firstLine="0"/>
      <w:outlineLvl w:val="0"/>
    </w:pPr>
    <w:rPr>
      <w:rFonts w:ascii="SimHei" w:hAnsi="SimHei" w:eastAsia="黑体" w:cs="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Rule="exact" w:line="480"/>
      <w:ind w:firstLine="0"/>
      <w:outlineLvl w:val="1"/>
    </w:pPr>
    <w:rPr>
      <w:rFonts w:ascii="KaiTi" w:hAnsi="KaiTi" w:eastAsia="楷体" w:cs="KaiTi"/>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0" w:lineRule="exact" w:line="480"/>
      <w:ind w:firstLine="0"/>
      <w:outlineLvl w:val="2"/>
    </w:pPr>
    <w:rPr>
      <w:rFonts w:ascii="SimSun" w:hAnsi="SimSun" w:eastAsia="宋体" w:cs="SimSun"/>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after="0" w:lineRule="exact" w:line="480"/>
      <w:ind w:firstLine="0"/>
      <w:outlineLvl w:val="3"/>
    </w:pPr>
    <w:rPr>
      <w:rFonts w:ascii="SimSun" w:hAnsi="SimSun" w:eastAsia="宋体" w:cs="SimSun"/>
      <w:b w:val="0"/>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exact" w:line="480" w:before="0" w:after="0"/>
      <w:ind w:left="720" w:firstLine="0"/>
      <w:contextualSpacing/>
    </w:pPr>
    <w:rPr>
      <w:rFonts w:ascii="SimSun" w:hAnsi="SimSun" w:eastAsia="宋体" w:cs="SimSun"/>
      <w:color w:val="000000"/>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480" w:lineRule="exact" w:before="0" w:after="0"/>
      <w:ind w:firstLine="0"/>
      <w:jc w:val="center"/>
    </w:pPr>
    <w:rPr>
      <w:rFonts w:ascii="SimSun" w:hAnsi="SimSun" w:eastAsia="宋体" w:cs="SimSu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基于轨道交通客运装备的内装模块分区识别与快速设计系统构建研究报告</dc:title>
  <dc:subject>轨道交通客运装备内装模块分区识别与快速设计平台建设指导</dc:subject>
  <dc:creator>轨道客室智能设计平台项目组</dc:creator>
  <cp:keywords>轨道交通, 客室内装, 模块分区, 多模态识别, 快速设计, 平台架构</cp:keywords>
  <dc:description>文档编号 RAIL-CONTRACT-RP-001；版本 V2.2；建设指导评审稿</dc:description>
  <cp:lastModifiedBy/>
  <cp:revision>1</cp:revision>
  <dcterms:created xsi:type="dcterms:W3CDTF">2013-12-23T23:15:00Z</dcterms:created>
  <dcterms:modified xsi:type="dcterms:W3CDTF">2013-12-23T23:15:00Z</dcterms:modified>
  <cp:category/>
</cp:coreProperties>
</file>