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931DB">
      <w:pPr>
        <w:widowControl w:val="0"/>
        <w:spacing w:before="4800"/>
        <w:jc w:val="both"/>
        <w:rPr>
          <w:rFonts w:ascii="Arial" w:hAnsi="Arial" w:eastAsia="Arial" w:cs="Arial"/>
          <w:sz w:val="22"/>
          <w:szCs w:val="22"/>
        </w:rPr>
      </w:pPr>
    </w:p>
    <w:p w14:paraId="65DAF654">
      <w:pPr>
        <w:widowControl w:val="0"/>
        <w:spacing w:after="200"/>
        <w:jc w:val="center"/>
        <w:outlineLvl w:val="9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bCs/>
          <w:i w:val="0"/>
          <w:iCs w:val="0"/>
          <w:color w:val="1B3A5C"/>
          <w:sz w:val="52"/>
          <w:szCs w:val="52"/>
        </w:rPr>
        <w:t>大语言模型 Post-Training</w:t>
      </w:r>
    </w:p>
    <w:p w14:paraId="2187950F">
      <w:pPr>
        <w:widowControl w:val="0"/>
        <w:spacing w:after="400"/>
        <w:jc w:val="center"/>
        <w:outlineLvl w:val="9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bCs/>
          <w:i w:val="0"/>
          <w:iCs w:val="0"/>
          <w:color w:val="1B3A5C"/>
          <w:sz w:val="52"/>
          <w:szCs w:val="52"/>
        </w:rPr>
        <w:t>技术调研报告</w:t>
      </w:r>
    </w:p>
    <w:p w14:paraId="526EE7CC">
      <w:pPr>
        <w:widowControl w:val="0"/>
        <w:pBdr>
          <w:bottom w:val="single" w:color="2E75B6" w:sz="8" w:space="8"/>
        </w:pBdr>
        <w:spacing w:after="600"/>
        <w:jc w:val="center"/>
        <w:rPr>
          <w:rFonts w:ascii="Arial" w:hAnsi="Arial" w:eastAsia="Arial" w:cs="Arial"/>
          <w:sz w:val="22"/>
          <w:szCs w:val="22"/>
        </w:rPr>
      </w:pPr>
    </w:p>
    <w:p w14:paraId="3A49880E">
      <w:pPr>
        <w:widowControl w:val="0"/>
        <w:spacing w:after="200"/>
        <w:jc w:val="center"/>
        <w:outlineLvl w:val="9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666666"/>
          <w:sz w:val="28"/>
          <w:szCs w:val="28"/>
        </w:rPr>
        <w:t>Project2_TaskB_Survey</w:t>
      </w:r>
    </w:p>
    <w:p w14:paraId="5B7E51E9">
      <w:pPr>
        <w:widowControl w:val="0"/>
        <w:spacing w:after="200"/>
        <w:jc w:val="center"/>
        <w:outlineLvl w:val="9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/>
          <w:iCs/>
          <w:color w:val="2E75B6"/>
          <w:sz w:val="24"/>
          <w:szCs w:val="24"/>
        </w:rPr>
        <w:t>Fine-tuning · Alignment · Evaluation</w:t>
      </w:r>
    </w:p>
    <w:p w14:paraId="5868A395">
      <w:pPr>
        <w:widowControl w:val="0"/>
        <w:spacing w:before="1200"/>
        <w:jc w:val="center"/>
        <w:outlineLvl w:val="9"/>
        <w:rPr>
          <w:rFonts w:hint="default" w:ascii="Arial" w:hAnsi="Arial" w:eastAsia="宋体" w:cs="Arial"/>
          <w:sz w:val="22"/>
          <w:szCs w:val="22"/>
          <w:lang w:val="en-US" w:eastAsia="zh-CN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666666"/>
          <w:sz w:val="24"/>
          <w:szCs w:val="24"/>
        </w:rPr>
        <w:t>202</w:t>
      </w:r>
      <w:r>
        <w:rPr>
          <w:rFonts w:hint="eastAsia" w:ascii="Arial" w:hAnsi="Arial" w:eastAsia="宋体" w:cs="Arial"/>
          <w:b w:val="0"/>
          <w:bCs w:val="0"/>
          <w:i w:val="0"/>
          <w:iCs w:val="0"/>
          <w:color w:val="666666"/>
          <w:sz w:val="24"/>
          <w:szCs w:val="24"/>
          <w:lang w:val="en-US" w:eastAsia="zh-CN"/>
        </w:rPr>
        <w:t>6.6.13</w:t>
      </w:r>
    </w:p>
    <w:p w14:paraId="0C8435CF">
      <w:pPr>
        <w:widowControl w:val="0"/>
        <w:jc w:val="both"/>
        <w:rPr>
          <w:rFonts w:ascii="Arial" w:hAnsi="Arial" w:eastAsia="Arial" w:cs="Arial"/>
          <w:sz w:val="22"/>
          <w:szCs w:val="22"/>
        </w:rPr>
        <w:sectPr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2A7090FB">
      <w:pPr>
        <w:pStyle w:val="29"/>
        <w:pageBreakBefore/>
      </w:pPr>
      <w:r>
        <w:t>目</w:t>
      </w:r>
      <w:r>
        <w:rPr>
          <w:rFonts w:hint="eastAsia"/>
          <w:lang w:eastAsia="zh-CN"/>
        </w:rPr>
        <w:t xml:space="preserve">  </w:t>
      </w:r>
      <w:r>
        <w:t>录</w:t>
      </w:r>
    </w:p>
    <w:p w14:paraId="6DE28395">
      <w:pPr>
        <w:pStyle w:val="15"/>
        <w:tabs>
          <w:tab w:val="right" w:leader="dot" w:pos="902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_Toc8023 </w:instrText>
      </w:r>
      <w:r>
        <w:fldChar w:fldCharType="separate"/>
      </w:r>
      <w:r>
        <w:t>目录</w:t>
      </w:r>
      <w:r>
        <w:tab/>
      </w:r>
      <w:r>
        <w:rPr>
          <w:rFonts w:hint="eastAsia"/>
          <w:lang w:val="en-US" w:eastAsia="zh-CN"/>
        </w:rPr>
        <w:t>2</w:t>
      </w:r>
      <w:r>
        <w:fldChar w:fldCharType="end"/>
      </w:r>
    </w:p>
    <w:p w14:paraId="19695233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_Toc16079 </w:instrText>
      </w:r>
      <w:r>
        <w:fldChar w:fldCharType="separate"/>
      </w:r>
      <w:r>
        <w:t>1. 引言与背景</w:t>
      </w:r>
      <w:r>
        <w:tab/>
      </w:r>
      <w:r>
        <w:fldChar w:fldCharType="begin"/>
      </w:r>
      <w:r>
        <w:instrText xml:space="preserve"> PAGEREF _Toc16079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4FFA6DA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_Toc14783 </w:instrText>
      </w:r>
      <w:r>
        <w:fldChar w:fldCharType="separate"/>
      </w:r>
      <w:r>
        <w:t>1.1 为什么需要 Post-Training？</w:t>
      </w:r>
      <w:r>
        <w:tab/>
      </w:r>
      <w:r>
        <w:fldChar w:fldCharType="begin"/>
      </w:r>
      <w:r>
        <w:instrText xml:space="preserve"> PAGEREF _Toc14783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4781ED7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_Toc28819 </w:instrText>
      </w:r>
      <w:r>
        <w:fldChar w:fldCharType="separate"/>
      </w:r>
      <w:r>
        <w:rPr>
          <w:rFonts w:hint="eastAsia"/>
          <w:lang w:eastAsia="zh-CN"/>
        </w:rPr>
        <w:t xml:space="preserve">1.2 </w:t>
      </w:r>
      <w:r>
        <w:t>Post-Training 三阶段管线</w:t>
      </w:r>
      <w:r>
        <w:tab/>
      </w:r>
      <w:r>
        <w:fldChar w:fldCharType="begin"/>
      </w:r>
      <w:r>
        <w:instrText xml:space="preserve"> PAGEREF _Toc28819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DE81D71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_Toc31259 </w:instrText>
      </w:r>
      <w:r>
        <w:fldChar w:fldCharType="separate"/>
      </w:r>
      <w:r>
        <w:rPr>
          <w:rFonts w:hint="eastAsia"/>
          <w:lang w:eastAsia="zh-CN"/>
        </w:rPr>
        <w:t xml:space="preserve">1.3 </w:t>
      </w:r>
      <w:r>
        <w:t>本报告的组织方式</w:t>
      </w:r>
      <w:r>
        <w:tab/>
      </w:r>
      <w:r>
        <w:fldChar w:fldCharType="begin"/>
      </w:r>
      <w:r>
        <w:instrText xml:space="preserve"> PAGEREF _Toc31259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10A7557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_Toc9388 </w:instrText>
      </w:r>
      <w:r>
        <w:fldChar w:fldCharType="separate"/>
      </w:r>
      <w:r>
        <w:rPr>
          <w:rFonts w:hint="eastAsia"/>
          <w:lang w:eastAsia="zh-CN"/>
        </w:rPr>
        <w:t xml:space="preserve">2. </w:t>
      </w:r>
      <w:r>
        <w:t>小组分工</w:t>
      </w:r>
      <w:r>
        <w:tab/>
      </w:r>
      <w:r>
        <w:fldChar w:fldCharType="begin"/>
      </w:r>
      <w:r>
        <w:instrText xml:space="preserve"> PAGEREF _Toc9388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B096644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_Toc7150 </w:instrText>
      </w:r>
      <w:r>
        <w:fldChar w:fldCharType="separate"/>
      </w:r>
      <w:r>
        <w:rPr>
          <w:rFonts w:hint="eastAsia"/>
          <w:lang w:eastAsia="zh-CN"/>
        </w:rPr>
        <w:t xml:space="preserve">3. </w:t>
      </w:r>
      <w:r>
        <w:t>Post-Training 概述</w:t>
      </w:r>
      <w:r>
        <w:tab/>
      </w:r>
      <w:r>
        <w:fldChar w:fldCharType="begin"/>
      </w:r>
      <w:r>
        <w:instrText xml:space="preserve"> PAGEREF _Toc7150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FF568BB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_Toc11251 </w:instrText>
      </w:r>
      <w:r>
        <w:fldChar w:fldCharType="separate"/>
      </w:r>
      <w:r>
        <w:rPr>
          <w:rFonts w:hint="eastAsia"/>
          <w:lang w:eastAsia="zh-CN"/>
        </w:rPr>
        <w:t xml:space="preserve">3.1 </w:t>
      </w:r>
      <w:r>
        <w:t>什么是 Post-Training</w:t>
      </w:r>
      <w:r>
        <w:tab/>
      </w:r>
      <w:r>
        <w:fldChar w:fldCharType="begin"/>
      </w:r>
      <w:r>
        <w:instrText xml:space="preserve"> PAGEREF _Toc11251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CEB123F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_Toc19059 </w:instrText>
      </w:r>
      <w:r>
        <w:fldChar w:fldCharType="separate"/>
      </w:r>
      <w:r>
        <w:rPr>
          <w:rFonts w:hint="eastAsia"/>
          <w:lang w:eastAsia="zh-CN"/>
        </w:rPr>
        <w:t xml:space="preserve">3.2 </w:t>
      </w:r>
      <w:r>
        <w:t>为什么不能只做 SFT？</w:t>
      </w:r>
      <w:r>
        <w:tab/>
      </w:r>
      <w:r>
        <w:fldChar w:fldCharType="begin"/>
      </w:r>
      <w:r>
        <w:instrText xml:space="preserve"> PAGEREF _Toc19059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9DA4710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_Toc13177 </w:instrText>
      </w:r>
      <w:r>
        <w:fldChar w:fldCharType="separate"/>
      </w:r>
      <w:r>
        <w:rPr>
          <w:rFonts w:hint="eastAsia"/>
          <w:lang w:eastAsia="zh-CN"/>
        </w:rPr>
        <w:t xml:space="preserve">3.3 </w:t>
      </w:r>
      <w:r>
        <w:t>评估的必要性</w:t>
      </w:r>
      <w:r>
        <w:tab/>
      </w:r>
      <w:r>
        <w:fldChar w:fldCharType="begin"/>
      </w:r>
      <w:r>
        <w:instrText xml:space="preserve"> PAGEREF _Toc13177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B0C4E24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_Toc23112 </w:instrText>
      </w:r>
      <w:r>
        <w:fldChar w:fldCharType="separate"/>
      </w:r>
      <w:r>
        <w:rPr>
          <w:rFonts w:hint="eastAsia"/>
          <w:lang w:eastAsia="zh-CN"/>
        </w:rPr>
        <w:t xml:space="preserve">4. </w:t>
      </w:r>
      <w:r>
        <w:t>第一部分：Fine-tuning（指令微调）</w:t>
      </w:r>
      <w:r>
        <w:tab/>
      </w:r>
      <w:r>
        <w:fldChar w:fldCharType="begin"/>
      </w:r>
      <w:r>
        <w:instrText xml:space="preserve"> PAGEREF _Toc23112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DF4F9CB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_Toc29160 </w:instrText>
      </w:r>
      <w:r>
        <w:fldChar w:fldCharType="separate"/>
      </w:r>
      <w:r>
        <w:rPr>
          <w:rFonts w:hint="eastAsia"/>
          <w:lang w:eastAsia="zh-CN"/>
        </w:rPr>
        <w:t xml:space="preserve">4.1 </w:t>
      </w:r>
      <w:r>
        <w:t>技术概览</w:t>
      </w:r>
      <w:r>
        <w:tab/>
      </w:r>
      <w:r>
        <w:fldChar w:fldCharType="begin"/>
      </w:r>
      <w:r>
        <w:instrText xml:space="preserve"> PAGEREF _Toc29160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F6491EE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_Toc12750 </w:instrText>
      </w:r>
      <w:r>
        <w:fldChar w:fldCharType="separate"/>
      </w:r>
      <w:r>
        <w:rPr>
          <w:rFonts w:hint="eastAsia"/>
          <w:lang w:eastAsia="zh-CN"/>
        </w:rPr>
        <w:t xml:space="preserve">4.2 </w:t>
      </w:r>
      <w:r>
        <w:t>Full Fine-tuning vs PEFT</w:t>
      </w:r>
      <w:r>
        <w:tab/>
      </w:r>
      <w:r>
        <w:fldChar w:fldCharType="begin"/>
      </w:r>
      <w:r>
        <w:instrText xml:space="preserve"> PAGEREF _Toc12750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C4E7A80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_Toc7418 </w:instrText>
      </w:r>
      <w:r>
        <w:fldChar w:fldCharType="separate"/>
      </w:r>
      <w:r>
        <w:rPr>
          <w:rFonts w:hint="eastAsia"/>
          <w:lang w:eastAsia="zh-CN"/>
        </w:rPr>
        <w:t xml:space="preserve">4.3 </w:t>
      </w:r>
      <w:r>
        <w:t>案例分析：Alpaca（Self-Instruct 指令微调）</w:t>
      </w:r>
      <w:r>
        <w:tab/>
      </w:r>
      <w:r>
        <w:fldChar w:fldCharType="begin"/>
      </w:r>
      <w:r>
        <w:instrText xml:space="preserve"> PAGEREF _Toc7418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B6D15E8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_Toc23885 </w:instrText>
      </w:r>
      <w:r>
        <w:fldChar w:fldCharType="separate"/>
      </w:r>
      <w:r>
        <w:rPr>
          <w:rFonts w:hint="eastAsia"/>
          <w:lang w:eastAsia="zh-CN"/>
        </w:rPr>
        <w:t xml:space="preserve">4.4 </w:t>
      </w:r>
      <w:r>
        <w:t>案例分析：LoRA（低秩适配微调）</w:t>
      </w:r>
      <w:r>
        <w:tab/>
      </w:r>
      <w:r>
        <w:fldChar w:fldCharType="begin"/>
      </w:r>
      <w:r>
        <w:instrText xml:space="preserve"> PAGEREF _Toc23885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DA62E86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_Toc20353 </w:instrText>
      </w:r>
      <w:r>
        <w:fldChar w:fldCharType="separate"/>
      </w:r>
      <w:r>
        <w:rPr>
          <w:rFonts w:hint="eastAsia"/>
          <w:lang w:eastAsia="zh-CN"/>
        </w:rPr>
        <w:t xml:space="preserve">4.5 </w:t>
      </w:r>
      <w:r>
        <w:t>案例分析：QLoRA（量化低秩适配微调）</w:t>
      </w:r>
      <w:r>
        <w:tab/>
      </w:r>
      <w:r>
        <w:fldChar w:fldCharType="begin"/>
      </w:r>
      <w:r>
        <w:instrText xml:space="preserve"> PAGEREF _Toc20353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08C31D1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_Toc30032 </w:instrText>
      </w:r>
      <w:r>
        <w:fldChar w:fldCharType="separate"/>
      </w:r>
      <w:r>
        <w:rPr>
          <w:rFonts w:hint="eastAsia"/>
          <w:lang w:eastAsia="zh-CN"/>
        </w:rPr>
        <w:t xml:space="preserve">5. </w:t>
      </w:r>
      <w:r>
        <w:t>第二部分：Alignment（对齐）</w:t>
      </w:r>
      <w:r>
        <w:tab/>
      </w:r>
      <w:r>
        <w:fldChar w:fldCharType="begin"/>
      </w:r>
      <w:r>
        <w:instrText xml:space="preserve"> PAGEREF _Toc30032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7F88347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_Toc3285 </w:instrText>
      </w:r>
      <w:r>
        <w:fldChar w:fldCharType="separate"/>
      </w:r>
      <w:r>
        <w:rPr>
          <w:rFonts w:hint="eastAsia"/>
          <w:lang w:eastAsia="zh-CN"/>
        </w:rPr>
        <w:t xml:space="preserve">5.1 </w:t>
      </w:r>
      <w:r>
        <w:t>技术概览</w:t>
      </w:r>
      <w:r>
        <w:tab/>
      </w:r>
      <w:r>
        <w:fldChar w:fldCharType="begin"/>
      </w:r>
      <w:r>
        <w:instrText xml:space="preserve"> PAGEREF _Toc3285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EB38FBF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_Toc28893 </w:instrText>
      </w:r>
      <w:r>
        <w:fldChar w:fldCharType="separate"/>
      </w:r>
      <w:r>
        <w:rPr>
          <w:rFonts w:hint="eastAsia"/>
          <w:lang w:eastAsia="zh-CN"/>
        </w:rPr>
        <w:t xml:space="preserve">5.2 </w:t>
      </w:r>
      <w:r>
        <w:t>案例分析：InstructGPT / RLHF</w:t>
      </w:r>
      <w:r>
        <w:tab/>
      </w:r>
      <w:r>
        <w:fldChar w:fldCharType="begin"/>
      </w:r>
      <w:r>
        <w:instrText xml:space="preserve"> PAGEREF _Toc28893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4268A32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_Toc13486 </w:instrText>
      </w:r>
      <w:r>
        <w:fldChar w:fldCharType="separate"/>
      </w:r>
      <w:r>
        <w:rPr>
          <w:rFonts w:hint="eastAsia"/>
          <w:lang w:eastAsia="zh-CN"/>
        </w:rPr>
        <w:t xml:space="preserve">5.3 </w:t>
      </w:r>
      <w:r>
        <w:t>案例分析：DPO（直接偏好优化）</w:t>
      </w:r>
      <w:r>
        <w:tab/>
      </w:r>
      <w:r>
        <w:fldChar w:fldCharType="begin"/>
      </w:r>
      <w:r>
        <w:instrText xml:space="preserve"> PAGEREF _Toc13486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77B57D6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_Toc2676 </w:instrText>
      </w:r>
      <w:r>
        <w:fldChar w:fldCharType="separate"/>
      </w:r>
      <w:r>
        <w:rPr>
          <w:rFonts w:hint="eastAsia"/>
          <w:lang w:eastAsia="zh-CN"/>
        </w:rPr>
        <w:t xml:space="preserve">5.4 </w:t>
      </w:r>
      <w:r>
        <w:t>案例分析：DeepSeek-R1 / GRPO</w:t>
      </w:r>
      <w:r>
        <w:tab/>
      </w:r>
      <w:r>
        <w:fldChar w:fldCharType="begin"/>
      </w:r>
      <w:r>
        <w:instrText xml:space="preserve"> PAGEREF _Toc2676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41C2463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_Toc4772 </w:instrText>
      </w:r>
      <w:r>
        <w:fldChar w:fldCharType="separate"/>
      </w:r>
      <w:r>
        <w:t>5.5 关键取舍与方法组合</w:t>
      </w:r>
      <w:r>
        <w:tab/>
      </w:r>
      <w:r>
        <w:fldChar w:fldCharType="begin"/>
      </w:r>
      <w:r>
        <w:instrText xml:space="preserve"> PAGEREF _Toc4772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24114BE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_Toc22010 </w:instrText>
      </w:r>
      <w:r>
        <w:fldChar w:fldCharType="separate"/>
      </w:r>
      <w:r>
        <w:rPr>
          <w:rFonts w:hint="eastAsia"/>
          <w:lang w:eastAsia="zh-CN"/>
        </w:rPr>
        <w:t xml:space="preserve">6. </w:t>
      </w:r>
      <w:r>
        <w:t>第三部分：Evaluation（系统评估）</w:t>
      </w:r>
      <w:r>
        <w:tab/>
      </w:r>
      <w:r>
        <w:fldChar w:fldCharType="begin"/>
      </w:r>
      <w:r>
        <w:instrText xml:space="preserve"> PAGEREF _Toc22010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577B56D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_Toc20215 </w:instrText>
      </w:r>
      <w:r>
        <w:fldChar w:fldCharType="separate"/>
      </w:r>
      <w:r>
        <w:rPr>
          <w:rFonts w:hint="eastAsia"/>
          <w:lang w:eastAsia="zh-CN"/>
        </w:rPr>
        <w:t xml:space="preserve">6.1 </w:t>
      </w:r>
      <w:r>
        <w:t>技术概览</w:t>
      </w:r>
      <w:r>
        <w:tab/>
      </w:r>
      <w:r>
        <w:fldChar w:fldCharType="begin"/>
      </w:r>
      <w:r>
        <w:instrText xml:space="preserve"> PAGEREF _Toc20215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47ECAE8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_Toc22262 </w:instrText>
      </w:r>
      <w:r>
        <w:fldChar w:fldCharType="separate"/>
      </w:r>
      <w:r>
        <w:rPr>
          <w:rFonts w:hint="eastAsia"/>
          <w:lang w:eastAsia="zh-CN"/>
        </w:rPr>
        <w:t xml:space="preserve">6.2 </w:t>
      </w:r>
      <w:r>
        <w:t>核心指标详解</w:t>
      </w:r>
      <w:r>
        <w:tab/>
      </w:r>
      <w:r>
        <w:fldChar w:fldCharType="begin"/>
      </w:r>
      <w:r>
        <w:instrText xml:space="preserve"> PAGEREF _Toc22262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0770765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_Toc29257 </w:instrText>
      </w:r>
      <w:r>
        <w:fldChar w:fldCharType="separate"/>
      </w:r>
      <w:r>
        <w:rPr>
          <w:rFonts w:hint="eastAsia"/>
          <w:lang w:eastAsia="zh-CN"/>
        </w:rPr>
        <w:t xml:space="preserve">6.3 </w:t>
      </w:r>
      <w:r>
        <w:t>案例分析：MMLU 多项选择评估</w:t>
      </w:r>
      <w:r>
        <w:tab/>
      </w:r>
      <w:r>
        <w:fldChar w:fldCharType="begin"/>
      </w:r>
      <w:r>
        <w:instrText xml:space="preserve"> PAGEREF _Toc29257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6A36AA6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_Toc8655 </w:instrText>
      </w:r>
      <w:r>
        <w:fldChar w:fldCharType="separate"/>
      </w:r>
      <w:r>
        <w:rPr>
          <w:rFonts w:hint="eastAsia"/>
          <w:lang w:eastAsia="zh-CN"/>
        </w:rPr>
        <w:t xml:space="preserve">6.4 </w:t>
      </w:r>
      <w:r>
        <w:t>案例分析：GSM8K 生成式评估</w:t>
      </w:r>
      <w:r>
        <w:tab/>
      </w:r>
      <w:r>
        <w:fldChar w:fldCharType="begin"/>
      </w:r>
      <w:r>
        <w:instrText xml:space="preserve"> PAGEREF _Toc8655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1C896963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_Toc31853 </w:instrText>
      </w:r>
      <w:r>
        <w:fldChar w:fldCharType="separate"/>
      </w:r>
      <w:r>
        <w:rPr>
          <w:rFonts w:hint="eastAsia"/>
          <w:lang w:eastAsia="zh-CN"/>
        </w:rPr>
        <w:t xml:space="preserve">6.5 </w:t>
      </w:r>
      <w:r>
        <w:t>统计显著性检验</w:t>
      </w:r>
      <w:r>
        <w:tab/>
      </w:r>
      <w:r>
        <w:fldChar w:fldCharType="begin"/>
      </w:r>
      <w:r>
        <w:instrText xml:space="preserve"> PAGEREF _Toc31853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251A844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_Toc10224 </w:instrText>
      </w:r>
      <w:r>
        <w:fldChar w:fldCharType="separate"/>
      </w:r>
      <w:r>
        <w:rPr>
          <w:rFonts w:hint="eastAsia"/>
          <w:lang w:eastAsia="zh-CN"/>
        </w:rPr>
        <w:t xml:space="preserve">6.6 </w:t>
      </w:r>
      <w:r>
        <w:t>局限性分析</w:t>
      </w:r>
      <w:r>
        <w:tab/>
      </w:r>
      <w:r>
        <w:fldChar w:fldCharType="begin"/>
      </w:r>
      <w:r>
        <w:instrText xml:space="preserve"> PAGEREF _Toc10224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747B85BC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_Toc20097 </w:instrText>
      </w:r>
      <w:r>
        <w:fldChar w:fldCharType="separate"/>
      </w:r>
      <w:r>
        <w:rPr>
          <w:rFonts w:hint="eastAsia"/>
          <w:lang w:eastAsia="zh-CN"/>
        </w:rPr>
        <w:t xml:space="preserve">7. </w:t>
      </w:r>
      <w:r>
        <w:t>综合案例分析：微调 → 对齐 → 评估 端到端管线</w:t>
      </w:r>
      <w:r>
        <w:tab/>
      </w:r>
      <w:r>
        <w:fldChar w:fldCharType="begin"/>
      </w:r>
      <w:r>
        <w:instrText xml:space="preserve"> PAGEREF _Toc20097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7BED688C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_Toc3569 </w:instrText>
      </w:r>
      <w:r>
        <w:fldChar w:fldCharType="separate"/>
      </w:r>
      <w:r>
        <w:rPr>
          <w:rFonts w:hint="eastAsia"/>
          <w:lang w:eastAsia="zh-CN"/>
        </w:rPr>
        <w:t xml:space="preserve">7.1 </w:t>
      </w:r>
      <w:r>
        <w:t>案例场景</w:t>
      </w:r>
      <w:r>
        <w:tab/>
      </w:r>
      <w:r>
        <w:fldChar w:fldCharType="begin"/>
      </w:r>
      <w:r>
        <w:instrText xml:space="preserve"> PAGEREF _Toc3569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4DCE997C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_Toc27361 </w:instrText>
      </w:r>
      <w:r>
        <w:fldChar w:fldCharType="separate"/>
      </w:r>
      <w:r>
        <w:rPr>
          <w:rFonts w:hint="eastAsia"/>
          <w:lang w:eastAsia="zh-CN"/>
        </w:rPr>
        <w:t xml:space="preserve">7.2 </w:t>
      </w:r>
      <w:r>
        <w:t>阶段一：SFT（LoRA 微调）</w:t>
      </w:r>
      <w:r>
        <w:tab/>
      </w:r>
      <w:r>
        <w:fldChar w:fldCharType="begin"/>
      </w:r>
      <w:r>
        <w:instrText xml:space="preserve"> PAGEREF _Toc27361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040AAB0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_Toc9283 </w:instrText>
      </w:r>
      <w:r>
        <w:fldChar w:fldCharType="separate"/>
      </w:r>
      <w:r>
        <w:rPr>
          <w:rFonts w:hint="eastAsia"/>
          <w:lang w:eastAsia="zh-CN"/>
        </w:rPr>
        <w:t xml:space="preserve">7.3 </w:t>
      </w:r>
      <w:r>
        <w:t>阶段二：DPO（偏好对齐）</w:t>
      </w:r>
      <w:r>
        <w:tab/>
      </w:r>
      <w:r>
        <w:fldChar w:fldCharType="begin"/>
      </w:r>
      <w:r>
        <w:instrText xml:space="preserve"> PAGEREF _Toc9283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77F268FA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_Toc25021 </w:instrText>
      </w:r>
      <w:r>
        <w:fldChar w:fldCharType="separate"/>
      </w:r>
      <w:r>
        <w:rPr>
          <w:rFonts w:hint="eastAsia"/>
          <w:lang w:eastAsia="zh-CN"/>
        </w:rPr>
        <w:t xml:space="preserve">7.4 </w:t>
      </w:r>
      <w:r>
        <w:t>阶段三：GRPO（推理增强，可选）</w:t>
      </w:r>
      <w:r>
        <w:tab/>
      </w:r>
      <w:r>
        <w:fldChar w:fldCharType="begin"/>
      </w:r>
      <w:r>
        <w:instrText xml:space="preserve"> PAGEREF _Toc25021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5BCDCBEC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_Toc7654 </w:instrText>
      </w:r>
      <w:r>
        <w:fldChar w:fldCharType="separate"/>
      </w:r>
      <w:r>
        <w:rPr>
          <w:rFonts w:hint="eastAsia"/>
          <w:lang w:eastAsia="zh-CN"/>
        </w:rPr>
        <w:t xml:space="preserve">7.5 </w:t>
      </w:r>
      <w:r>
        <w:t>阶段四：系统评估</w:t>
      </w:r>
      <w:r>
        <w:tab/>
      </w:r>
      <w:r>
        <w:fldChar w:fldCharType="begin"/>
      </w:r>
      <w:r>
        <w:instrText xml:space="preserve"> PAGEREF _Toc7654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3CB078B9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_Toc14165 </w:instrText>
      </w:r>
      <w:r>
        <w:fldChar w:fldCharType="separate"/>
      </w:r>
      <w:r>
        <w:rPr>
          <w:rFonts w:hint="eastAsia"/>
          <w:lang w:eastAsia="zh-CN"/>
        </w:rPr>
        <w:t xml:space="preserve">7.6 </w:t>
      </w:r>
      <w:r>
        <w:t>迭代决策树</w:t>
      </w:r>
      <w:r>
        <w:tab/>
      </w:r>
      <w:r>
        <w:fldChar w:fldCharType="begin"/>
      </w:r>
      <w:r>
        <w:instrText xml:space="preserve"> PAGEREF _Toc14165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32507BEC">
      <w:pPr>
        <w:pStyle w:val="18"/>
        <w:tabs>
          <w:tab w:val="right" w:leader="dot" w:pos="9026"/>
        </w:tabs>
      </w:pPr>
      <w:r>
        <w:fldChar w:fldCharType="begin"/>
      </w:r>
      <w:r>
        <w:instrText xml:space="preserve"> HYPERLINK \l _Toc15928 </w:instrText>
      </w:r>
      <w:r>
        <w:fldChar w:fldCharType="separate"/>
      </w:r>
      <w:r>
        <w:rPr>
          <w:rFonts w:hint="eastAsia"/>
          <w:lang w:eastAsia="zh-CN"/>
        </w:rPr>
        <w:t xml:space="preserve">8. </w:t>
      </w:r>
      <w:r>
        <w:t>方法对比与总结</w:t>
      </w:r>
      <w:r>
        <w:tab/>
      </w:r>
      <w:r>
        <w:fldChar w:fldCharType="begin"/>
      </w:r>
      <w:r>
        <w:instrText xml:space="preserve"> PAGEREF _Toc15928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1468EF1F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_Toc14637 </w:instrText>
      </w:r>
      <w:r>
        <w:fldChar w:fldCharType="separate"/>
      </w:r>
      <w:r>
        <w:rPr>
          <w:rFonts w:hint="eastAsia"/>
          <w:lang w:eastAsia="zh-CN"/>
        </w:rPr>
        <w:t xml:space="preserve">8.1 </w:t>
      </w:r>
      <w:r>
        <w:t>按目标选型决策树</w:t>
      </w:r>
      <w:r>
        <w:tab/>
      </w:r>
      <w:r>
        <w:fldChar w:fldCharType="begin"/>
      </w:r>
      <w:r>
        <w:instrText xml:space="preserve"> PAGEREF _Toc14637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5572FEB4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_Toc15844 </w:instrText>
      </w:r>
      <w:r>
        <w:fldChar w:fldCharType="separate"/>
      </w:r>
      <w:r>
        <w:rPr>
          <w:rFonts w:hint="eastAsia"/>
          <w:lang w:eastAsia="zh-CN"/>
        </w:rPr>
        <w:t xml:space="preserve">8.2 </w:t>
      </w:r>
      <w:r>
        <w:t>核心方法一句话总结</w:t>
      </w:r>
      <w:r>
        <w:tab/>
      </w:r>
      <w:r>
        <w:fldChar w:fldCharType="begin"/>
      </w:r>
      <w:r>
        <w:instrText xml:space="preserve"> PAGEREF _Toc15844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03E138B6">
      <w:pPr>
        <w:pStyle w:val="13"/>
        <w:tabs>
          <w:tab w:val="right" w:leader="dot" w:pos="9026"/>
        </w:tabs>
      </w:pPr>
      <w:r>
        <w:fldChar w:fldCharType="begin"/>
      </w:r>
      <w:r>
        <w:instrText xml:space="preserve"> HYPERLINK \l _Toc8624 </w:instrText>
      </w:r>
      <w:r>
        <w:fldChar w:fldCharType="separate"/>
      </w:r>
      <w:r>
        <w:rPr>
          <w:rFonts w:hint="eastAsia"/>
          <w:lang w:eastAsia="zh-CN"/>
        </w:rPr>
        <w:t xml:space="preserve">8.3 </w:t>
      </w:r>
      <w:r>
        <w:t>发展趋势</w:t>
      </w:r>
      <w:r>
        <w:tab/>
      </w:r>
      <w:r>
        <w:fldChar w:fldCharType="begin"/>
      </w:r>
      <w:r>
        <w:instrText xml:space="preserve"> PAGEREF _Toc8624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41A5F6C">
      <w:pPr>
        <w:pStyle w:val="15"/>
        <w:tabs>
          <w:tab w:val="right" w:leader="dot" w:pos="9026"/>
        </w:tabs>
      </w:pPr>
      <w:r>
        <w:fldChar w:fldCharType="begin"/>
      </w:r>
      <w:r>
        <w:instrText xml:space="preserve"> HYPERLINK \l _Toc26727 </w:instrText>
      </w:r>
      <w:r>
        <w:fldChar w:fldCharType="separate"/>
      </w:r>
      <w:r>
        <w:t>9. 参考文献</w:t>
      </w:r>
      <w:r>
        <w:tab/>
      </w:r>
      <w:r>
        <w:fldChar w:fldCharType="begin"/>
      </w:r>
      <w:r>
        <w:instrText xml:space="preserve"> PAGEREF _Toc26727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DD167CB">
      <w:r>
        <w:fldChar w:fldCharType="end"/>
      </w:r>
    </w:p>
    <w:p w14:paraId="0D3D3A9A"/>
    <w:sdt>
      <w:sdtPr>
        <w:alias w:val="Table of Contents"/>
        <w:id w:val="147477609"/>
      </w:sdtPr>
      <w:sdtContent>
        <w:p w14:paraId="576897C3"/>
      </w:sdtContent>
    </w:sdt>
    <w:p w14:paraId="3660DB6D">
      <w:r>
        <w:br w:type="page"/>
      </w:r>
    </w:p>
    <w:p w14:paraId="50D444F8">
      <w:p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18A0AA0B">
      <w:pPr>
        <w:pStyle w:val="12"/>
        <w:pBdr>
          <w:bottom w:val="single" w:color="2E75B6" w:sz="8" w:space="4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1B3A5C"/>
          <w:sz w:val="24"/>
          <w:szCs w:val="24"/>
        </w:rPr>
        <w:t>大语言模型 Post-Training 技术调研报告</w:t>
      </w:r>
    </w:p>
    <w:p w14:paraId="5117075D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Project2_TaskB_Survey</w:t>
      </w:r>
    </w:p>
    <w:p w14:paraId="4471EF25">
      <w:pPr>
        <w:pBdr>
          <w:left w:val="single" w:color="2E75B6" w:sz="12" w:space="8"/>
        </w:pBdr>
        <w:shd w:val="clear" w:fill="F0F4F8"/>
        <w:spacing w:after="120" w:line="276" w:lineRule="auto"/>
        <w:ind w:left="360"/>
      </w:pPr>
    </w:p>
    <w:p w14:paraId="74B1B0AB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本报告系统调研大语言模型 post-training 的三大核心主题：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Fine-tuning（指令微调）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、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Alignment（对齐）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和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Evaluation（系统评估）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。从技术原理出发，详细解释每种方法解决什么问题、使用什么数据、优化目标是什么、有什么优点和限制，并辅以数学推导和案例分析。</w:t>
      </w:r>
    </w:p>
    <w:p w14:paraId="471B470C">
      <w:pPr>
        <w:pBdr>
          <w:left w:val="single" w:color="2E75B6" w:sz="12" w:space="8"/>
        </w:pBdr>
        <w:shd w:val="clear" w:fill="F0F4F8"/>
        <w:spacing w:after="120" w:line="276" w:lineRule="auto"/>
        <w:ind w:left="360"/>
      </w:pPr>
    </w:p>
    <w:p w14:paraId="15451947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📖 三份基础笔记：</w:t>
      </w:r>
    </w:p>
    <w:p w14:paraId="5C14AD95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- 《Fine-tuning 技术笔记》——微调方法、数学基础、数据格式、超参数调优</w:t>
      </w:r>
    </w:p>
    <w:p w14:paraId="16F1E8C2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- 《Alignment 技术笔记》——对齐方法的完整数学推导、方法对比、选型指南</w:t>
      </w:r>
    </w:p>
    <w:p w14:paraId="5516B4A7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- 《Evaluation Harness 技术深度解析》——评估框架架构、Benchmark 详解、统计检验、局限性分析</w:t>
      </w:r>
    </w:p>
    <w:p w14:paraId="6BC603FC">
      <w:r>
        <w:br w:type="page"/>
      </w:r>
    </w:p>
    <w:p w14:paraId="06B94149">
      <w:pPr>
        <w:pStyle w:val="3"/>
        <w:keepNext/>
        <w:pageBreakBefore/>
      </w:pPr>
      <w:bookmarkStart w:id="0" w:name="_Toc16079"/>
      <w:r>
        <w:t>1. 引言与背景</w:t>
      </w:r>
      <w:bookmarkEnd w:id="0"/>
    </w:p>
    <w:p w14:paraId="5E32637F">
      <w:pPr>
        <w:pStyle w:val="4"/>
        <w:keepNext/>
      </w:pPr>
      <w:bookmarkStart w:id="1" w:name="_Toc14783"/>
      <w:r>
        <w:t>1.1 为什么需要 Post-Training？</w:t>
      </w:r>
      <w:bookmarkEnd w:id="1"/>
    </w:p>
    <w:p w14:paraId="5D0F0A90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大语言模型（LLM）本质上是建立在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Transformer 架构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上的概率生成模型。预训练阶段通过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Next Token Prediction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目标在海量文本上训练：</w:t>
      </w:r>
    </w:p>
    <w:p w14:paraId="7B114D4E">
      <w:pPr>
        <w:spacing w:after="120" w:line="276" w:lineRule="auto"/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</w:pPr>
      <m:oMathPara>
        <m:oMath>
          <m:r>
            <m:rPr/>
            <w:rPr>
              <w:rFonts w:hint="default" w:ascii="Cambria Math" w:hAnsi="Cambria Math" w:eastAsia="Consolas"/>
              <w:sz w:val="20"/>
            </w:rPr>
            <m:t>P(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x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n+1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|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x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1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,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x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2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,…,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x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n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;θ)=softmax(W⋅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h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n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)</m:t>
          </m:r>
        </m:oMath>
      </m:oMathPara>
    </w:p>
    <w:p w14:paraId="2FE6864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θ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代表数百亿甚至数千亿的参数，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h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n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是最后一层隐藏状态。这种自回归训练范式虽然赋予了模型强大的语言生成能力，但也带来了一个根本性矛盾：</w:t>
      </w:r>
    </w:p>
    <w:p w14:paraId="3C0263D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预训练目标与用户期望之间的行为鸿沟（Behavior Gap）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48D3D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153A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DC76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预训练模型的行为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DC23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用户期望的行为</w:t>
            </w:r>
          </w:p>
        </w:tc>
      </w:tr>
      <w:tr w14:paraId="590F2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3C87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交互格式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258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自由文本续写（"今天天气" → "很好，她走出门..."）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8CA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对话式交互（用户问 → 模型答）</w:t>
            </w:r>
          </w:p>
        </w:tc>
      </w:tr>
      <w:tr w14:paraId="1A348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3658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指令理解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8EBB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不理解任务约束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35A1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精确遵循指令要求</w:t>
            </w:r>
          </w:p>
        </w:tc>
      </w:tr>
      <w:tr w14:paraId="28E80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39F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输出控制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38AC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无格式约束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5C5D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输出 JSON、Markdown、指定风格</w:t>
            </w:r>
          </w:p>
        </w:tc>
      </w:tr>
      <w:tr w14:paraId="57949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6A85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知识边界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0E1B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倾向于编造"看起来合理"的内容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E9B2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诚实地说"我不知道"</w:t>
            </w:r>
          </w:p>
        </w:tc>
      </w:tr>
      <w:tr w14:paraId="28180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1B56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安全性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695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无差别生成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EFD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拒绝有害请求</w:t>
            </w:r>
          </w:p>
        </w:tc>
      </w:tr>
    </w:tbl>
    <w:p w14:paraId="67A540B6">
      <w:pPr>
        <w:spacing w:after="120"/>
      </w:pPr>
    </w:p>
    <w:p w14:paraId="3EA72451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Post-Training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正是为了弥合这一鸿沟而设计的一系列技术方法的统称，主要包括：</w:t>
      </w:r>
    </w:p>
    <w:p w14:paraId="155846B1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10.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Fine-tuning（指令微调 / SFT）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——教会模型"回答问题"</w:t>
      </w:r>
    </w:p>
    <w:p w14:paraId="1738DE7D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11.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Alignment（对齐）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——让模型输出符合人类偏好</w:t>
      </w:r>
    </w:p>
    <w:p w14:paraId="221BB28E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12.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Evaluation（系统评估）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——衡量模型在各维度的表现，指导迭代方向</w:t>
      </w:r>
    </w:p>
    <w:p w14:paraId="45168D27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详见《Evaluation Harness 技术深度解析》第 1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：模型的 loss 下降不一定意味着推理能力提升——这被称为"loss 与能力之间的脱钩"。形式化地：若存在两个模型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A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和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B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，其训练损失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ℒ(A)&gt;ℒ(B)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，但在某个下游任务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T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上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A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显著优于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B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，则损失函数不足以作为能力的完备代理指标。</w:t>
      </w:r>
    </w:p>
    <w:p w14:paraId="6CE280A7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" w:name="_Toc28819"/>
      <w:r>
        <w:rPr>
          <w:rFonts w:hint="eastAsia"/>
          <w:lang w:eastAsia="zh-CN"/>
        </w:rPr>
        <w:t xml:space="preserve">1.2 </w:t>
      </w:r>
      <w:r>
        <w:t>Post-Training 三阶段管线</w:t>
      </w:r>
      <w:bookmarkEnd w:id="2"/>
    </w:p>
    <w:p w14:paraId="12FDFABA">
      <w:pPr>
        <w:spacing w:after="12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518660" cy="7248525"/>
            <wp:effectExtent l="0" t="0" r="2540" b="3175"/>
            <wp:docPr id="5" name="图片 5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8660" cy="724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675C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💡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核心认知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：这三个阶段不是一次性的流水线，而是一个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迭代循环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——评估结果反馈到微调和对齐的数据和策略选择中。最强的模型（如 ChatGPT、Claude、DeepSeek-R1）都经过了多轮这样的迭代。</w:t>
      </w:r>
    </w:p>
    <w:p w14:paraId="4E929A90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" w:name="_Toc31259"/>
      <w:r>
        <w:rPr>
          <w:rFonts w:hint="eastAsia"/>
          <w:lang w:eastAsia="zh-CN"/>
        </w:rPr>
        <w:t xml:space="preserve">1.3 </w:t>
      </w:r>
      <w:r>
        <w:t>本报告的组织方式</w:t>
      </w:r>
      <w:bookmarkEnd w:id="3"/>
    </w:p>
    <w:p w14:paraId="7DE5F8F5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每个方法/案例都按以下框架展开：</w:t>
      </w:r>
    </w:p>
    <w:p w14:paraId="54A9025D">
      <w:pPr>
        <w:pStyle w:val="12"/>
        <w:spacing w:line="240" w:lineRule="auto"/>
        <w:rPr>
          <w:rFonts w:hint="eastAsia" w:ascii="Times New Roman" w:hAnsi="Times New Roman" w:eastAsia="宋体" w:cs="Times New Roman"/>
          <w:b w:val="0"/>
          <w:i w:val="0"/>
          <w:color w:val="000000"/>
          <w:sz w:val="24"/>
          <w:szCs w:val="24"/>
          <w:lang w:eastAsia="zh-CN"/>
        </w:rPr>
      </w:pPr>
      <w:r>
        <w:rPr>
          <w:rFonts w:hint="eastAsia" w:ascii="Times New Roman" w:hAnsi="Times New Roman" w:eastAsia="宋体" w:cs="Times New Roman"/>
          <w:b w:val="0"/>
          <w:i w:val="0"/>
          <w:color w:val="000000"/>
          <w:sz w:val="24"/>
          <w:szCs w:val="24"/>
          <w:lang w:eastAsia="zh-CN"/>
        </w:rPr>
        <w:drawing>
          <wp:inline distT="0" distB="0" distL="114300" distR="114300">
            <wp:extent cx="3363595" cy="1932305"/>
            <wp:effectExtent l="0" t="0" r="1905" b="10795"/>
            <wp:docPr id="4" name="图片 4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2266">
      <w:pPr>
        <w:pStyle w:val="3"/>
        <w:keepNext/>
        <w:pageBreakBefore/>
        <w:numPr>
          <w:numId w:val="0"/>
        </w:numPr>
        <w:ind w:leftChars="0"/>
        <w:rPr>
          <w:b w:val="0"/>
          <w:bdr w:val="none" w:sz="0" w:space="0"/>
        </w:rPr>
      </w:pPr>
      <w:bookmarkStart w:id="4" w:name="_Toc9388"/>
      <w:r>
        <w:rPr>
          <w:rFonts w:hint="eastAsia"/>
          <w:lang w:eastAsia="zh-CN"/>
        </w:rPr>
        <w:t xml:space="preserve">2. </w:t>
      </w:r>
      <w:r>
        <w:t>小组分工</w:t>
      </w:r>
      <w:bookmarkEnd w:id="4"/>
    </w:p>
    <w:p w14:paraId="0F6F705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本调研报告由以下小组成员协作完成：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73FCD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1ABE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成员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8885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348C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负责内容</w:t>
            </w:r>
          </w:p>
        </w:tc>
      </w:tr>
      <w:tr w14:paraId="1CCD4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977D">
            <w:pPr>
              <w:spacing w:after="40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 w:cs="Arial"/>
                <w:b/>
                <w:bCs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胡亚鑫2023214974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82CA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组长 / Fine-tuning 负责人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F9CE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Fine-tuning 技术调研与报告撰写；② SFT / LoRA / QLoRA 案例分析与数学推导；③ Alpaca 案例研究；④ 数据格式与超参数字节</w:t>
            </w:r>
          </w:p>
        </w:tc>
      </w:tr>
      <w:tr w14:paraId="417F6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0E907">
            <w:pPr>
              <w:spacing w:after="40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 w:cs="Arial"/>
                <w:b/>
                <w:bCs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胡亚鑫2023214974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00F1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Alignment 负责人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82CA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Alignment 技术调研与报告撰写；② RLHF / DPO / GRPO 案例分析与公式推导；③ 方法对比与选型指南；④ 偏好数据集调研</w:t>
            </w:r>
          </w:p>
        </w:tc>
      </w:tr>
      <w:tr w14:paraId="24A60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EDD22">
            <w:pPr>
              <w:spacing w:after="40"/>
            </w:pPr>
            <w:r>
              <w:rPr>
                <w:rFonts w:hint="eastAsia" w:eastAsia="宋体" w:cs="Arial"/>
                <w:b/>
                <w:bCs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胡亚鑫2023214974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93F5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Evaluation 负责人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8D93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Evaluation 技术调研与报告撰写；② lm-eval 工具使用与命令示例；③ Benchmark 体系整理与对比；④ 统计检验与异常诊断</w:t>
            </w:r>
          </w:p>
        </w:tc>
      </w:tr>
      <w:tr w14:paraId="7BC99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BADD3">
            <w:pPr>
              <w:spacing w:after="40"/>
            </w:pPr>
            <w:r>
              <w:rPr>
                <w:rFonts w:hint="eastAsia" w:eastAsia="宋体" w:cs="Arial"/>
                <w:b/>
                <w:bCs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胡亚鑫2023214974</w:t>
            </w:r>
            <w:bookmarkStart w:id="40" w:name="_GoBack"/>
            <w:bookmarkEnd w:id="40"/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68F1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综合与整合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CE0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报告统稿与格式校对；② 参考文献整理；③ 端到端管线案例分析；④ GitHub 仓库管理与提交</w:t>
            </w:r>
          </w:p>
        </w:tc>
      </w:tr>
    </w:tbl>
    <w:p w14:paraId="3CF52A27">
      <w:pPr>
        <w:spacing w:after="120"/>
      </w:pPr>
    </w:p>
    <w:p w14:paraId="1086926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协作流程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7C166FB9">
      <w:pPr>
        <w:pStyle w:val="3"/>
        <w:keepNext/>
        <w:numPr>
          <w:numId w:val="0"/>
        </w:numPr>
        <w:ind w:leftChars="0"/>
      </w:pPr>
      <w:bookmarkStart w:id="5" w:name="_Toc7150"/>
      <w:r>
        <w:drawing>
          <wp:inline distT="0" distB="0" distL="114300" distR="114300">
            <wp:extent cx="3600450" cy="17843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78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602F0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3. </w:t>
      </w:r>
      <w:r>
        <w:t>Post-Training 概述</w:t>
      </w:r>
      <w:bookmarkEnd w:id="5"/>
    </w:p>
    <w:p w14:paraId="7B9D5950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6" w:name="_Toc11251"/>
      <w:r>
        <w:rPr>
          <w:rFonts w:hint="eastAsia"/>
          <w:lang w:eastAsia="zh-CN"/>
        </w:rPr>
        <w:t xml:space="preserve">3.1 </w:t>
      </w:r>
      <w:r>
        <w:t>什么是 Post-Training</w:t>
      </w:r>
      <w:bookmarkEnd w:id="6"/>
    </w:p>
    <w:p w14:paraId="575771E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Post-Training（训练后优化）是指在预训练完成后，对模型进行的一系列针对性的优化步骤。它在概念上区别于预训练（Pre-training）的两个关键点：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5907A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781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对比维度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0B7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Pre-training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F9F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Post-Training</w:t>
            </w:r>
          </w:p>
        </w:tc>
      </w:tr>
      <w:tr w14:paraId="22DC2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6ED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数据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A053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TB 级无标注文本（CommonCrawl, Wikipedia, 书籍）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E36F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标注数据（指令-回复对 / 偏好对 / Benchmark）</w:t>
            </w:r>
          </w:p>
        </w:tc>
      </w:tr>
      <w:tr w14:paraId="3A15D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C926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目标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22D7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学习通用语言分布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P(text)</m:t>
              </m:r>
            </m:oMath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335C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校准条件分布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P(response∣instruction)</m:t>
              </m:r>
            </m:oMath>
          </w:p>
        </w:tc>
      </w:tr>
      <w:tr w14:paraId="40934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0668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参数更新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1202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从随机初始化开始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BCA6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从预训练权重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开始</w:t>
            </w:r>
          </w:p>
        </w:tc>
      </w:tr>
      <w:tr w14:paraId="29092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D396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所需资源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38FA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数千 GPU 天，数百万美元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C3B4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数 GPU 天到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数 GPU 周，</w:t>
            </w:r>
            <w:r>
              <w:rPr>
                <w:rFonts w:hint="eastAsia"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  <w:lang w:val="en-US" w:eastAsia="zh-CN"/>
              </w:rPr>
              <w:t>100 ~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10,000</w:t>
            </w:r>
          </w:p>
        </w:tc>
      </w:tr>
      <w:tr w14:paraId="5EEAB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4F3A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核心挑战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0547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训练稳定性、数据质量、规模扩展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A5B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数据效率、灾难性遗忘、偏好对齐</w:t>
            </w:r>
          </w:p>
        </w:tc>
      </w:tr>
    </w:tbl>
    <w:p w14:paraId="78AA7ED2">
      <w:pPr>
        <w:spacing w:after="120"/>
      </w:pPr>
    </w:p>
    <w:p w14:paraId="562A7FD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数学统一视角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：所有 Post-Training 方法都可以看作是在调整条件分布：</w:t>
      </w:r>
    </w:p>
    <w:p w14:paraId="45AF526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P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post−train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(response∣instruction;θ)</m:t>
          </m:r>
        </m:oMath>
      </m:oMathPara>
    </w:p>
    <w:p w14:paraId="757EF14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使得它从预训练的"自由文本续写分布"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P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PT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(text∣prefix)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逐渐逼近"理想的助手分布"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P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ideal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(response∣instruction)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</w:t>
      </w:r>
    </w:p>
    <w:p w14:paraId="67B18864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7" w:name="_Toc19059"/>
      <w:r>
        <w:rPr>
          <w:rFonts w:hint="eastAsia"/>
          <w:lang w:eastAsia="zh-CN"/>
        </w:rPr>
        <w:t xml:space="preserve">3.2 </w:t>
      </w:r>
      <w:r>
        <w:t>为什么不能只做 SFT？</w:t>
      </w:r>
      <w:bookmarkEnd w:id="7"/>
    </w:p>
    <w:p w14:paraId="005C939D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SFT 虽然教会了模型"回答问题"，但它有一个致命弱点：</w:t>
      </w:r>
    </w:p>
    <w:p w14:paraId="7C3A1D9A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SFT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p>
                <m:sSup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∗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p>
              </m:s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)∼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D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SFT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[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log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π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SFT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(</m:t>
          </m:r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|x)]</m:t>
          </m:r>
        </m:oMath>
      </m:oMathPara>
    </w:p>
    <w:p w14:paraId="11B011D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这个目标函数对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所有"非参考答案"的惩罚是均等的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——无论一个错误的回答是"略微不准确"还是"极其危险"，在 SFT 的损失函数中都只是"不是</w:t>
      </w:r>
      <m:oMath>
        <m:sSup>
          <m:sSup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p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p>
            <m:r>
              <w:rPr>
                <w:rFonts w:ascii="Times New Roman" w:hAnsi="Times New Roman" w:eastAsia="宋体" w:cs="Times New Roman"/>
                <w:sz w:val="24"/>
                <w:szCs w:val="24"/>
              </w:rPr>
              <m:t>∗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p>
        </m:sSup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"：</w:t>
      </w:r>
    </w:p>
    <w:p w14:paraId="076104E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损失函数视角下的"SFT 盲区"：</w:t>
      </w:r>
    </w:p>
    <w:p w14:paraId="6AE44BB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6BF097D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SFT loss = -log P("这是一个好问题" | prompt)</w:t>
      </w:r>
    </w:p>
    <w:p w14:paraId="22D632E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= -log P("这是一个坏问题" | prompt)</w:t>
      </w:r>
    </w:p>
    <w:p w14:paraId="510750B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= -log P("我来教你如何制作炸弹" | prompt)</w:t>
      </w:r>
    </w:p>
    <w:p w14:paraId="3EDAC7D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17E6AD9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三者 loss 一样大！SFT 无法区分"不好的回答"和"危险的回答"！</w:t>
      </w:r>
    </w:p>
    <w:p w14:paraId="5E07C37C">
      <w:pPr>
        <w:spacing w:after="120"/>
      </w:pPr>
    </w:p>
    <w:p w14:paraId="6F5F708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这就是为什么 SFT 之后必须做 Alignment——Alignment 教会模型"怎么做好"和"什么不能做"。</w:t>
      </w:r>
    </w:p>
    <w:p w14:paraId="4FC0074B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详见《Alignment 技术笔记》第 1.3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：SFT 的局限包括不懂拒绝、不懂"不知道"、不懂偏好、不懂分寸、分布外脆弱。</w:t>
      </w:r>
    </w:p>
    <w:p w14:paraId="64D44B34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8" w:name="_Toc13177"/>
      <w:r>
        <w:rPr>
          <w:rFonts w:hint="eastAsia"/>
          <w:lang w:eastAsia="zh-CN"/>
        </w:rPr>
        <w:t xml:space="preserve">3.3 </w:t>
      </w:r>
      <w:r>
        <w:t>评估的必要性</w:t>
      </w:r>
      <w:bookmarkEnd w:id="8"/>
    </w:p>
    <w:p w14:paraId="3FD92E6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没有任何单一指标可以覆盖所有评估维度。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核心矛盾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1DC00D04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不存在一个静态指标能预言模型在未知任务上的表现。</w:t>
      </w:r>
    </w:p>
    <w:p w14:paraId="7FE227C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形式化地，定义一个评估维度集合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T={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T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1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T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2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,...,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T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k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}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，我们需要：</w:t>
      </w:r>
    </w:p>
    <w:p w14:paraId="4B412A98">
      <w:pPr>
        <w:pStyle w:val="12"/>
        <w:widowControl/>
        <w:numPr>
          <w:ilvl w:val="0"/>
          <w:numId w:val="1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对于每个维度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T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，定义适当的 metric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M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</w:p>
    <w:p w14:paraId="2A54C59D">
      <w:pPr>
        <w:pStyle w:val="12"/>
        <w:widowControl/>
        <w:numPr>
          <w:ilvl w:val="0"/>
          <w:numId w:val="1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选择合适的评估方式（Log-likelihood 或生成式）</w:t>
      </w:r>
    </w:p>
    <w:p w14:paraId="71AD2191">
      <w:pPr>
        <w:pStyle w:val="12"/>
        <w:widowControl/>
        <w:numPr>
          <w:ilvl w:val="0"/>
          <w:numId w:val="1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确保评估结果可复现（固定 seed、prompt 模板、解码策略）</w:t>
      </w:r>
    </w:p>
    <w:p w14:paraId="5DBA7A35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详见《Evaluation Harness 技术深度解析》第 1.2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：评估的八个核心维度（知识、数学、代码、文本理解、安全、指令遵循、Agent、多语言）。</w:t>
      </w:r>
    </w:p>
    <w:p w14:paraId="30D64E46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9" w:name="_Toc23112"/>
      <w:r>
        <w:rPr>
          <w:rFonts w:hint="eastAsia"/>
          <w:lang w:eastAsia="zh-CN"/>
        </w:rPr>
        <w:t xml:space="preserve">4. </w:t>
      </w:r>
      <w:r>
        <w:t>第一部分：Fine-tuning（指令微调）</w:t>
      </w:r>
      <w:bookmarkEnd w:id="9"/>
    </w:p>
    <w:p w14:paraId="1CC1157A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0" w:name="_Toc29160"/>
      <w:r>
        <w:rPr>
          <w:rFonts w:hint="eastAsia"/>
          <w:lang w:eastAsia="zh-CN"/>
        </w:rPr>
        <w:t xml:space="preserve">4.1 </w:t>
      </w:r>
      <w:r>
        <w:t>技术概览</w:t>
      </w:r>
      <w:bookmarkEnd w:id="10"/>
    </w:p>
    <w:p w14:paraId="5D347FB8">
      <w:pPr>
        <w:pStyle w:val="5"/>
        <w:keepNext/>
        <w:outlineLvl w:val="9"/>
      </w:pPr>
      <w:r>
        <w:t xml:space="preserve"> 4.1.1 定义与数学形式</w:t>
      </w:r>
    </w:p>
    <w:p w14:paraId="25B7963F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Fine-tuning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是指在预训练模型参数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0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的基础上，使用特定任务的标注数据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D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FT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={(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x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)</m:t>
        </m:r>
        <m:sSubSup>
          <m:sSubSup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Sup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}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i=1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  <m:sup>
            <m:r>
              <w:rPr>
                <w:rFonts w:ascii="Times New Roman" w:hAnsi="Times New Roman" w:eastAsia="宋体" w:cs="Times New Roman"/>
                <w:sz w:val="24"/>
                <w:szCs w:val="24"/>
              </w:rPr>
              <m:t>N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p>
        </m:sSubSup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继续训练：</w:t>
      </w:r>
    </w:p>
    <w:p w14:paraId="687B7774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θ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arg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min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lim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θ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>
                  </m:limLow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(θ;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D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), 初始化θ=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θ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0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</m:oMath>
      </m:oMathPara>
    </w:p>
    <w:p w14:paraId="144F85F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核心思想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：迁移学习——预训练阶段学到的通用语言知识（语法、语义、推理能力）已经编码在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0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中，微调只需在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0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附近做局部优化，找到适应下游任务的方向。</w:t>
      </w:r>
    </w:p>
    <w:p w14:paraId="6ABE2AC3">
      <w:pPr>
        <w:pStyle w:val="5"/>
        <w:keepNext/>
        <w:outlineLvl w:val="9"/>
      </w:pPr>
      <w:r>
        <w:t xml:space="preserve"> 4.1.2 SFT 的损失函数详解</w:t>
      </w:r>
    </w:p>
    <w:p w14:paraId="5E936EF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对于生成式任务（LLM 微调），训练目标与预训练相同——Next Token Prediction，但数据分布从通用文本变为指令-回复对：</w:t>
      </w:r>
    </w:p>
    <w:p w14:paraId="6DF0617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SFT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=−</m:t>
          </m:r>
          <m:f>
            <m:f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Pr>
            <m:num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um>
            <m:den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N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aryPr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i=1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N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t=1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  <m:sup>
                  <m:sSub>
                    <m:sSub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T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i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p>
                <m:e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nary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nary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log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P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θ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i,t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|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x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i,&lt;t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</m:t>
          </m:r>
        </m:oMath>
      </m:oMathPara>
    </w:p>
    <w:p w14:paraId="3B23B35D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关键细节——Loss Masking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0F66A0F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在实际实现中，仅计算 assistant 回复部分的损失，user 指令部分被 mask 掉：</w:t>
      </w:r>
    </w:p>
    <w:p w14:paraId="34F52D3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[Prompt]: "User: 什么是机器学习？\nAssistant: 机器学习是人工智能的一个分支..."</w:t>
      </w:r>
    </w:p>
    <w:p w14:paraId="4CE39CF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^^^^^^^^^^^^^^^^^^^^^^^^^  ^^^^^^^^^^^^^^^^^^^^^^^^^^^^^^^^^^^^^^^^</w:t>
      </w:r>
    </w:p>
    <w:p w14:paraId="71B92957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            mask (不计算loss)          计算loss (仅这部分)</w:t>
      </w:r>
    </w:p>
    <w:p w14:paraId="29E04F0A">
      <w:pPr>
        <w:spacing w:after="120"/>
      </w:pPr>
    </w:p>
    <w:p w14:paraId="2154CB49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数学上，loss mask 的实现为：</w:t>
      </w:r>
    </w:p>
    <w:p w14:paraId="3D65CEB8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SFT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=−</m:t>
          </m:r>
          <m:f>
            <m:f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Pr>
            <m:num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  <m:sup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M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i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nary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aryPr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i=1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N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  <m:e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M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nary>
          <m:r>
            <w:rPr>
              <w:rFonts w:ascii="Times New Roman" w:hAnsi="Times New Roman" w:eastAsia="宋体" w:cs="Times New Roman"/>
              <w:sz w:val="24"/>
              <w:szCs w:val="24"/>
            </w:rPr>
            <m:t>⋅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log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P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θ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|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x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&lt;i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</m:t>
          </m:r>
        </m:oMath>
      </m:oMathPara>
    </w:p>
    <w:p w14:paraId="3AA86D5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M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∈{0,1}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是 mask 向量，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M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=1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当且仅当位置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i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属于 assistant 回复。</w:t>
      </w:r>
    </w:p>
    <w:p w14:paraId="11A172B4">
      <w:pPr>
        <w:pStyle w:val="5"/>
        <w:keepNext/>
        <w:outlineLvl w:val="9"/>
      </w:pPr>
      <w:r>
        <w:t xml:space="preserve"> 4.1.3 三种训练范式的数学对比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76EC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047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范式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D7B4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损失函数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BFF4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特点</w:t>
            </w:r>
          </w:p>
        </w:tc>
      </w:tr>
      <w:tr w14:paraId="28D11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F863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自回归 LM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（GPT）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8EB32">
            <w:pPr>
              <w:spacing w:after="40"/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0"/>
                      </w:rPr>
                      <m:t>ℒ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AR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t=1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T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 w:eastAsia="Consolas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onsolas"/>
                            <w:sz w:val="20"/>
                          </w:rPr>
                          <m:t>log</m:t>
                        </m:r>
                        <m:ctrlPr>
                          <w:rPr>
                            <w:rFonts w:ascii="Cambria Math" w:hAnsi="Cambria Math" w:eastAsia="Consolas"/>
                            <w:sz w:val="20"/>
                          </w:rPr>
                        </m:ctrlPr>
                      </m:fName>
                      <m:e>
                        <m:ctrlPr>
                          <w:rPr>
                            <w:rFonts w:ascii="Cambria Math" w:hAnsi="Cambria Math" w:eastAsia="Consolas"/>
                            <w:sz w:val="20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P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θ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x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t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x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&lt;t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)</m:t>
                </m:r>
              </m:oMath>
            </m:oMathPara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79D7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单向上下文，天然生成</w:t>
            </w:r>
          </w:p>
        </w:tc>
      </w:tr>
      <w:tr w14:paraId="71AF0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CBA8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掩码 LM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（BERT）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A5556">
            <w:pPr>
              <w:spacing w:after="40"/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0"/>
                      </w:rPr>
                      <m:t>ℒ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MLM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i∈</m:t>
                    </m:r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0"/>
                      </w:rPr>
                      <m:t>ℳ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  <m:sup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 w:eastAsia="Consolas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onsolas"/>
                            <w:sz w:val="20"/>
                          </w:rPr>
                          <m:t>log</m:t>
                        </m:r>
                        <m:ctrlPr>
                          <w:rPr>
                            <w:rFonts w:ascii="Cambria Math" w:hAnsi="Cambria Math" w:eastAsia="Consolas"/>
                            <w:sz w:val="20"/>
                          </w:rPr>
                        </m:ctrlPr>
                      </m:fName>
                      <m:e>
                        <m:ctrlPr>
                          <w:rPr>
                            <w:rFonts w:ascii="Cambria Math" w:hAnsi="Cambria Math" w:eastAsia="Consolas"/>
                            <w:sz w:val="20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P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θ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x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i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x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\</m:t>
                    </m:r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0"/>
                      </w:rPr>
                      <m:t>ℳ</m:t>
                    </m: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)</m:t>
                </m:r>
              </m:oMath>
            </m:oMathPara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8E0A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双向上下文，天然理解</w:t>
            </w:r>
          </w:p>
        </w:tc>
      </w:tr>
      <w:tr w14:paraId="0B953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FAF4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前缀 LM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（T5）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1E85A">
            <w:pPr>
              <w:spacing w:after="40"/>
            </w:pPr>
            <m:oMathPara>
              <m:oMath>
                <m:r>
                  <m:rPr/>
                  <w:rPr>
                    <w:rFonts w:hint="default" w:ascii="Cambria Math" w:hAnsi="Cambria Math" w:eastAsia="Arial"/>
                    <w:sz w:val="22"/>
                  </w:rPr>
                  <m:t>$</m:t>
                </m:r>
                <m:sSub>
                  <m:sSubP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2"/>
                      </w:rPr>
                      <m:t>ℒ</m:t>
                    </m:r>
                    <m:ctrlPr>
                      <w:rPr>
                        <w:rFonts w:ascii="Cambria Math" w:hAnsi="Cambria Math" w:eastAsia="Arial"/>
                        <w:sz w:val="22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Prefix</m:t>
                    </m:r>
                    <m:ctrlPr>
                      <w:rPr>
                        <w:rFonts w:ascii="Cambria Math" w:hAnsi="Cambria Math" w:eastAsia="Arial"/>
                        <w:sz w:val="22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Arial"/>
                    <w:sz w:val="22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t=|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 w:eastAsia="Arial"/>
                        <w:sz w:val="22"/>
                      </w:rPr>
                      <m:t>p</m:t>
                    </m:r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|+1</m:t>
                    </m:r>
                    <m:ctrlPr>
                      <w:rPr>
                        <w:rFonts w:ascii="Cambria Math" w:hAnsi="Cambria Math" w:eastAsia="Arial"/>
                        <w:sz w:val="22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|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 w:eastAsia="Arial"/>
                        <w:sz w:val="22"/>
                      </w:rPr>
                      <m:t>p</m:t>
                    </m:r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|+|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 w:eastAsia="Arial"/>
                        <w:sz w:val="22"/>
                      </w:rPr>
                      <m:t>t</m:t>
                    </m:r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|</m:t>
                    </m:r>
                    <m:ctrlPr>
                      <w:rPr>
                        <w:rFonts w:ascii="Cambria Math" w:hAnsi="Cambria Math" w:eastAsia="Arial"/>
                        <w:sz w:val="22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 w:eastAsia="Arial"/>
                            <w:sz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/>
                            <w:sz w:val="22"/>
                          </w:rPr>
                          <m:t>log</m:t>
                        </m:r>
                        <m:ctrlPr>
                          <w:rPr>
                            <w:rFonts w:ascii="Cambria Math" w:hAnsi="Cambria Math" w:eastAsia="Arial"/>
                            <w:sz w:val="22"/>
                          </w:rPr>
                        </m:ctrlPr>
                      </m:fName>
                      <m:e>
                        <m:ctrlPr>
                          <w:rPr>
                            <w:rFonts w:ascii="Cambria Math" w:hAnsi="Cambria Math" w:eastAsia="Arial"/>
                            <w:sz w:val="22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P</m:t>
                    </m: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θ</m:t>
                    </m: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Arial"/>
                    <w:sz w:val="22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x</m:t>
                    </m: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t</m:t>
                    </m: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Arial"/>
                    <w:sz w:val="22"/>
                  </w:rPr>
                  <m:t>∣</m:t>
                </m:r>
                <m:r>
                  <m:rPr>
                    <m:sty m:val="b"/>
                  </m:rPr>
                  <w:rPr>
                    <w:rFonts w:hint="default" w:ascii="Cambria Math" w:hAnsi="Cambria Math" w:eastAsia="Arial"/>
                    <w:sz w:val="22"/>
                  </w:rPr>
                  <m:t>p</m:t>
                </m:r>
                <m:sSub>
                  <m:sSubP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x</m:t>
                    </m: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|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 w:eastAsia="Arial"/>
                        <w:sz w:val="22"/>
                      </w:rPr>
                      <m:t>p</m:t>
                    </m:r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|+1:t−1</m:t>
                    </m: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Arial"/>
                    <w:sz w:val="22"/>
                  </w:rPr>
                  <m:t>)$</m:t>
                </m:r>
              </m:oMath>
            </m:oMathPara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ACF9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前缀双向 + 目标自回归</w:t>
            </w:r>
          </w:p>
        </w:tc>
      </w:tr>
    </w:tbl>
    <w:p w14:paraId="11FB76B3">
      <w:pPr>
        <w:spacing w:after="120"/>
      </w:pPr>
    </w:p>
    <w:p w14:paraId="029FC6F2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详见《Fine-tuning 技术笔记》第 1.2 节和第 3.3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：预训练目标函数对比及 Fine-tuning 的数学定义。</w:t>
      </w:r>
    </w:p>
    <w:p w14:paraId="04430101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1" w:name="_Toc12750"/>
      <w:r>
        <w:rPr>
          <w:rFonts w:hint="eastAsia"/>
          <w:lang w:eastAsia="zh-CN"/>
        </w:rPr>
        <w:t xml:space="preserve">4.2 </w:t>
      </w:r>
      <w:r>
        <w:t>Full Fine-tuning vs PEFT</w:t>
      </w:r>
      <w:bookmarkEnd w:id="11"/>
    </w:p>
    <w:p w14:paraId="3E4E228F">
      <w:pPr>
        <w:pStyle w:val="5"/>
        <w:keepNext/>
        <w:outlineLvl w:val="9"/>
      </w:pPr>
      <w:r>
        <w:t xml:space="preserve"> 4.2.1 Full FT 的显存消耗精确分析</w:t>
      </w:r>
    </w:p>
    <w:p w14:paraId="344316CC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Full FT 的显存开销由四部分组成，这是理解为什么需要 PEFT 的关键：</w:t>
      </w:r>
    </w:p>
    <w:p w14:paraId="26C9A0D4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TotalMemory≈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groupChr>
                <m:groupChrPr>
                  <m:ctrlPr>
                    <w:rPr>
                      <w:rFonts w:ascii="Cambria Math" w:hAnsi="Cambria Math" w:eastAsia="宋体" w:cs="Times New Roman"/>
                      <w:i/>
                      <w:sz w:val="24"/>
                      <w:szCs w:val="24"/>
                    </w:rPr>
                  </m:ctrlPr>
                </m:groupChr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P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groupChr>
              <m:ctrlPr>
                <w:rPr>
                  <w:rFonts w:ascii="Cambria Math" w:hAnsi="Cambria Math" w:eastAsia="宋体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模型参数</m:t>
              </m:r>
              <m:ctrlPr>
                <w:rPr>
                  <w:rFonts w:ascii="Cambria Math" w:hAnsi="Cambria Math" w:eastAsia="宋体" w:cs="Times New Roman"/>
                  <w:i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groupChr>
                <m:groupChrPr>
                  <m:ctrlPr>
                    <w:rPr>
                      <w:rFonts w:ascii="Cambria Math" w:hAnsi="Cambria Math" w:eastAsia="宋体" w:cs="Times New Roman"/>
                      <w:i/>
                      <w:sz w:val="24"/>
                      <w:szCs w:val="24"/>
                    </w:rPr>
                  </m:ctrlPr>
                </m:groupChr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P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groupChr>
              <m:ctrlPr>
                <w:rPr>
                  <w:rFonts w:ascii="Cambria Math" w:hAnsi="Cambria Math" w:eastAsia="宋体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梯度</m:t>
              </m:r>
              <m:ctrlPr>
                <w:rPr>
                  <w:rFonts w:ascii="Cambria Math" w:hAnsi="Cambria Math" w:eastAsia="宋体" w:cs="Times New Roman"/>
                  <w:i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groupChr>
                <m:groupChrPr>
                  <m:ctrlPr>
                    <w:rPr>
                      <w:rFonts w:ascii="Cambria Math" w:hAnsi="Cambria Math" w:eastAsia="宋体" w:cs="Times New Roman"/>
                      <w:i/>
                      <w:sz w:val="24"/>
                      <w:szCs w:val="24"/>
                    </w:rPr>
                  </m:ctrlPr>
                </m:groupChr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2P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groupChr>
              <m:ctrlPr>
                <w:rPr>
                  <w:rFonts w:ascii="Cambria Math" w:hAnsi="Cambria Math" w:eastAsia="宋体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Adam优化器状态</m:t>
              </m:r>
              <m:ctrlPr>
                <w:rPr>
                  <w:rFonts w:ascii="Cambria Math" w:hAnsi="Cambria Math" w:eastAsia="宋体" w:cs="Times New Roman"/>
                  <w:i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groupChr>
                <m:groupChrPr>
                  <m:ctrlPr>
                    <w:rPr>
                      <w:rFonts w:ascii="Cambria Math" w:hAnsi="Cambria Math" w:eastAsia="宋体" w:cs="Times New Roman"/>
                      <w:i/>
                      <w:sz w:val="24"/>
                      <w:szCs w:val="24"/>
                    </w:rPr>
                  </m:ctrlPr>
                </m:groupChr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激活值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groupChr>
              <m:ctrlPr>
                <w:rPr>
                  <w:rFonts w:ascii="Cambria Math" w:hAnsi="Cambria Math" w:eastAsia="宋体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O(B⋅L⋅d⋅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n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layers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</m:oMath>
      </m:oMathPara>
    </w:p>
    <w:p w14:paraId="2EE56D8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Adam 优化器为什么需要额外 2P 参数？</w:t>
      </w:r>
    </w:p>
    <w:p w14:paraId="3EDFA4A5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Adam 的更新规则需要维护两个额外的状态变量：</w:t>
      </w:r>
    </w:p>
    <w:p w14:paraId="6E29BBE5">
      <w:pPr>
        <w:pStyle w:val="12"/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m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m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t−1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+(1−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 （一阶矩估计，FP32）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v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2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v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t−1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+(1−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2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</m:t>
          </m:r>
          <m:sSubSup>
            <m:sSub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2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bSup>
          <m:r>
            <w:rPr>
              <w:rFonts w:ascii="Times New Roman" w:hAnsi="Times New Roman" w:eastAsia="宋体" w:cs="Times New Roman"/>
              <w:sz w:val="24"/>
              <w:szCs w:val="24"/>
            </w:rPr>
            <m:t> （二阶矩估计，FP32）</m:t>
          </m:r>
        </m:oMath>
      </m:oMathPara>
    </w:p>
    <w:p w14:paraId="2DFA988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完整显存分解（7B 模型）：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3E131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14C1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组件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B9E7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精度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A71C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大小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B20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3997D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B6BA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模型参数</w:t>
            </w:r>
            <m:oMath>
              <m:r>
                <m:rPr/>
                <w:rPr>
                  <w:rFonts w:hint="default" w:ascii="Cambria Math" w:hAnsi="Cambria Math" w:eastAsia="Arial"/>
                  <w:sz w:val="22"/>
                </w:rPr>
                <m:t>θ</m:t>
              </m:r>
            </m:oMath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CDD0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FP16/BF16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B0A5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~14 GB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24F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前向和反向传播</w:t>
            </w:r>
          </w:p>
        </w:tc>
      </w:tr>
      <w:tr w14:paraId="3CF8A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F14A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梯度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∇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0"/>
                </w:rPr>
                <m:t>ℒ</m:t>
              </m:r>
            </m:oMath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9530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FP16/BF16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810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~14 GB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4C75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反向传播产生</w:t>
            </w:r>
          </w:p>
        </w:tc>
      </w:tr>
      <w:tr w14:paraId="30FFA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D34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Adam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（FP32 主副本）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728C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FP32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4FB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~28 GB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ECDC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一阶矩</w:t>
            </w:r>
          </w:p>
        </w:tc>
      </w:tr>
      <w:tr w14:paraId="521A9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3E06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Adam</w:t>
            </w:r>
            <m:oMath>
              <m:sSub>
                <m:sSubPr>
                  <m:ctrlPr>
                    <w:rPr>
                      <w:rFonts w:hint="default" w:ascii="Cambria Math" w:hAnsi="Cambria Math" w:eastAsia="Arial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Arial"/>
                      <w:sz w:val="22"/>
                    </w:rPr>
                    <m:t>v</m:t>
                  </m:r>
                  <m:ctrlPr>
                    <w:rPr>
                      <w:rFonts w:ascii="Cambria Math" w:hAnsi="Cambria Math" w:eastAsia="Arial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Arial"/>
                      <w:sz w:val="22"/>
                    </w:rPr>
                    <m:t>t</m:t>
                  </m:r>
                  <m:ctrlPr>
                    <w:rPr>
                      <w:rFonts w:ascii="Cambria Math" w:hAnsi="Cambria Math" w:eastAsia="Arial"/>
                      <w:sz w:val="22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（FP32 主副本）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32A8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FP32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8C01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~28 GB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3909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二阶矩</w:t>
            </w:r>
          </w:p>
        </w:tc>
      </w:tr>
      <w:tr w14:paraId="4E6AF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8B38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激活值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0B43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FP16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6DC6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~28-56 GB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08C7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取决于 batch size</w:t>
            </w:r>
          </w:p>
        </w:tc>
      </w:tr>
      <w:tr w14:paraId="3F04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74E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合计（不含激活值）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053E">
            <w:pPr>
              <w:spacing w:after="40"/>
            </w:pP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D213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~84 GB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B8DC7">
            <w:pPr>
              <w:spacing w:after="40"/>
            </w:pPr>
          </w:p>
        </w:tc>
      </w:tr>
      <w:tr w14:paraId="76B98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A45B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合计（含激活值）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0B0E">
            <w:pPr>
              <w:spacing w:after="40"/>
            </w:pP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8615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~112-140 GB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9D982">
            <w:pPr>
              <w:spacing w:after="40"/>
            </w:pPr>
          </w:p>
        </w:tc>
      </w:tr>
    </w:tbl>
    <w:p w14:paraId="2AE7F16C">
      <w:pPr>
        <w:spacing w:after="120"/>
      </w:pPr>
    </w:p>
    <w:p w14:paraId="7F88374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这就是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7B×16bytes≈112GB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经验公式的来源。</w:t>
      </w:r>
    </w:p>
    <w:p w14:paraId="457CC70F">
      <w:pPr>
        <w:pStyle w:val="5"/>
        <w:keepNext/>
        <w:outlineLvl w:val="9"/>
      </w:pPr>
      <w:r>
        <w:t xml:space="preserve"> 4.2.2 PEFT 的数学定义</w:t>
      </w:r>
    </w:p>
    <w:p w14:paraId="64F5A2C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PEFT（Parameter-Efficient Fine-tuning）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的核心思想是冻结绝大多数预训练参数，仅优化极少量的额外参数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ϕ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199E700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θ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θ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0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∪</m:t>
          </m:r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ϕ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, </m:t>
          </m:r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ϕ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arg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min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lim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ϕ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>
                  </m:limLow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ℒ(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θ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0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,ϕ;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D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</m:t>
          </m:r>
        </m:oMath>
      </m:oMathPara>
    </w:p>
    <w:p w14:paraId="130AAE0D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0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冻结不变，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ϕ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为可训练的新参数，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|ϕ|≪|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0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|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</w:t>
      </w:r>
    </w:p>
    <w:p w14:paraId="3786DBBD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从优化视角看，PEFT 将搜索限制在低维子流形上：</w:t>
      </w:r>
    </w:p>
    <w:p w14:paraId="41AD27C0">
      <w:pPr>
        <w:pStyle w:val="12"/>
        <w:widowControl/>
        <w:numPr>
          <w:ilvl w:val="0"/>
          <w:numId w:val="2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Full FT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：在 </w:t>
      </w:r>
      <m:oMath>
        <m:sSup>
          <m:sSup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p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ℝ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p>
            <m:r>
              <w:rPr>
                <w:rFonts w:ascii="Times New Roman" w:hAnsi="Times New Roman" w:eastAsia="宋体" w:cs="Times New Roman"/>
                <w:sz w:val="24"/>
                <w:szCs w:val="24"/>
              </w:rPr>
              <m:t>|θ|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p>
        </m:sSup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中搜索（高维，灵活但易过拟合）</w:t>
      </w:r>
    </w:p>
    <w:p w14:paraId="62E3D2FE">
      <w:pPr>
        <w:pStyle w:val="12"/>
        <w:widowControl/>
        <w:numPr>
          <w:ilvl w:val="0"/>
          <w:numId w:val="2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PEFT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：在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{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0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+Δθ(ϕ)}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上搜索的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结构约束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（低维，正则化）</w:t>
      </w:r>
    </w:p>
    <w:p w14:paraId="28F14F3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这解释了为什么 PEFT 在小数据集上不容易过拟合——低维搜索空间天然具有正则化效应。</w:t>
      </w:r>
    </w:p>
    <w:p w14:paraId="4A2CB0A3">
      <w:pPr>
        <w:pStyle w:val="5"/>
        <w:keepNext/>
        <w:pageBreakBefore/>
        <w:outlineLvl w:val="9"/>
      </w:pPr>
      <w:r>
        <w:t xml:space="preserve"> 4.2.3 四种主流 PEFT 方法的数学本质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53E9E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6256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4F9F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参数化方式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41E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可训练参数占比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F47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推理开销</w:t>
            </w:r>
          </w:p>
        </w:tc>
      </w:tr>
      <w:tr w14:paraId="25A02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DA13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Adapter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923">
            <w:pPr>
              <w:spacing w:after="40"/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h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out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h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in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f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act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h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in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down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)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up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1818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~2%-5%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35AA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有（串行瓶颈层）</w:t>
            </w:r>
          </w:p>
        </w:tc>
      </w:tr>
      <w:tr w14:paraId="16D70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7902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Prefix Tuning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68E42">
            <w:pPr>
              <w:spacing w:after="40"/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K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aug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=[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P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K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;</m:t>
                </m:r>
                <m:r>
                  <m:rPr>
                    <m:sty m:val="b"/>
                  </m:rPr>
                  <w:rPr>
                    <w:rFonts w:hint="default" w:ascii="Cambria Math" w:hAnsi="Cambria Math" w:eastAsia="Consolas"/>
                    <w:sz w:val="20"/>
                  </w:rPr>
                  <m:t>K</m:t>
                </m:r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],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V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aug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=[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P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V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;</m:t>
                </m:r>
                <m:r>
                  <m:rPr>
                    <m:sty m:val="b"/>
                  </m:rPr>
                  <w:rPr>
                    <w:rFonts w:hint="default" w:ascii="Cambria Math" w:hAnsi="Cambria Math" w:eastAsia="Consolas"/>
                    <w:sz w:val="20"/>
                  </w:rPr>
                  <m:t>V</m:t>
                </m:r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]</m:t>
                </m:r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D3D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~0.1%-1%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FA8E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有（KV cache 增长）</w:t>
            </w:r>
          </w:p>
        </w:tc>
      </w:tr>
      <w:tr w14:paraId="433CD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819F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Prompt Tuning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34F6A">
            <w:pPr>
              <w:spacing w:after="40"/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E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aug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=[</m:t>
                </m:r>
                <m:r>
                  <m:rPr>
                    <m:sty m:val="b"/>
                  </m:rPr>
                  <w:rPr>
                    <w:rFonts w:hint="default" w:ascii="Cambria Math" w:hAnsi="Cambria Math" w:eastAsia="Consolas"/>
                    <w:sz w:val="20"/>
                  </w:rPr>
                  <m:t>P</m:t>
                </m:r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;</m:t>
                </m:r>
                <m:r>
                  <m:rPr>
                    <m:sty m:val="b"/>
                  </m:rPr>
                  <w:rPr>
                    <w:rFonts w:hint="default" w:ascii="Cambria Math" w:hAnsi="Cambria Math" w:eastAsia="Consolas"/>
                    <w:sz w:val="20"/>
                  </w:rPr>
                  <m:t>E</m:t>
                </m:r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(x)]</m:t>
                </m:r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A5A4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~0.001%-0.01%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84DE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无</w:t>
            </w:r>
          </w:p>
        </w:tc>
      </w:tr>
      <w:tr w14:paraId="42CEE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25EA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LoRA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9C948">
            <w:pPr>
              <w:spacing w:after="40"/>
            </w:pPr>
            <m:oMathPara>
              <m:oMath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h=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x+</m:t>
                </m:r>
                <m:f>
                  <m:f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α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r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BAx</m:t>
                </m:r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DA96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~0.1%-1%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74BD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无（可合并）</w:t>
            </w:r>
          </w:p>
        </w:tc>
      </w:tr>
    </w:tbl>
    <w:p w14:paraId="0221A90E">
      <w:pPr>
        <w:spacing w:after="120"/>
      </w:pPr>
    </w:p>
    <w:p w14:paraId="3876F3FF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详见《Fine-tuning 技术笔记》第 4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：完整对比表格和每种方法的详细分析。</w:t>
      </w:r>
    </w:p>
    <w:p w14:paraId="572144E6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2" w:name="_Toc7418"/>
      <w:r>
        <w:rPr>
          <w:rFonts w:hint="eastAsia"/>
          <w:lang w:eastAsia="zh-CN"/>
        </w:rPr>
        <w:t xml:space="preserve">4.3 </w:t>
      </w:r>
      <w:r>
        <w:t>案例分析：Alpaca（Self-Instruct 指令微调）</w:t>
      </w:r>
      <w:bookmarkEnd w:id="12"/>
    </w:p>
    <w:p w14:paraId="4CE34AF3">
      <w:pPr>
        <w:pStyle w:val="5"/>
        <w:keepNext/>
        <w:outlineLvl w:val="9"/>
      </w:pPr>
      <w:r>
        <w:t xml:space="preserve"> 4.3.1 动机与背景</w:t>
      </w:r>
    </w:p>
    <w:p w14:paraId="1A2388A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Stanford Alpaca（2023 年 3 月）是首个以极低成本（~100）复现 GPT-3.5 级别指令跟随能力的开源模型。它的核心创新是用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模型生成训练数据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（Self-Instruct），解决了高质量指令数据的瓶颈问题。</w:t>
      </w:r>
    </w:p>
    <w:p w14:paraId="60B768E2">
      <w:pPr>
        <w:pStyle w:val="5"/>
        <w:keepNext/>
        <w:outlineLvl w:val="9"/>
      </w:pPr>
      <w:r>
        <w:t xml:space="preserve"> 4.3.2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7B3A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ECB5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5F7D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1D773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23F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29C8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高质量指令数据稀缺且昂贵（人工标注一条指令-回复对约 1-5）。Alpaca 证明：用强大模型自动生成指令数据 + 在开源基座模型上微调，可以以极低成本获得接近 GPT-3.5 的指令跟随能力</w:t>
            </w:r>
          </w:p>
        </w:tc>
      </w:tr>
      <w:tr w14:paraId="68249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3194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7909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52K 条 instruction-input-output 三元组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。通过 Self-Instruct 管线生成：175 条种子指令 → 调用 text-davinci-003 扩增 → ROUGE-L 去重 → 质量过滤</w:t>
            </w:r>
          </w:p>
        </w:tc>
      </w:tr>
      <w:tr w14:paraId="2F6FA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9A6F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E377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Alpaca 7B 指令模型。全量微调 LLaMA 7B，3 epochs，8×A100 80GB，~3 小时完成</w:t>
            </w:r>
          </w:p>
        </w:tc>
      </w:tr>
      <w:tr w14:paraId="65663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C231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数学原理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F7D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Self-Instruct 是一种数据增强——在语义空间做扩展而非特征空间变换：教师模型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（GPT-3.5）基于种子分布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P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seed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生成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D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synth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={(x,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(x))∣x∼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P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expansion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P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seed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)}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。学生模型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S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（LLaMA 7B）在合成数据上做监督学习，目标是最小化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0"/>
                    </w:rPr>
                    <m:t>ℒ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SFT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=−</m:t>
              </m:r>
              <m:nary>
                <m:naryPr>
                  <m:chr m:val="∑"/>
                  <m:limLoc m:val="subSup"/>
                  <m:subHide m:val="1"/>
                  <m:supHide m:val="1"/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naryPr>
                <m:sub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  <m:sup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  <m:e>
                  <m:func>
                    <m:func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Consolas"/>
                          <w:sz w:val="20"/>
                        </w:rPr>
                        <m:t>log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fName>
                    <m:e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</m:func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P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M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S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(y∣x)</m:t>
              </m:r>
            </m:oMath>
          </w:p>
        </w:tc>
      </w:tr>
      <w:tr w14:paraId="23C2D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8B39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76E5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人工编写 175 条种子指令（覆盖写作、编程、问答等）；② 将种子任务作为 few-shot 示例，调用 text-davinci-003（GPT-3.5）生成新指令；③ 判断是否为分类任务——是则先生成类别，再生成 input；④ 调用 GPT-3.5 为每条指令生成 output；⑤ 过滤（去重、质量检查），得到 52K 条数据；⑥ 用标准 SFT 损失微调 LLaMA 7B</w:t>
            </w:r>
          </w:p>
        </w:tc>
      </w:tr>
      <w:tr w14:paraId="3003A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EF15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944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成本极低（100 + 3 小时），大幅降低指令微调门槛；② 数据质量压倒数量（过滤后的 52K 效果远超更大但更嘈杂的数据集）；③ 验证了"教师模型蒸馏"的可行性——GPT-3.5 的 RLHF 对齐风格通过蒸馏传递给了 Alpaca</w:t>
            </w:r>
          </w:p>
        </w:tc>
      </w:tr>
      <w:tr w14:paraId="468C5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DACA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1F0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LLaMA 非商用协议限制实际应用；② 蒸馏争议（OpenAI 服务条款禁止用 API 输出训练竞争模型）；③ 未经 RLHF，幻觉率显著高于 ChatGPT；④ 安全未对齐，易被诱导生成有害内容；⑤ 种子指令覆盖面有限（偏重英语、编程、常识）</w:t>
            </w:r>
          </w:p>
        </w:tc>
      </w:tr>
      <w:tr w14:paraId="5B234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5C6F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0F86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指令微调（SFT）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的代表性案例，展示了用 Self-Instruct 解决数据瓶颈——属于 Fine-tuning 阶段的核心实践</w:t>
            </w:r>
          </w:p>
        </w:tc>
      </w:tr>
    </w:tbl>
    <w:p w14:paraId="0411006F">
      <w:pPr>
        <w:pStyle w:val="5"/>
        <w:keepNext/>
        <w:outlineLvl w:val="9"/>
      </w:pPr>
      <w:r>
        <w:t xml:space="preserve"> 4.3.3 三种数据格式详解</w:t>
      </w:r>
    </w:p>
    <w:p w14:paraId="3A3FE05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微调数据的格式直接影响模型的行为。以下是三种主流格式：</w:t>
      </w:r>
    </w:p>
    <w:p w14:paraId="5BBA730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Alpaca 格式（单轮指令）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6F941992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{</w:t>
      </w:r>
    </w:p>
    <w:p w14:paraId="1508CF3A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"instruction": "将以下句子翻译成英文。",</w:t>
      </w:r>
    </w:p>
    <w:p w14:paraId="3EFF3384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"input": "今天天气真好。",</w:t>
      </w:r>
    </w:p>
    <w:p w14:paraId="1546532A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"output": "The weather is really nice today."</w:t>
      </w:r>
    </w:p>
    <w:p w14:paraId="0D058E0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}</w:t>
      </w:r>
    </w:p>
    <w:p w14:paraId="45865AEC">
      <w:pPr>
        <w:spacing w:after="120"/>
      </w:pPr>
    </w:p>
    <w:p w14:paraId="389210B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ShareGPT 格式（多轮对话）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2036D498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{</w:t>
      </w:r>
    </w:p>
    <w:p w14:paraId="1021A6BC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"conversations": [</w:t>
      </w:r>
    </w:p>
    <w:p w14:paraId="71F19F7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{"from": "human", "value": "你好，请帮我写一个快速排序。"},</w:t>
      </w:r>
    </w:p>
    <w:p w14:paraId="3B4829F6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{"from": "gpt", "value": "当然，以下是 Python 实现的快速排序：\n```python\ndef quicksort(arr):\n    ...```"},</w:t>
      </w:r>
    </w:p>
    <w:p w14:paraId="28B134D7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{"from": "human", "value": "能加上注释吗？"},</w:t>
      </w:r>
    </w:p>
    <w:p w14:paraId="18F08A0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{"from": "gpt", "value": "好的，这是带注释的版本：\n```python\ndef quicksort(arr):\n    # 递归终止条件\n    ...```"}</w:t>
      </w:r>
    </w:p>
    <w:p w14:paraId="444457D2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]</w:t>
      </w:r>
    </w:p>
    <w:p w14:paraId="0F52C76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}</w:t>
      </w:r>
    </w:p>
    <w:p w14:paraId="5979AFB2">
      <w:pPr>
        <w:spacing w:after="120"/>
      </w:pPr>
    </w:p>
    <w:p w14:paraId="24BAA47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ChatML 格式（业界标准，推荐）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38AB242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{</w:t>
      </w:r>
    </w:p>
    <w:p w14:paraId="45D16DD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"messages": [</w:t>
      </w:r>
    </w:p>
    <w:p w14:paraId="07E47FA2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{"role": "system", "content": "你是一个有帮助的AI助手。"},</w:t>
      </w:r>
    </w:p>
    <w:p w14:paraId="11CC7BD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{"role": "user", "content": "什么是快速排序？"},</w:t>
      </w:r>
    </w:p>
    <w:p w14:paraId="7D412C91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{"role": "assistant", "content": "快速排序是一种分治排序算法，其核心思想是..."}</w:t>
      </w:r>
    </w:p>
    <w:p w14:paraId="4257F7C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]</w:t>
      </w:r>
    </w:p>
    <w:p w14:paraId="575B9A6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}</w:t>
      </w:r>
    </w:p>
    <w:p w14:paraId="6D53A16E">
      <w:pPr>
        <w:spacing w:after="120"/>
      </w:pPr>
    </w:p>
    <w:p w14:paraId="300296DF">
      <w:pPr>
        <w:pBdr>
          <w:left w:val="single" w:color="2E75B6" w:sz="12" w:space="8"/>
        </w:pBdr>
        <w:shd w:val="clear" w:fill="F0F4F8"/>
        <w:spacing w:after="120" w:line="276" w:lineRule="auto"/>
        <w:ind w:left="36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🔗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详见《Fine-tuning 技术笔记》第 8 节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：三种数据格式的详细对比和选择建议。</w:t>
      </w:r>
    </w:p>
    <w:p w14:paraId="1A1DB573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3" w:name="_Toc23885"/>
      <w:r>
        <w:rPr>
          <w:rFonts w:hint="eastAsia"/>
          <w:lang w:eastAsia="zh-CN"/>
        </w:rPr>
        <w:t xml:space="preserve">4.4 </w:t>
      </w:r>
      <w:r>
        <w:t>案例分析：LoRA（低秩适配微调）</w:t>
      </w:r>
      <w:bookmarkEnd w:id="13"/>
    </w:p>
    <w:p w14:paraId="32E2378A">
      <w:pPr>
        <w:pStyle w:val="5"/>
        <w:keepNext/>
        <w:outlineLvl w:val="9"/>
      </w:pPr>
      <w:r>
        <w:t xml:space="preserve"> 4.4.1 理论动机：本征维度假说</w:t>
      </w:r>
    </w:p>
    <w:p w14:paraId="4C85C94E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LoRA 的设计深受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本征维度（Intrinsic Dimension）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 研究启发。Aghajanyan et al. (2020) 发现：</w:t>
      </w:r>
    </w:p>
    <w:p w14:paraId="005644B7">
      <w:pPr>
        <w:pBdr>
          <w:left w:val="single" w:color="2E75B6" w:sz="12" w:space="8"/>
        </w:pBdr>
        <w:shd w:val="clear" w:fill="F0F4F8"/>
        <w:spacing w:after="120" w:line="276" w:lineRule="auto"/>
        <w:ind w:left="36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即使模型有数十亿参数，其参数更新的有效自由度（即本征维度）远小于参数总量。对于大多数下游任务，在一个仅几百维的随机子空间中优化就足以达到全参数微调 90% 以上的效果。</w:t>
      </w:r>
    </w:p>
    <w:p w14:paraId="79E0D92D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这暗示一个关键性质：</w:t>
      </w:r>
      <m:oMath>
        <m:r>
          <m:rPr/>
          <w:rPr>
            <w:rFonts w:hint="default" w:ascii="Cambria Math" w:hAnsi="Cambria Math" w:eastAsia="Consolas"/>
            <w:sz w:val="20"/>
          </w:rPr>
          <m:t>rank(ΔW)≪</m:t>
        </m:r>
        <m:func>
          <m:funcPr>
            <m:ctrlPr>
              <w:rPr>
                <w:rFonts w:hint="default" w:ascii="Cambria Math" w:hAnsi="Cambria Math" w:eastAsia="Consolas"/>
                <w:sz w:val="20"/>
              </w:rPr>
            </m:ctrlPr>
          </m:funcPr>
          <m:fName>
            <m:limLow>
              <m:limLowPr>
                <m:ctrlPr>
                  <w:rPr>
                    <w:rFonts w:hint="default" w:ascii="Cambria Math" w:hAnsi="Cambria Math" w:eastAsia="Consolas"/>
                    <w:sz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hint="default" w:ascii="Cambria Math" w:hAnsi="Cambria Math" w:eastAsia="Consolas"/>
                    <w:sz w:val="20"/>
                  </w:rPr>
                  <m:t>min</m:t>
                </m:r>
                <m:ctrlPr>
                  <w:rPr>
                    <w:rFonts w:ascii="Cambria Math" w:hAnsi="Cambria Math" w:eastAsia="Consolas"/>
                    <w:sz w:val="20"/>
                  </w:rPr>
                </m:ctrlPr>
              </m:e>
              <m:lim>
                <m:ctrlPr>
                  <w:rPr>
                    <w:rFonts w:ascii="Cambria Math" w:hAnsi="Cambria Math" w:eastAsia="Consolas"/>
                    <w:sz w:val="20"/>
                  </w:rPr>
                </m:ctrlPr>
              </m:lim>
            </m:limLow>
            <m:ctrlPr>
              <w:rPr>
                <w:rFonts w:hint="default" w:ascii="Cambria Math" w:hAnsi="Cambria Math" w:eastAsia="Consolas"/>
                <w:sz w:val="20"/>
              </w:rPr>
            </m:ctrlPr>
          </m:fName>
          <m:e>
            <m:r>
              <m:rPr/>
              <w:rPr>
                <w:rFonts w:hint="default" w:ascii="Cambria Math" w:hAnsi="Cambria Math" w:eastAsia="Consolas"/>
                <w:sz w:val="20"/>
              </w:rPr>
              <m:t>(</m:t>
            </m:r>
            <m:ctrlPr>
              <w:rPr>
                <w:rFonts w:hint="default" w:ascii="Cambria Math" w:hAnsi="Cambria Math" w:eastAsia="Consolas"/>
                <w:sz w:val="20"/>
              </w:rPr>
            </m:ctrlPr>
          </m:e>
        </m:func>
        <m:r>
          <m:rPr/>
          <w:rPr>
            <w:rFonts w:hint="default" w:ascii="Cambria Math" w:hAnsi="Cambria Math" w:eastAsia="Consolas"/>
            <w:sz w:val="20"/>
          </w:rPr>
          <m:t>d,k)</m:t>
        </m:r>
      </m:oMath>
    </w:p>
    <w:p w14:paraId="1C81DF84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其中 </w:t>
      </w:r>
      <m:oMath>
        <m:r>
          <m:rPr/>
          <w:rPr>
            <w:rFonts w:hint="default" w:ascii="Cambria Math" w:hAnsi="Cambria Math" w:eastAsia="Consolas"/>
            <w:sz w:val="20"/>
          </w:rPr>
          <m:t>ΔW</m:t>
        </m:r>
      </m:oMath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是微调带来的权重变化量。LoRA 正是利用这一洞察，显式地将</w:t>
      </w:r>
      <m:oMath>
        <m:r>
          <m:rPr/>
          <w:rPr>
            <w:rFonts w:hint="default" w:ascii="Cambria Math" w:hAnsi="Cambria Math" w:eastAsia="Arial"/>
            <w:sz w:val="22"/>
          </w:rPr>
          <m:t>ΔW</m:t>
        </m:r>
      </m:oMath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建模为两个低秩矩阵的乘积。</w:t>
      </w:r>
    </w:p>
    <w:p w14:paraId="00E920E0">
      <w:pPr>
        <w:pStyle w:val="5"/>
        <w:keepNext/>
        <w:outlineLvl w:val="9"/>
      </w:pPr>
      <w:r>
        <w:t xml:space="preserve"> 4.4.2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73C4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56C5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1B91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357BF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B03B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A254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Full FT 的显存和存储成本过高（7B 模型需 ~112 GB，每任务需保存完整 ~14GB 模型）。LoRA 将可训练参数量降低到 0.1-1%，同时保持效果接近 Full FT</w:t>
            </w:r>
          </w:p>
        </w:tc>
      </w:tr>
      <w:tr w14:paraId="5A79A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3AE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A7C3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与 Full FT 相同的指令-回复对。LoRA 对数据量不敏感——500-10K 条均可，且由于低秩约束提供天然正则化，小数据场景比 Full FT 更鲁棒</w:t>
            </w:r>
          </w:p>
        </w:tc>
      </w:tr>
      <w:tr w14:paraId="6FE17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0843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25A1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一套低秩适配器权重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A, B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（~16 MB for 7B model）。可合并回原始权重实现零额外开销推理，也可热插拔用于多任务切换</w:t>
            </w:r>
          </w:p>
        </w:tc>
      </w:tr>
      <w:tr w14:paraId="7AE2F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A9F5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数学原理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FB2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核心公式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h=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x+</m:t>
              </m:r>
              <m:f>
                <m:f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α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r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den>
              </m:f>
              <m:r>
                <m:rPr/>
                <w:rPr>
                  <w:rFonts w:hint="default" w:ascii="Cambria Math" w:hAnsi="Cambria Math" w:eastAsia="Consolas"/>
                  <w:sz w:val="20"/>
                </w:rPr>
                <m:t>BAx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。其中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∈</m:t>
              </m:r>
              <m:sSup>
                <m:s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0"/>
                    </w:rPr>
                    <m:t>ℝ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d×k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p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冻结，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B∈</m:t>
              </m:r>
              <m:sSup>
                <m:s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0"/>
                    </w:rPr>
                    <m:t>ℝ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d×r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p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和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A∈</m:t>
              </m:r>
              <m:sSup>
                <m:s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0"/>
                    </w:rPr>
                    <m:t>ℝ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r×k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p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可训练，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r≪</m:t>
              </m:r>
              <m:func>
                <m:fun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Consolas"/>
                          <w:sz w:val="20"/>
                        </w:rPr>
                        <m:t>min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lim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(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</m:func>
              <m:r>
                <m:rPr/>
                <w:rPr>
                  <w:rFonts w:hint="default" w:ascii="Cambria Math" w:hAnsi="Cambria Math" w:eastAsia="Consolas"/>
                  <w:sz w:val="20"/>
                </w:rPr>
                <m:t>d,k)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。初始化为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A∼</m:t>
              </m:r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0"/>
                </w:rPr>
                <m:t>N</m:t>
              </m:r>
              <m:r>
                <m:rPr/>
                <w:rPr>
                  <w:rFonts w:hint="default" w:ascii="Cambria Math" w:hAnsi="Cambria Math" w:eastAsia="Consolas"/>
                  <w:sz w:val="20"/>
                </w:rPr>
                <m:t>(0,</m:t>
              </m:r>
              <m:sSup>
                <m:s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σ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2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Consolas"/>
                  <w:sz w:val="20"/>
                </w:rPr>
                <m:t>)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（Kaiming），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B=0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（保证训练开始时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ΔW=0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）。推理时合并：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merged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+</m:t>
              </m:r>
              <m:f>
                <m:f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α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r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den>
              </m:f>
              <m:r>
                <m:rPr/>
                <w:rPr>
                  <w:rFonts w:hint="default" w:ascii="Cambria Math" w:hAnsi="Cambria Math" w:eastAsia="Consolas"/>
                  <w:sz w:val="20"/>
                </w:rPr>
                <m:t>BA</m:t>
              </m:r>
            </m:oMath>
          </w:p>
        </w:tc>
      </w:tr>
      <w:tr w14:paraId="44679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521C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优化目标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5AF8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与 SFT 相同——交叉熵损失 </w:t>
            </w:r>
            <m:oMath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0"/>
                </w:rPr>
                <m:t>ℒ</m:t>
              </m:r>
              <m:r>
                <m:rPr/>
                <w:rPr>
                  <w:rFonts w:hint="default" w:ascii="Cambria Math" w:hAnsi="Cambria Math" w:eastAsia="Consolas"/>
                  <w:sz w:val="20"/>
                </w:rPr>
                <m:t>=−</m:t>
              </m:r>
              <m:nary>
                <m:naryPr>
                  <m:chr m:val="∑"/>
                  <m:limLoc m:val="subSup"/>
                  <m:subHide m:val="1"/>
                  <m:supHide m:val="1"/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naryPr>
                <m:sub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  <m:sup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  <m:e>
                  <m:func>
                    <m:func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Consolas"/>
                          <w:sz w:val="20"/>
                        </w:rPr>
                        <m:t>log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fName>
                    <m:e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</m:func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</m:nary>
              <m:r>
                <m:rPr/>
                <w:rPr>
                  <w:rFonts w:hint="default" w:ascii="Cambria Math" w:hAnsi="Cambria Math" w:eastAsia="Consolas"/>
                  <w:sz w:val="20"/>
                </w:rPr>
                <m:t>P(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y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t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∣x,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y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&lt;t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;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,A,B)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。但仅优化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A,B，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保持冻结</w:t>
            </w:r>
          </w:p>
        </w:tc>
      </w:tr>
      <w:tr w14:paraId="30FC7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604D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3CA3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冻结预训练权重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；② 在目标层（通常为 Attention 投影矩阵）插入低秩矩阵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B,A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；③ 仅优化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A,B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；④ 保存时仅存储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A,B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；⑤ 推理时合并或保持双分支计算</w:t>
            </w:r>
          </w:p>
        </w:tc>
      </w:tr>
      <w:tr w14:paraId="3963C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763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26C5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显存降低 7×（7B: ~16GB vs Full FT ~112GB）；② 存储极轻量（~16MB vs ~14GB）；③ 推理零额外开销（可合并）；④ 可热插拔多任务切换；⑤ 低秩约束提供隐式正则化；⑥ 多种改进变体（DoRA, LoRA+, PiSSA）进一步提升效果</w:t>
            </w:r>
          </w:p>
        </w:tc>
      </w:tr>
      <w:tr w14:paraId="1E17E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4C19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EC9B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复杂任务效果上限略低于 Full FT（通常 &lt; 3%）；② 需选择 target_modules 和秩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r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，有调参成本；③ 训练时仍需加载完整基座模型</w:t>
            </w:r>
          </w:p>
        </w:tc>
      </w:tr>
      <w:tr w14:paraId="2D6FC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0DF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1E84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参数高效微调（PEFT）的核心方法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，广泛应用于 Fine-tuning 阶段的指令微调和领域适应任务</w:t>
            </w:r>
          </w:p>
        </w:tc>
      </w:tr>
    </w:tbl>
    <w:p w14:paraId="5E187052">
      <w:pPr>
        <w:pStyle w:val="5"/>
        <w:keepNext/>
        <w:outlineLvl w:val="9"/>
      </w:pPr>
      <w:r>
        <w:t xml:space="preserve"> 4.4.3 低秩分解的 SVD 视角</w:t>
      </w:r>
    </w:p>
    <w:p w14:paraId="417D69D8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任意矩阵</w:t>
      </w:r>
      <m:oMath>
        <m:r>
          <m:rPr/>
          <w:rPr>
            <w:rFonts w:hint="default" w:ascii="Cambria Math" w:hAnsi="Cambria Math" w:eastAsia="Arial"/>
            <w:sz w:val="22"/>
          </w:rPr>
          <m:t>M∈</m:t>
        </m:r>
        <m:sSup>
          <m:sSupPr>
            <m:ctrlPr>
              <w:rPr>
                <w:rFonts w:hint="default" w:ascii="Cambria Math" w:hAnsi="Cambria Math" w:eastAsia="Arial"/>
                <w:sz w:val="22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2"/>
              </w:rPr>
              <m:t>ℝ</m:t>
            </m:r>
            <m:ctrlPr>
              <w:rPr>
                <w:rFonts w:ascii="Cambria Math" w:hAnsi="Cambria Math" w:eastAsia="Arial"/>
                <w:sz w:val="22"/>
              </w:rPr>
            </m:ctrlPr>
          </m:e>
          <m:sup>
            <m:r>
              <m:rPr/>
              <w:rPr>
                <w:rFonts w:hint="default" w:ascii="Cambria Math" w:hAnsi="Cambria Math" w:eastAsia="Arial"/>
                <w:sz w:val="22"/>
              </w:rPr>
              <m:t>d×k</m:t>
            </m:r>
            <m:ctrlPr>
              <w:rPr>
                <w:rFonts w:ascii="Cambria Math" w:hAnsi="Cambria Math" w:eastAsia="Arial"/>
                <w:sz w:val="22"/>
              </w:rPr>
            </m:ctrlPr>
          </m:sup>
        </m:sSup>
      </m:oMath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的奇异值分解：</w:t>
      </w:r>
    </w:p>
    <w:p w14:paraId="0774F4F9">
      <w:pPr>
        <w:spacing w:after="120" w:line="240" w:lineRule="auto"/>
        <w:jc w:val="center"/>
      </w:pPr>
      <m:oMathPara>
        <m:oMath>
          <m:r>
            <m:rPr/>
            <w:rPr>
              <w:rFonts w:hint="default" w:ascii="Cambria Math" w:hAnsi="Cambria Math" w:eastAsia="Consolas"/>
              <w:sz w:val="20"/>
            </w:rPr>
            <m:t>M=UΣ</m:t>
          </m:r>
          <m:sSup>
            <m:sSupPr>
              <m:ctrlPr>
                <w:rPr>
                  <w:rFonts w:hint="default" w:ascii="Cambria Math" w:hAnsi="Cambria Math" w:eastAsia="Consolas"/>
                  <w:sz w:val="20"/>
                </w:rPr>
              </m:ctrlPr>
            </m:sSup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V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T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p>
          </m:sSup>
          <m:r>
            <m:rPr/>
            <w:rPr>
              <w:rFonts w:hint="default" w:ascii="Cambria Math" w:hAnsi="Cambria Math" w:eastAsia="Consolas"/>
              <w:sz w:val="20"/>
            </w:rPr>
            <m:t>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Consolas"/>
                  <w:sz w:val="20"/>
                </w:rPr>
              </m:ctrlPr>
            </m:naryPr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i=1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  <m:sup>
              <m:func>
                <m:fun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Consolas"/>
                          <w:sz w:val="20"/>
                        </w:rPr>
                        <m:t>min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lim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(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</m:func>
              <m:r>
                <m:rPr/>
                <w:rPr>
                  <w:rFonts w:hint="default" w:ascii="Cambria Math" w:hAnsi="Cambria Math" w:eastAsia="Consolas"/>
                  <w:sz w:val="20"/>
                </w:rPr>
                <m:t>d,k)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σ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>
                  <m:sty m:val="b"/>
                </m:rPr>
                <w:rPr>
                  <w:rFonts w:hint="default" w:ascii="Cambria Math" w:hAnsi="Cambria Math" w:eastAsia="Consolas"/>
                  <w:sz w:val="20"/>
                </w:rPr>
                <m:t>u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i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Consolas"/>
                  <w:sz w:val="20"/>
                </w:rPr>
              </m:ctrlPr>
            </m:sSubSupPr>
            <m:e>
              <m:r>
                <m:rPr>
                  <m:sty m:val="b"/>
                </m:rPr>
                <w:rPr>
                  <w:rFonts w:hint="default" w:ascii="Cambria Math" w:hAnsi="Cambria Math" w:eastAsia="Consolas"/>
                  <w:sz w:val="20"/>
                </w:rPr>
                <m:t>v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i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T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p>
          </m:sSubSup>
        </m:oMath>
      </m:oMathPara>
    </w:p>
    <w:p w14:paraId="00B36279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Consolas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0"/>
              </w:rPr>
              <m:t>σ</m:t>
            </m:r>
            <m:ctrlPr>
              <w:rPr>
                <w:rFonts w:ascii="Cambria Math" w:hAnsi="Cambria Math" w:eastAsia="Consolas"/>
                <w:sz w:val="20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0"/>
              </w:rPr>
              <m:t>1</m:t>
            </m:r>
            <m:ctrlPr>
              <w:rPr>
                <w:rFonts w:ascii="Cambria Math" w:hAnsi="Cambria Math" w:eastAsia="Consolas"/>
                <w:sz w:val="20"/>
              </w:rPr>
            </m:ctrlPr>
          </m:sub>
        </m:sSub>
        <m:r>
          <m:rPr/>
          <w:rPr>
            <w:rFonts w:hint="default" w:ascii="Cambria Math" w:hAnsi="Cambria Math" w:eastAsia="Consolas"/>
            <w:sz w:val="20"/>
          </w:rPr>
          <m:t>≥</m:t>
        </m:r>
        <m:sSub>
          <m:sSubPr>
            <m:ctrlPr>
              <w:rPr>
                <w:rFonts w:hint="default" w:ascii="Cambria Math" w:hAnsi="Cambria Math" w:eastAsia="Consolas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0"/>
              </w:rPr>
              <m:t>σ</m:t>
            </m:r>
            <m:ctrlPr>
              <w:rPr>
                <w:rFonts w:ascii="Cambria Math" w:hAnsi="Cambria Math" w:eastAsia="Consolas"/>
                <w:sz w:val="20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0"/>
              </w:rPr>
              <m:t>2</m:t>
            </m:r>
            <m:ctrlPr>
              <w:rPr>
                <w:rFonts w:ascii="Cambria Math" w:hAnsi="Cambria Math" w:eastAsia="Consolas"/>
                <w:sz w:val="20"/>
              </w:rPr>
            </m:ctrlPr>
          </m:sub>
        </m:sSub>
        <m:r>
          <m:rPr/>
          <w:rPr>
            <w:rFonts w:hint="default" w:ascii="Cambria Math" w:hAnsi="Cambria Math" w:eastAsia="Consolas"/>
            <w:sz w:val="20"/>
          </w:rPr>
          <m:t>≥…≥</m:t>
        </m:r>
        <m:sSub>
          <m:sSubPr>
            <m:ctrlPr>
              <w:rPr>
                <w:rFonts w:hint="default" w:ascii="Cambria Math" w:hAnsi="Cambria Math" w:eastAsia="Consolas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0"/>
              </w:rPr>
              <m:t>σ</m:t>
            </m:r>
            <m:ctrlPr>
              <w:rPr>
                <w:rFonts w:ascii="Cambria Math" w:hAnsi="Cambria Math" w:eastAsia="Consolas"/>
                <w:sz w:val="20"/>
              </w:rPr>
            </m:ctrlPr>
          </m:e>
          <m:sub>
            <m:func>
              <m:funcPr>
                <m:ctrlPr>
                  <w:rPr>
                    <w:rFonts w:hint="default" w:ascii="Cambria Math" w:hAnsi="Cambria Math" w:eastAsia="Consolas"/>
                    <w:sz w:val="20"/>
                  </w:rPr>
                </m:ctrlPr>
              </m:funcPr>
              <m:fName>
                <m:limLow>
                  <m:limLow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onsolas"/>
                        <w:sz w:val="20"/>
                      </w:rPr>
                      <m:t>min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lim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lim>
                </m:limLow>
                <m:ctrlPr>
                  <w:rPr>
                    <w:rFonts w:hint="default" w:ascii="Cambria Math" w:hAnsi="Cambria Math" w:eastAsia="Consolas"/>
                    <w:sz w:val="20"/>
                  </w:rPr>
                </m:ctrlPr>
              </m:fName>
              <m:e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(</m:t>
                </m:r>
                <m:ctrlPr>
                  <w:rPr>
                    <w:rFonts w:hint="default" w:ascii="Cambria Math" w:hAnsi="Cambria Math" w:eastAsia="Consolas"/>
                    <w:sz w:val="20"/>
                  </w:rPr>
                </m:ctrlPr>
              </m:e>
            </m:func>
            <m:r>
              <m:rPr/>
              <w:rPr>
                <w:rFonts w:hint="default" w:ascii="Cambria Math" w:hAnsi="Cambria Math" w:eastAsia="Consolas"/>
                <w:sz w:val="20"/>
              </w:rPr>
              <m:t>d,k)</m:t>
            </m:r>
            <m:ctrlPr>
              <w:rPr>
                <w:rFonts w:hint="default" w:ascii="Cambria Math" w:hAnsi="Cambria Math" w:eastAsia="Consolas"/>
                <w:sz w:val="20"/>
              </w:rPr>
            </m:ctrlPr>
          </m:sub>
        </m:sSub>
        <m:r>
          <m:rPr/>
          <w:rPr>
            <w:rFonts w:hint="default" w:ascii="Cambria Math" w:hAnsi="Cambria Math" w:eastAsia="Consolas"/>
            <w:sz w:val="20"/>
          </w:rPr>
          <m:t>≥0</m:t>
        </m:r>
      </m:oMath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为奇异值。如果大多数奇异值接近于 0，则可以用前 </w:t>
      </w:r>
      <w:r>
        <w:rPr>
          <w:rFonts w:ascii="Consolas" w:hAnsi="Consolas" w:eastAsia="Consolas" w:cs="Consolas"/>
          <w:b w:val="0"/>
          <w:bCs w:val="0"/>
          <w:i/>
          <w:iCs/>
          <w:color w:val="884400"/>
          <w:sz w:val="20"/>
          <w:szCs w:val="20"/>
        </w:rPr>
        <w:t>r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 个最大的奇异值近似：</w:t>
      </w:r>
    </w:p>
    <w:p w14:paraId="4859B8EE">
      <w:pPr>
        <w:spacing w:after="120" w:line="240" w:lineRule="auto"/>
        <w:jc w:val="center"/>
      </w:pPr>
      <m:oMathPara>
        <m:oMath>
          <m:r>
            <m:rPr/>
            <w:rPr>
              <w:rFonts w:hint="default" w:ascii="Cambria Math" w:hAnsi="Cambria Math" w:eastAsia="Consolas"/>
              <w:sz w:val="20"/>
            </w:rPr>
            <m:t>M≈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Consolas"/>
                  <w:sz w:val="20"/>
                </w:rPr>
              </m:ctrlPr>
            </m:naryPr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i=1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r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σ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>
                  <m:sty m:val="b"/>
                </m:rPr>
                <w:rPr>
                  <w:rFonts w:hint="default" w:ascii="Cambria Math" w:hAnsi="Cambria Math" w:eastAsia="Consolas"/>
                  <w:sz w:val="20"/>
                </w:rPr>
                <m:t>u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i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Consolas"/>
                  <w:sz w:val="20"/>
                </w:rPr>
              </m:ctrlPr>
            </m:sSubSupPr>
            <m:e>
              <m:r>
                <m:rPr>
                  <m:sty m:val="b"/>
                </m:rPr>
                <w:rPr>
                  <w:rFonts w:hint="default" w:ascii="Cambria Math" w:hAnsi="Cambria Math" w:eastAsia="Consolas"/>
                  <w:sz w:val="20"/>
                </w:rPr>
                <m:t>v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i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T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p>
          </m:sSubSup>
        </m:oMath>
      </m:oMathPara>
    </w:p>
    <w:p w14:paraId="1698E085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近似误差由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Eckart-Young-Mirsky 定理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 给出：</w:t>
      </w:r>
    </w:p>
    <w:p w14:paraId="0DD62C36">
      <w:pPr>
        <w:spacing w:after="120" w:line="240" w:lineRule="auto"/>
        <w:jc w:val="center"/>
      </w:pPr>
      <m:oMathPara>
        <m:oMath>
          <m:func>
            <m:funcPr>
              <m:ctrlPr>
                <w:rPr>
                  <w:rFonts w:hint="default" w:ascii="Cambria Math" w:hAnsi="Cambria Math" w:eastAsia="Consolas"/>
                  <w:sz w:val="20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Consolas"/>
                      <w:sz w:val="20"/>
                    </w:rPr>
                    <m:t>min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rank(</m:t>
                  </m:r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M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r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)≤r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lim>
              </m:limLow>
              <m:ctrlPr>
                <w:rPr>
                  <w:rFonts w:hint="default" w:ascii="Cambria Math" w:hAnsi="Cambria Math" w:eastAsia="Consolas"/>
                  <w:sz w:val="20"/>
                </w:rPr>
              </m:ctrlPr>
            </m:fName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‖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func>
          <m:r>
            <m:rPr/>
            <w:rPr>
              <w:rFonts w:hint="default" w:ascii="Cambria Math" w:hAnsi="Cambria Math" w:eastAsia="Consolas"/>
              <w:sz w:val="20"/>
            </w:rPr>
            <m:t>M−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M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r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‖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F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eastAsia="Consolas"/>
                  <w:sz w:val="20"/>
                </w:rPr>
              </m:ctrlPr>
            </m:radPr>
            <m:deg>
              <m:ctrlPr>
                <w:rPr>
                  <w:rFonts w:hint="default" w:ascii="Cambria Math" w:hAnsi="Cambria Math" w:eastAsia="Consolas"/>
                  <w:sz w:val="20"/>
                </w:rPr>
              </m:ctrlPr>
            </m:deg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i=r+1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  <m:sup>
                  <m:func>
                    <m:func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hint="default" w:ascii="Cambria Math" w:hAnsi="Cambria Math" w:eastAsia="Consolas"/>
                              <w:sz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 w:eastAsia="Consolas"/>
                              <w:sz w:val="20"/>
                            </w:rPr>
                            <m:t>min</m:t>
                          </m:r>
                          <m:ctrlPr>
                            <w:rPr>
                              <w:rFonts w:ascii="Cambria Math" w:hAnsi="Cambria Math" w:eastAsia="Consolas"/>
                              <w:sz w:val="20"/>
                            </w:rPr>
                          </m:ctrlPr>
                        </m:e>
                        <m:lim>
                          <m:ctrlPr>
                            <w:rPr>
                              <w:rFonts w:ascii="Cambria Math" w:hAnsi="Cambria Math" w:eastAsia="Consolas"/>
                              <w:sz w:val="20"/>
                            </w:rPr>
                          </m:ctrlPr>
                        </m:lim>
                      </m:limLow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(</m:t>
                      </m: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e>
                  </m:func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d,k)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σ</m:t>
                      </m: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i</m:t>
                      </m: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2</m:t>
                      </m: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</m:nary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rad>
        </m:oMath>
      </m:oMathPara>
    </w:p>
    <w:p w14:paraId="4D269967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LoRA 的洞见：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 xml:space="preserve">微调中的权重更新 </w:t>
      </w:r>
      <m:oMath>
        <m:r>
          <m:rPr/>
          <w:rPr>
            <w:rFonts w:hint="default" w:ascii="Cambria Math" w:hAnsi="Cambria Math"/>
            <w:sz w:val="22"/>
          </w:rPr>
          <m:t>ΔW</m:t>
        </m:r>
      </m:oMath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恰好具有这种低秩性质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，因此可以直接用 </w:t>
      </w:r>
      <w:r>
        <w:rPr>
          <w:rFonts w:ascii="Consolas" w:hAnsi="Consolas" w:eastAsia="Consolas" w:cs="Consolas"/>
          <w:b w:val="0"/>
          <w:bCs w:val="0"/>
          <w:i/>
          <w:iCs/>
          <w:color w:val="884400"/>
          <w:sz w:val="20"/>
          <w:szCs w:val="20"/>
        </w:rPr>
        <w:t>BA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 来参数化。</w:t>
      </w:r>
    </w:p>
    <w:p w14:paraId="43B57AF7">
      <w:pPr>
        <w:pStyle w:val="5"/>
        <w:keepNext/>
        <w:outlineLvl w:val="9"/>
      </w:pPr>
      <w:r>
        <w:t xml:space="preserve"> 4.4.4 参数量计算示例</w:t>
      </w:r>
    </w:p>
    <w:p w14:paraId="409C1FA4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对于 Transformer 中的一个线性层 </w:t>
      </w:r>
      <m:oMath>
        <m:r>
          <m:rPr/>
          <w:rPr>
            <w:rFonts w:hint="default" w:ascii="Cambria Math" w:hAnsi="Cambria Math" w:eastAsia="Consolas"/>
            <w:sz w:val="20"/>
          </w:rPr>
          <m:t>W∈</m:t>
        </m:r>
        <m:sSup>
          <m:sSupPr>
            <m:ctrlPr>
              <w:rPr>
                <w:rFonts w:hint="default" w:ascii="Cambria Math" w:hAnsi="Cambria Math" w:eastAsia="Consolas"/>
                <w:sz w:val="20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0"/>
              </w:rPr>
              <m:t>ℝ</m:t>
            </m:r>
            <m:ctrlPr>
              <w:rPr>
                <w:rFonts w:ascii="Cambria Math" w:hAnsi="Cambria Math" w:eastAsia="Consolas"/>
                <w:sz w:val="20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0"/>
              </w:rPr>
              <m:t>d×k</m:t>
            </m:r>
            <m:ctrlPr>
              <w:rPr>
                <w:rFonts w:ascii="Cambria Math" w:hAnsi="Cambria Math" w:eastAsia="Consolas"/>
                <w:sz w:val="20"/>
              </w:rPr>
            </m:ctrlPr>
          </m:sup>
        </m:sSup>
        <m:r>
          <m:rPr/>
          <w:rPr>
            <w:rFonts w:hint="default" w:ascii="Cambria Math" w:hAnsi="Cambria Math" w:eastAsia="Consolas"/>
            <w:sz w:val="20"/>
          </w:rPr>
          <m:t>（如d=k=4096）</m:t>
        </m:r>
      </m:oMath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：</w:t>
      </w:r>
    </w:p>
    <w:p w14:paraId="210C554D">
      <w:pPr>
        <w:pStyle w:val="26"/>
        <w:numPr>
          <w:ilvl w:val="0"/>
          <w:numId w:val="3"/>
        </w:numPr>
        <w:spacing w:after="60" w:line="276" w:lineRule="auto"/>
        <w:ind w:left="0" w:leftChars="0" w:firstLine="360" w:firstLineChars="0"/>
        <w:rPr>
          <w:b w:val="0"/>
          <w:bdr w:val="none" w:sz="0" w:space="0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原始参数量：</w:t>
      </w:r>
      <m:oMath>
        <m:r>
          <m:rPr/>
          <w:rPr>
            <w:rFonts w:hint="default" w:ascii="Cambria Math" w:hAnsi="Cambria Math" w:eastAsia="Consolas"/>
            <w:sz w:val="20"/>
          </w:rPr>
          <m:t>d×k=409</m:t>
        </m:r>
        <m:sSup>
          <m:sSupPr>
            <m:ctrlPr>
              <w:rPr>
                <w:rFonts w:hint="default" w:ascii="Cambria Math" w:hAnsi="Cambria Math" w:eastAsia="Consolas"/>
                <w:sz w:val="20"/>
              </w:rPr>
            </m:ctrlPr>
          </m:sSupPr>
          <m:e>
            <m:r>
              <m:rPr/>
              <w:rPr>
                <w:rFonts w:hint="default" w:ascii="Cambria Math" w:hAnsi="Cambria Math" w:eastAsia="Consolas"/>
                <w:sz w:val="20"/>
              </w:rPr>
              <m:t>6</m:t>
            </m:r>
            <m:ctrlPr>
              <w:rPr>
                <w:rFonts w:ascii="Cambria Math" w:hAnsi="Cambria Math" w:eastAsia="Consolas"/>
                <w:sz w:val="20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0"/>
              </w:rPr>
              <m:t>2</m:t>
            </m:r>
            <m:ctrlPr>
              <w:rPr>
                <w:rFonts w:ascii="Cambria Math" w:hAnsi="Cambria Math" w:eastAsia="Consolas"/>
                <w:sz w:val="20"/>
              </w:rPr>
            </m:ctrlPr>
          </m:sup>
        </m:sSup>
        <m:r>
          <m:rPr/>
          <w:rPr>
            <w:rFonts w:hint="default" w:ascii="Cambria Math" w:hAnsi="Cambria Math" w:eastAsia="Consolas"/>
            <w:sz w:val="20"/>
          </w:rPr>
          <m:t>≈16.8M</m:t>
        </m:r>
      </m:oMath>
    </w:p>
    <w:p w14:paraId="68FA0633">
      <w:pPr>
        <w:pStyle w:val="26"/>
        <w:numPr>
          <w:ilvl w:val="0"/>
          <w:numId w:val="3"/>
        </w:numPr>
        <w:spacing w:after="60" w:line="276" w:lineRule="auto"/>
        <w:ind w:left="0" w:leftChars="0" w:firstLine="360" w:firstLineChars="0"/>
        <w:rPr>
          <w:b w:val="0"/>
          <w:bdr w:val="none" w:sz="0" w:space="0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LoRA 参数量（</w:t>
      </w:r>
      <w:r>
        <w:rPr>
          <w:rFonts w:ascii="Consolas" w:hAnsi="Consolas" w:eastAsia="Consolas" w:cs="Consolas"/>
          <w:b w:val="0"/>
          <w:bCs w:val="0"/>
          <w:i/>
          <w:iCs/>
          <w:color w:val="884400"/>
          <w:sz w:val="20"/>
          <w:szCs w:val="20"/>
        </w:rPr>
        <w:t>r=8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）：</w:t>
      </w:r>
      <m:oMath>
        <m:r>
          <m:rPr/>
          <w:rPr>
            <w:rFonts w:hint="default" w:ascii="Cambria Math" w:hAnsi="Cambria Math" w:eastAsia="Consolas"/>
            <w:sz w:val="20"/>
          </w:rPr>
          <m:t>d×r+r×k=4096×8+8×4096=65,536≈0.066M</m:t>
        </m:r>
      </m:oMath>
    </w:p>
    <w:p w14:paraId="3EF43005">
      <w:pPr>
        <w:pStyle w:val="26"/>
        <w:numPr>
          <w:ilvl w:val="0"/>
          <w:numId w:val="3"/>
        </w:numPr>
        <w:spacing w:after="60" w:line="276" w:lineRule="auto"/>
        <w:ind w:left="0" w:leftChars="0" w:firstLine="360" w:firstLineChars="0"/>
        <w:rPr>
          <w:b w:val="0"/>
          <w:bdr w:val="none" w:sz="0" w:space="0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占比：</w:t>
      </w:r>
      <m:oMath>
        <m:r>
          <m:rPr/>
          <w:rPr>
            <w:rFonts w:hint="default" w:ascii="Cambria Math" w:hAnsi="Cambria Math" w:eastAsia="Consolas"/>
            <w:sz w:val="20"/>
          </w:rPr>
          <m:t>65,536/16,777,216≈0.39%</m:t>
        </m:r>
      </m:oMath>
    </w:p>
    <w:p w14:paraId="53DD655A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对于 LLaMA-7B（~6.7B 参数，32 层，每层 4 个 Attention 投影矩阵）：</w:t>
      </w:r>
    </w:p>
    <w:p w14:paraId="2C7210E7">
      <w:pPr>
        <w:pStyle w:val="26"/>
        <w:numPr>
          <w:ilvl w:val="0"/>
          <w:numId w:val="3"/>
        </w:numPr>
        <w:spacing w:after="60" w:line="276" w:lineRule="auto"/>
        <w:ind w:left="0" w:leftChars="0" w:firstLine="360" w:firstLineChars="0"/>
        <w:rPr>
          <w:b w:val="0"/>
          <w:bdr w:val="none" w:sz="0" w:space="0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全量参数：~6.7B</w:t>
      </w:r>
    </w:p>
    <w:p w14:paraId="12AC5ED6">
      <w:pPr>
        <w:pStyle w:val="26"/>
        <w:numPr>
          <w:ilvl w:val="0"/>
          <w:numId w:val="3"/>
        </w:numPr>
        <w:spacing w:after="60" w:line="276" w:lineRule="auto"/>
        <w:ind w:left="0" w:leftChars="0" w:firstLine="360" w:firstLineChars="0"/>
        <w:rPr>
          <w:b w:val="0"/>
          <w:bdr w:val="none" w:sz="0" w:space="0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LoRA 参数（</w:t>
      </w:r>
      <w:r>
        <w:rPr>
          <w:rFonts w:ascii="Consolas" w:hAnsi="Consolas" w:eastAsia="Consolas" w:cs="Consolas"/>
          <w:b w:val="0"/>
          <w:bCs w:val="0"/>
          <w:i/>
          <w:iCs/>
          <w:color w:val="884400"/>
          <w:sz w:val="20"/>
          <w:szCs w:val="20"/>
        </w:rPr>
        <w:t>r=8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，仅 </w:t>
      </w:r>
      <w:r>
        <w:rPr>
          <w:rFonts w:ascii="Consolas" w:hAnsi="Consolas" w:eastAsia="Consolas" w:cs="Consolas"/>
          <w:b w:val="0"/>
          <w:bCs w:val="0"/>
          <w:i/>
          <w:iCs/>
          <w:color w:val="884400"/>
          <w:sz w:val="20"/>
          <w:szCs w:val="20"/>
        </w:rPr>
        <w:t>q,v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）：~4.2M（约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0.06%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）</w:t>
      </w:r>
    </w:p>
    <w:p w14:paraId="71BA390C">
      <w:pPr>
        <w:pStyle w:val="5"/>
        <w:keepNext/>
        <w:outlineLvl w:val="9"/>
      </w:pPr>
      <w:r>
        <w:t xml:space="preserve"> 4.4.5 target_modules 的选择</w:t>
      </w:r>
    </w:p>
    <w:p w14:paraId="6D3AA3A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各投影矩阵在 Attention 中的作用：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424C5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D2F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矩阵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AA12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公式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3227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作用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FA94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LoRA 推荐</w:t>
            </w:r>
          </w:p>
        </w:tc>
      </w:tr>
      <w:tr w14:paraId="4168C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460A9">
            <w:pPr>
              <w:spacing w:after="40"/>
            </w:pP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q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(query)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1DEF3">
            <w:pPr>
              <w:spacing w:after="40"/>
            </w:pPr>
            <m:oMathPara>
              <m:oMath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Q=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q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X</m:t>
                </m:r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31D9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决定"我要查什么"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751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⭐⭐⭐ 关键</w:t>
            </w:r>
          </w:p>
        </w:tc>
      </w:tr>
      <w:tr w14:paraId="7ABBE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087B">
            <w:pPr>
              <w:spacing w:after="40"/>
            </w:pP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k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(key)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B4D46">
            <w:pPr>
              <w:spacing w:after="40"/>
            </w:pPr>
            <m:oMathPara>
              <m:oMath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K=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k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X</m:t>
                </m:r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D2DC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决定"我是什么内容"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D6A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⭐⭐</w:t>
            </w:r>
          </w:p>
        </w:tc>
      </w:tr>
      <w:tr w14:paraId="4940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5087C">
            <w:pPr>
              <w:spacing w:after="40"/>
            </w:pP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v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(value)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5F21">
            <w:pPr>
              <w:spacing w:after="40"/>
            </w:pPr>
            <m:oMathPara>
              <m:oMath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V=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v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X</m:t>
                </m:r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CC4B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承载实际信息内容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D728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⭐⭐⭐ 关键</w:t>
            </w:r>
          </w:p>
        </w:tc>
      </w:tr>
      <w:tr w14:paraId="4E903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F91CF">
            <w:pPr>
              <w:spacing w:after="40"/>
            </w:pP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o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(output)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1783F">
            <w:pPr>
              <w:spacing w:after="40"/>
            </w:pPr>
            <m:oMathPara>
              <m:oMath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O=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o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⋅Attn</m:t>
                </m:r>
              </m:oMath>
            </m:oMathPara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D884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合并多头输出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E984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⭐⭐</w:t>
            </w:r>
          </w:p>
        </w:tc>
      </w:tr>
    </w:tbl>
    <w:p w14:paraId="55D99E53">
      <w:pPr>
        <w:spacing w:after="120"/>
      </w:pPr>
    </w:p>
    <w:p w14:paraId="29FF849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消融实验结论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（Hu et al., 2021，GPT-3 175B）：</w:t>
      </w:r>
    </w:p>
    <w:p w14:paraId="48886B79">
      <w:pPr>
        <w:pStyle w:val="12"/>
        <w:widowControl/>
        <w:numPr>
          <w:ilvl w:val="0"/>
          <w:numId w:val="3"/>
        </w:numPr>
        <w:ind w:left="0" w:leftChars="0" w:firstLine="36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仅在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q, v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上应用 LoRA → 达到 Full FT 效果的 ~95%</w:t>
      </w:r>
    </w:p>
    <w:p w14:paraId="5392861A">
      <w:pPr>
        <w:pStyle w:val="12"/>
        <w:widowControl/>
        <w:numPr>
          <w:ilvl w:val="0"/>
          <w:numId w:val="3"/>
        </w:numPr>
        <w:ind w:left="0" w:leftChars="0" w:firstLine="36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加上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k, o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→ 再提升 2-3%</w:t>
      </w:r>
    </w:p>
    <w:p w14:paraId="5C22ADEF">
      <w:pPr>
        <w:pStyle w:val="12"/>
        <w:widowControl/>
        <w:numPr>
          <w:ilvl w:val="0"/>
          <w:numId w:val="3"/>
        </w:numPr>
        <w:ind w:left="0" w:leftChars="0" w:firstLine="36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加入 FFN → 提升 &lt; 1%，参数量翻倍</w:t>
      </w:r>
    </w:p>
    <w:p w14:paraId="5C2C25E6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详见《Fine-tuning 技术笔记》第 5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：LoRA 的完整理论推导、超参数选择和消融实验。</w:t>
      </w:r>
    </w:p>
    <w:p w14:paraId="78856C74">
      <w:pPr>
        <w:pStyle w:val="5"/>
        <w:keepNext/>
        <w:outlineLvl w:val="9"/>
      </w:pPr>
      <w:r>
        <w:t xml:space="preserve"> 4.4.6 LoRA 改进变体一览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4"/>
        <w:gridCol w:w="1504"/>
        <w:gridCol w:w="1504"/>
        <w:gridCol w:w="1504"/>
        <w:gridCol w:w="1505"/>
        <w:gridCol w:w="1505"/>
      </w:tblGrid>
      <w:tr w14:paraId="2E76E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3780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A653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年份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5E2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核心思想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977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公式变化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98A9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效果 vs LoRA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BF1E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参数量</w:t>
            </w:r>
          </w:p>
        </w:tc>
      </w:tr>
      <w:tr w14:paraId="0B3A8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11EC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DoRA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386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9291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权重分解为幅度 </w:t>
            </w:r>
            <m:oMath>
              <m:r>
                <w:rPr>
                  <w:rFonts w:ascii="Cambria Math" w:hAnsi="Cambria Math" w:eastAsia="Consolas" w:cs="Consolas"/>
                  <w:color w:val="884400"/>
                  <w:sz w:val="20"/>
                  <w:szCs w:val="20"/>
                </w:rPr>
                <m:t>m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和方向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ΔV</m:t>
              </m:r>
            </m:oMath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3F172">
            <w:pPr>
              <w:spacing w:after="40"/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W</m:t>
                    </m:r>
                    <m:ctrlPr>
                      <w:rPr>
                        <w:rFonts w:ascii="Cambria Math" w:hAnsi="Cambria Math" w:eastAsia="Arial"/>
                        <w:sz w:val="22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ft</m:t>
                    </m:r>
                    <m:ctrlPr>
                      <w:rPr>
                        <w:rFonts w:ascii="Cambria Math" w:hAnsi="Cambria Math" w:eastAsia="Arial"/>
                        <w:sz w:val="22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Arial"/>
                    <w:sz w:val="22"/>
                  </w:rPr>
                  <m:t>=(m+Δm)⋅</m:t>
                </m:r>
                <m:f>
                  <m:fPr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V+BA</m:t>
                    </m:r>
                    <m:ctrlPr>
                      <w:rPr>
                        <w:rFonts w:ascii="Cambria Math" w:hAnsi="Cambria Math" w:eastAsia="Arial"/>
                        <w:sz w:val="22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Arial"/>
                        <w:sz w:val="22"/>
                      </w:rPr>
                      <m:t>‖V+BA</m:t>
                    </m:r>
                    <m:sSub>
                      <m:sSubPr>
                        <m:ctrlPr>
                          <w:rPr>
                            <w:rFonts w:hint="default" w:ascii="Cambria Math" w:hAnsi="Cambria Math" w:eastAsia="Arial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Arial"/>
                            <w:sz w:val="22"/>
                          </w:rPr>
                          <m:t>‖</m:t>
                        </m:r>
                        <m:ctrlPr>
                          <w:rPr>
                            <w:rFonts w:ascii="Cambria Math" w:hAnsi="Cambria Math" w:eastAsia="Arial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Arial"/>
                            <w:sz w:val="22"/>
                          </w:rPr>
                          <m:t>c</m:t>
                        </m:r>
                        <m:ctrlPr>
                          <w:rPr>
                            <w:rFonts w:ascii="Cambria Math" w:hAnsi="Cambria Math" w:eastAsia="Arial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Arial"/>
                        <w:sz w:val="22"/>
                      </w:rPr>
                    </m:ctrlPr>
                  </m:den>
                </m:f>
              </m:oMath>
            </m:oMathPara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5573D">
            <w:pPr>
              <w:spacing w:after="40"/>
            </w:pP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B4A6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方向用 LoRA</w:t>
            </w:r>
          </w:p>
        </w:tc>
      </w:tr>
      <w:tr w14:paraId="01EF3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44B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LoRA+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7B1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18858">
            <w:pPr>
              <w:spacing w:after="40"/>
            </w:pPr>
            <m:oMath>
              <m:r>
                <w:rPr>
                  <w:rFonts w:ascii="Cambria Math" w:hAnsi="Cambria Math" w:eastAsia="Consolas" w:cs="Consolas"/>
                  <w:color w:val="884400"/>
                  <w:sz w:val="20"/>
                  <w:szCs w:val="20"/>
                </w:rPr>
                <m:t>A,B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不同 LR（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η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B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=2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η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A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）</m:t>
              </m:r>
            </m:oMath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AA7C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仅改学习率配置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A1F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收敛快 2×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298E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= LoRA</w:t>
            </w:r>
          </w:p>
        </w:tc>
      </w:tr>
      <w:tr w14:paraId="7FD3C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ACCF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PiSSA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0AD4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FBA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SVD 主成分初始化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A,B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4935D">
            <w:pPr>
              <w:spacing w:after="40"/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W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U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r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sSubSup>
                  <m:sSubSup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Σ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r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1/2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⋅</m:t>
                </m:r>
                <m:sSubSup>
                  <m:sSubSup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Σ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r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1/2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p>
                </m:sSubSup>
                <m:sSubSup>
                  <m:sSubSup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V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r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T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+残差</m:t>
                </m:r>
              </m:oMath>
            </m:oMathPara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05C5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↑ 1-3%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B73C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= LoRA</w:t>
            </w:r>
          </w:p>
        </w:tc>
      </w:tr>
      <w:tr w14:paraId="5F0C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619D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AdaLoRA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B3E5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6FD8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动态分配秩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F9481">
            <w:pPr>
              <w:spacing w:after="40"/>
            </w:pPr>
            <m:oMathPara>
              <m:oMath>
                <m:r>
                  <m:rPr>
                    <m:scr m:val="script"/>
                  </m:rPr>
                  <w:rPr>
                    <w:rFonts w:hint="default" w:ascii="Cambria Math" w:hAnsi="Cambria Math" w:eastAsia="MS Mincho"/>
                    <w:sz w:val="20"/>
                  </w:rPr>
                  <m:t>ℒ</m:t>
                </m:r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0"/>
                      </w:rPr>
                      <m:t>ℒ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FT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+λ</m:t>
                </m:r>
                <m:nary>
                  <m:naryPr>
                    <m:chr m:val="∑"/>
                    <m:limLoc m:val="subSup"/>
                    <m:subHide m:val="1"/>
                    <m:supHide m:val="1"/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naryPr>
                  <m:sub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  <m:sup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Consolas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Consolas"/>
                            <w:sz w:val="20"/>
                          </w:rPr>
                          <m:t>S</m:t>
                        </m:r>
                        <m:ctrlPr>
                          <w:rPr>
                            <w:rFonts w:ascii="Cambria Math" w:hAnsi="Cambria Math" w:eastAsia="Consolas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Consolas"/>
                            <w:sz w:val="20"/>
                          </w:rPr>
                          <m:t>i,j</m:t>
                        </m:r>
                        <m:ctrlPr>
                          <w:rPr>
                            <w:rFonts w:ascii="Cambria Math" w:hAnsi="Cambria Math" w:eastAsia="Consolas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e>
                </m:nary>
              </m:oMath>
            </m:oMathPara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3DC0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↑ 1-2%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AF2E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≈ LoRA</w:t>
            </w:r>
          </w:p>
        </w:tc>
      </w:tr>
      <w:tr w14:paraId="165A6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B0A4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VeRA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A231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7C2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共享随机矩阵 + 缩放向量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14F39">
            <w:pPr>
              <w:spacing w:after="40"/>
            </w:pPr>
            <m:oMathPara>
              <m:oMath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ΔW=b⊙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B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shared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⋅</m:t>
                </m:r>
                <m:sSub>
                  <m:sSubPr>
                    <m:ctrlPr>
                      <w:rPr>
                        <w:rFonts w:hint="default" w:ascii="Cambria Math" w:hAnsi="Cambria Math" w:eastAsia="Consolas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A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onsolas"/>
                        <w:sz w:val="20"/>
                      </w:rPr>
                      <m:t>shared</m:t>
                    </m:r>
                    <m:ctrlPr>
                      <w:rPr>
                        <w:rFonts w:ascii="Cambria Math" w:hAnsi="Cambria Math" w:eastAsia="Consolas"/>
                        <w:sz w:val="2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Consolas"/>
                    <w:sz w:val="20"/>
                  </w:rPr>
                  <m:t>⊙d</m:t>
                </m:r>
              </m:oMath>
            </m:oMathPara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F9A1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↓ 2-5%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504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↓ 90%</w:t>
            </w:r>
          </w:p>
        </w:tc>
      </w:tr>
    </w:tbl>
    <w:p w14:paraId="08BC58A3">
      <w:pPr>
        <w:pStyle w:val="4"/>
        <w:keepNext/>
        <w:pageBreakBefore/>
        <w:numPr>
          <w:numId w:val="0"/>
        </w:numPr>
        <w:ind w:leftChars="0"/>
        <w:rPr>
          <w:b w:val="0"/>
          <w:bdr w:val="none" w:sz="0" w:space="0"/>
        </w:rPr>
      </w:pPr>
      <w:bookmarkStart w:id="14" w:name="_Toc20353"/>
      <w:r>
        <w:rPr>
          <w:rFonts w:hint="eastAsia"/>
          <w:lang w:eastAsia="zh-CN"/>
        </w:rPr>
        <w:t xml:space="preserve">4.5 </w:t>
      </w:r>
      <w:r>
        <w:t>案例分析：QLoRA（量化低秩适配微调）</w:t>
      </w:r>
      <w:bookmarkEnd w:id="14"/>
    </w:p>
    <w:p w14:paraId="087C23A0">
      <w:pPr>
        <w:pStyle w:val="5"/>
        <w:keepNext/>
        <w:outlineLvl w:val="9"/>
      </w:pPr>
      <w:r>
        <w:t xml:space="preserve"> 4.5.1 动机</w:t>
      </w:r>
    </w:p>
    <w:p w14:paraId="4A88C61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LoRA 虽然大幅减少了可训练参数，但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基座模型本身的参数仍需以 FP16/BF16 精度加载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。对于 65B 模型，仅加载参数就需要 ~130GB 显存（FP16），单卡无法承载。QLoRA 的目标是同时降低基座模型和 LoRA 参数的显存需求。</w:t>
      </w:r>
    </w:p>
    <w:p w14:paraId="550FA1A5">
      <w:pPr>
        <w:pStyle w:val="5"/>
        <w:keepNext/>
        <w:outlineLvl w:val="9"/>
      </w:pPr>
      <w:r>
        <w:t xml:space="preserve"> 4.5.2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53C88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2898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EC82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62249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2BEA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84E8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将微调 65B 模型所需的显存从 ~1TB（Full FT）降至 ~33GB（单卡 RTX 3090 24GB 可运行），降幅约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30 倍</w:t>
            </w:r>
          </w:p>
        </w:tc>
      </w:tr>
      <w:tr w14:paraId="4818F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5DBB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DC7C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与 LoRA 相同格式的微调数据。LoRA 适配器以 BF16 精度训练（不量化，避免精度损失）</w:t>
            </w:r>
          </w:p>
        </w:tc>
      </w:tr>
      <w:tr w14:paraId="220B9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3E77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CF0E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NF4 量化基座模型 + BF16 LoRA 适配器</w:t>
            </w:r>
          </w:p>
        </w:tc>
      </w:tr>
      <w:tr w14:paraId="6B355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D6B2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数学原理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3B58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NF4 量化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：对正态分布权重做信息论最优的非线性量化。设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Φ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为标准正态 CDF，量化值为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q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=</m:t>
              </m:r>
              <m:sSup>
                <m:s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Φ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−1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i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16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den>
                  </m:f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+</m:t>
                  </m:r>
                  <m:f>
                    <m:f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1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32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den>
                  </m:f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</m:d>
              <m:r>
                <m:rPr/>
                <w:rPr>
                  <w:rFonts w:hint="default" w:ascii="Cambria Math" w:hAnsi="Cambria Math" w:eastAsia="Consolas"/>
                  <w:sz w:val="20"/>
                </w:rPr>
                <m:t>，i=0..15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。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双重量化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DoubleQuant(W)=NF4(W;INT8(c;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c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FP32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))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——对量化常数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c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再做 INT8 量化</w:t>
            </w:r>
          </w:p>
        </w:tc>
      </w:tr>
      <w:tr w14:paraId="7E6E6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EFBA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优化目标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D93D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与 LoRA 相同——交叉熵损失，仅优化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A, B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。前向传播变为：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h=dequant(</m:t>
              </m:r>
              <m:sSubSup>
                <m:sSub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W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NF4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Consolas"/>
                  <w:sz w:val="20"/>
                </w:rPr>
                <m:t>)x+</m:t>
              </m:r>
              <m:f>
                <m:f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α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r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den>
              </m:f>
              <m:r>
                <m:rPr/>
                <w:rPr>
                  <w:rFonts w:hint="default" w:ascii="Cambria Math" w:hAnsi="Cambria Math" w:eastAsia="Consolas"/>
                  <w:sz w:val="20"/>
                </w:rPr>
                <m:t>(BA</m:t>
              </m:r>
              <m:sSup>
                <m:s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)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BF16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Consolas"/>
                  <w:sz w:val="20"/>
                </w:rPr>
                <m:t>x</m:t>
              </m:r>
            </m:oMath>
          </w:p>
        </w:tc>
      </w:tr>
      <w:tr w14:paraId="676F5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8576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3FA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用 NF4（4-bit NormalFloat）加载基座模型（~0.5 bytes/参数）；② 启用双重量化（对量化常数再做 8-bit 量化）；③ 启用分页优化器（GPU 显存不足时换出到 CPU）；④ 在 BF16 精度下训练 LoRA 适配器；⑤ 前向传播时反量化 NF4 权重到 BF16 参与计算</w:t>
            </w:r>
          </w:p>
        </w:tc>
      </w:tr>
      <w:tr w14:paraId="1768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5A72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F630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极低显存（65B: ~33GB）；② 效果接近 LoRA（原始论文差距 &lt; 1%）；③ 个人开发者可在消费级硬件上微调百亿参数模型；④ 三大核心技术（NF4 + 双重量化 + 分页优化器）各有独立价值</w:t>
            </w:r>
          </w:p>
        </w:tc>
      </w:tr>
      <w:tr w14:paraId="788F2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1DD9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1C1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训练速度比 LoRA 慢 20-30%（反量化开销）；② 长序列训练效率不如 LoRA；③ 再做 GPTQ 等后训练量化会导致误差累积</w:t>
            </w:r>
          </w:p>
        </w:tc>
      </w:tr>
      <w:tr w14:paraId="6308C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AE3F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7B0D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参数高效微调的极致版本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——将 LoRA 的显存优势推到极限，适合资源极度受限的 Fine-tuning 场景</w:t>
            </w:r>
          </w:p>
        </w:tc>
      </w:tr>
    </w:tbl>
    <w:p w14:paraId="4EFB98EA">
      <w:pPr>
        <w:pStyle w:val="5"/>
        <w:keepNext/>
        <w:outlineLvl w:val="9"/>
      </w:pPr>
      <w:r>
        <w:t xml:space="preserve"> 4.5.3 显存对比（完整表格）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289"/>
        <w:gridCol w:w="1289"/>
        <w:gridCol w:w="1289"/>
        <w:gridCol w:w="1290"/>
        <w:gridCol w:w="1290"/>
        <w:gridCol w:w="1290"/>
      </w:tblGrid>
      <w:tr w14:paraId="7A387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329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E2FE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7B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0F9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13B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5E3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33B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6BD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65B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9C45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70B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BFA9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可运行硬件</w:t>
            </w:r>
          </w:p>
        </w:tc>
      </w:tr>
      <w:tr w14:paraId="14E1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5D15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Full FT (FP32)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B2AA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~112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CCC5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~208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CF02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~528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D1A3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 TB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3D5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~1.04 TB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E21F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4-8×A100 80GB</w:t>
            </w:r>
          </w:p>
        </w:tc>
      </w:tr>
      <w:tr w14:paraId="3DFB6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7043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LoRA (FP16)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6BDF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~16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8D5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~30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DBA7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~74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5362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~140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AB71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~148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C05A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1×A100 40GB</w:t>
            </w:r>
          </w:p>
        </w:tc>
      </w:tr>
      <w:tr w14:paraId="14721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7F2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QLoRA (NF4)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0F8D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~6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19F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~10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739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~20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568C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~33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260E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~38 GB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30F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1×RTX 3090</w:t>
            </w:r>
          </w:p>
        </w:tc>
      </w:tr>
    </w:tbl>
    <w:p w14:paraId="41FC824E">
      <w:pPr>
        <w:spacing w:after="120"/>
      </w:pPr>
    </w:p>
    <w:p w14:paraId="48A47244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详见《Fine-tuning 技术笔记》第 5-6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：LoRA 和 QLoRA 的完整数学推导、实验分析和代码示例。</w:t>
      </w:r>
    </w:p>
    <w:p w14:paraId="157F6096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5" w:name="_Toc30032"/>
      <w:r>
        <w:rPr>
          <w:rFonts w:hint="eastAsia"/>
          <w:lang w:eastAsia="zh-CN"/>
        </w:rPr>
        <w:t xml:space="preserve">5. </w:t>
      </w:r>
      <w:r>
        <w:t>第二部分：Alignment（对齐）</w:t>
      </w:r>
      <w:bookmarkEnd w:id="15"/>
    </w:p>
    <w:p w14:paraId="7DA17892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6" w:name="_Toc3285"/>
      <w:r>
        <w:rPr>
          <w:rFonts w:hint="eastAsia"/>
          <w:lang w:eastAsia="zh-CN"/>
        </w:rPr>
        <w:t xml:space="preserve">5.1 </w:t>
      </w:r>
      <w:r>
        <w:t>技术概览</w:t>
      </w:r>
      <w:bookmarkEnd w:id="16"/>
    </w:p>
    <w:p w14:paraId="38E23E52">
      <w:pPr>
        <w:pStyle w:val="5"/>
        <w:keepNext/>
        <w:outlineLvl w:val="9"/>
      </w:pPr>
      <w:r>
        <w:t xml:space="preserve"> 5.1.1 Alignment 的定义</w:t>
      </w:r>
    </w:p>
    <w:p w14:paraId="1891336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Alignment（对齐）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是指通过技术手段，使大语言模型的行为、价值观和输出与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人类的意图、偏好和伦理规范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保持一致的过程。它包含多个层次：</w:t>
      </w:r>
    </w:p>
    <w:p w14:paraId="7AD711DA">
      <w:pPr>
        <w:pStyle w:val="12"/>
        <w:widowControl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行为对齐（Behavioral Alignment）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：模型是否按照用户的指令去做？</w:t>
      </w:r>
    </w:p>
    <w:p w14:paraId="0F26CF2F">
      <w:pPr>
        <w:pStyle w:val="12"/>
        <w:widowControl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意图对齐（Intent Alignment）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：模型的输出是否符合用户真正的、隐含的意图？</w:t>
      </w:r>
    </w:p>
    <w:p w14:paraId="17F04008">
      <w:pPr>
        <w:pStyle w:val="12"/>
        <w:widowControl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价值对齐（Value Alignment）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：模型的回答是否符合社会伦理和人类价值观？</w:t>
      </w:r>
    </w:p>
    <w:p w14:paraId="25D7821E">
      <w:pPr>
        <w:pStyle w:val="5"/>
        <w:keepNext/>
        <w:outlineLvl w:val="9"/>
      </w:pPr>
      <w:r>
        <w:t xml:space="preserve"> 5.1.2 为什么不只做 SFT？</w:t>
      </w:r>
    </w:p>
    <w:p w14:paraId="5B36121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核心矛盾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：SFT 的损失函数对"非参考答案"一视同仁。</w:t>
      </w:r>
    </w:p>
    <w:p w14:paraId="2405FB6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SFT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p>
                <m:sSup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∗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p>
              </m:s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)∼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D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SFT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[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log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π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SFT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(</m:t>
          </m:r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|x)]</m:t>
          </m:r>
        </m:oMath>
      </m:oMathPara>
    </w:p>
    <w:p w14:paraId="423521A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这个目标函数有一个致命弱点：它只告诉模型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什么是好的回答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，不告诉模型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什么是不好的回答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。当模型面对一个从未见过的指令时，它只能"猜"哪些是合适的，哪些是不合适的。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44B00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06F3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SFT 的局限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052B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具体表现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2C97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深层原因</w:t>
            </w:r>
          </w:p>
        </w:tc>
      </w:tr>
      <w:tr w14:paraId="5E5F0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6A56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不懂拒绝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F5F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面对"教我制作毒品"的请求，SFT 模型可能照做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4601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数据几乎都是"指令→回答"的正例，没有拒绝范例</w:t>
            </w:r>
          </w:p>
        </w:tc>
      </w:tr>
      <w:tr w14:paraId="09BD8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1325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不懂"不知道"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0E23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超出知识范围时编造答案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4F77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数据中的答案几乎都能回答，模型没学过"承认不知道"</w:t>
            </w:r>
          </w:p>
        </w:tc>
      </w:tr>
      <w:tr w14:paraId="281DB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CFEA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不懂偏好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187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两个回答都正确但一个啰嗦一个简洁，SFT 无信号区分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A58A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只有正例，没有偏好比较信号（哪个更好）</w:t>
            </w:r>
          </w:p>
        </w:tc>
      </w:tr>
      <w:tr w14:paraId="79B1F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BA95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不懂分寸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4225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模糊指令选择了"技术上正确但意图上错误"的解释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3919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缺少对"好的解释"和"不好的解释"的判断</w:t>
            </w:r>
          </w:p>
        </w:tc>
      </w:tr>
    </w:tbl>
    <w:p w14:paraId="5A77B229">
      <w:pPr>
        <w:pStyle w:val="5"/>
        <w:keepNext/>
        <w:outlineLvl w:val="9"/>
      </w:pPr>
      <w:r>
        <w:t xml:space="preserve"> 5.1.3 Alignment 的 HHH 框架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19459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BC24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C939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含义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308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典型问题</w:t>
            </w:r>
          </w:p>
        </w:tc>
      </w:tr>
      <w:tr w14:paraId="19C06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7C1B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Helpfulness（有帮助性）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9B4E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回复是否高效、清晰、完整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762E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"帮我写排序算法" → 是否正确可运行？</w:t>
            </w:r>
          </w:p>
        </w:tc>
      </w:tr>
      <w:tr w14:paraId="795BC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57FE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Harmlessness（无害性）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CE2B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回复是否避免有害、危险内容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CC37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"如何制作炸弹" → 应拒绝回答</w:t>
            </w:r>
          </w:p>
        </w:tc>
      </w:tr>
      <w:tr w14:paraId="6CFCB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E4A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Honesty（诚实性）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5005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是否如实反映认知边界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1AE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"2028 奥运会在哪" → 不应编造</w:t>
            </w:r>
          </w:p>
        </w:tc>
      </w:tr>
    </w:tbl>
    <w:p w14:paraId="7A518035">
      <w:pPr>
        <w:spacing w:after="120"/>
      </w:pPr>
    </w:p>
    <w:p w14:paraId="2C7FAD70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详见《Alignment 技术笔记》第 1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：Alignment 的完整定义和 HHH 框架分析。</w:t>
      </w:r>
    </w:p>
    <w:p w14:paraId="34796A11">
      <w:pPr>
        <w:pStyle w:val="5"/>
        <w:keepNext/>
        <w:outlineLvl w:val="9"/>
      </w:pPr>
      <w:r>
        <w:t xml:space="preserve"> 5.1.4 方法全景图</w:t>
      </w:r>
    </w:p>
    <w:p w14:paraId="06861851">
      <w:r>
        <w:drawing>
          <wp:inline distT="0" distB="0" distL="114300" distR="114300">
            <wp:extent cx="4876800" cy="61277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12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220BD">
      <w:pPr>
        <w:pStyle w:val="5"/>
        <w:keepNext/>
        <w:outlineLvl w:val="9"/>
      </w:pPr>
      <w:r>
        <w:t xml:space="preserve"> 5.1.5 方法速查表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9"/>
        <w:gridCol w:w="1144"/>
        <w:gridCol w:w="1188"/>
        <w:gridCol w:w="1149"/>
        <w:gridCol w:w="1150"/>
        <w:gridCol w:w="1122"/>
        <w:gridCol w:w="1594"/>
      </w:tblGrid>
      <w:tr w14:paraId="53D8D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622C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3DD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提出时间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4E3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核心思想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53AA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需 RM？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63F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需人类？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681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在线？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3F64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适用维度</w:t>
            </w:r>
          </w:p>
        </w:tc>
      </w:tr>
      <w:tr w14:paraId="42CA3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9243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RLHF (PPO)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5FF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9F11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RM 打分 + PPO 优化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2F38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7748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9BD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A063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Helpfulness + Harmlessness</w:t>
            </w:r>
          </w:p>
        </w:tc>
      </w:tr>
      <w:tr w14:paraId="00C8B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BD1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DPO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E9C3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1E2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偏好对分类损失，消去 RM 和 RL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A66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315E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✅(数据)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52D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3DC6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Helpfulness + Harmlessness</w:t>
            </w:r>
          </w:p>
        </w:tc>
      </w:tr>
      <w:tr w14:paraId="3A71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0BB0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GRPO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830A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1AFA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组内比较 + 可验证奖励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3BF2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81B4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ECC2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711C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Reasoning</w:t>
            </w:r>
          </w:p>
        </w:tc>
      </w:tr>
      <w:tr w14:paraId="1B5EE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4585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RLAIF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96B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620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AI 替代人类标注偏好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6FFD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❌(AI标注)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C3C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00D5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B1A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通用（成本优先）</w:t>
            </w:r>
          </w:p>
        </w:tc>
      </w:tr>
      <w:tr w14:paraId="04257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0BE9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Constitutional AI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D87D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E556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宪法原则引导自我修正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ADA4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✅(AI训练)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38EA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6DBA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两阶段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2C0F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Harmlessness</w:t>
            </w:r>
          </w:p>
        </w:tc>
      </w:tr>
      <w:tr w14:paraId="49B51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635E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ORPO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AD6E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48A0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+ 偏好联合训练，单阶段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13C6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E26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✅(数据)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FF6B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3ED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通用（简化优先）</w:t>
            </w:r>
          </w:p>
        </w:tc>
      </w:tr>
      <w:tr w14:paraId="21F90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F68B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SimPO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7A76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C7D7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平均对数概率 + 长度归一化 + margin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48C8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B928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✅(数据)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720D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</w:t>
            </w:r>
          </w:p>
        </w:tc>
        <w:tc>
          <w:tcPr>
            <w:tcW w:w="1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3FC8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通用（长度偏差修正）</w:t>
            </w:r>
          </w:p>
        </w:tc>
      </w:tr>
    </w:tbl>
    <w:p w14:paraId="2D5A9621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7" w:name="_Toc28893"/>
      <w:r>
        <w:rPr>
          <w:rFonts w:hint="eastAsia"/>
          <w:lang w:eastAsia="zh-CN"/>
        </w:rPr>
        <w:t xml:space="preserve">5.2 </w:t>
      </w:r>
      <w:r>
        <w:t>案例分析：InstructGPT / RLHF</w:t>
      </w:r>
      <w:bookmarkEnd w:id="17"/>
    </w:p>
    <w:p w14:paraId="28B9D909">
      <w:pPr>
        <w:pStyle w:val="5"/>
        <w:keepNext/>
        <w:outlineLvl w:val="9"/>
      </w:pPr>
      <w:r>
        <w:t xml:space="preserve"> 5.2.1 背景</w:t>
      </w:r>
    </w:p>
    <w:p w14:paraId="45BA4E9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InstructGPT（Ouyang et al., 2022）是 OpenAI 在 GPT-3 基础上应用 RLHF 的标志性工作，是 ChatGPT 的方法论基础。它是第一个系统性地展示了"预训练 → SFT → RM → PPO"四阶段管线有效性工作。</w:t>
      </w:r>
    </w:p>
    <w:p w14:paraId="23E17CBB">
      <w:pPr>
        <w:pStyle w:val="5"/>
        <w:keepNext/>
        <w:pageBreakBefore/>
        <w:outlineLvl w:val="9"/>
      </w:pPr>
      <w:r>
        <w:t xml:space="preserve"> 5.2.2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1FA55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6D2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827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7F12F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229D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CE8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让 GPT-3 更好地遵循人类指令，减少有害和无用的输出，在 Helpfulness、Honesty、Harmlessness 三维度上对齐人类偏好</w:t>
            </w:r>
          </w:p>
        </w:tc>
      </w:tr>
      <w:tr w14:paraId="25125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03D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3911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SFT 阶段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：~13K 条人工标注的指令-回答对；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RM 训练阶段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：对同一 prompt 的 K 个回复（K=4~9），人工标注偏好排序；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PPO 阶段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：新的 prompt 集合（无需标注，模型生成 + RM 打分）</w:t>
            </w:r>
          </w:p>
        </w:tc>
      </w:tr>
      <w:tr w14:paraId="1701A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78CC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5561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对齐后的 InstructGPT 模型。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关键发现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：1.3B 参数的 InstructGPT 在人类评估中胜出 175B 的 GPT-3——"对齐比规模更重要"</w:t>
            </w:r>
          </w:p>
        </w:tc>
      </w:tr>
      <w:tr w14:paraId="2BD6C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A4A4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数学原理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951D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详见下方三阶段数学推导</w:t>
            </w:r>
          </w:p>
        </w:tc>
      </w:tr>
      <w:tr w14:paraId="01107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15B2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4080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三阶段流水线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：① SFT 微调；② 基于 Bradley-Terry 模型的 RM 训练；③ PPO 强化学习优化</w:t>
            </w:r>
          </w:p>
        </w:tc>
      </w:tr>
      <w:tr w14:paraId="39CBA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14A8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5839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第一个系统展示 RLHF 有效性，成为后续所有对齐方法的基石；② 在线探索——PPO 在训练中不断生成新回复并得到实时反馈；③ 理论上灵活——可针对任意可量化的奖励进行优化；④ 效果显著优于纯 SFT</w:t>
            </w:r>
          </w:p>
        </w:tc>
      </w:tr>
      <w:tr w14:paraId="5CABA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3B06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0AC2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训练极其复杂（4 个模型，~4× 显存）；② 超参数敏感（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β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, clip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ϵ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, KL penalty）；③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Reward Hacking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：模型可能"钻空子"拿高分而非真正变好；④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分布偏移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：PPO 优化后 RM 在"陌生领域"打分不准确；⑤ 人类偏好标注成本高（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0.1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~1/条）</w:t>
            </w:r>
          </w:p>
        </w:tc>
      </w:tr>
      <w:tr w14:paraId="5EF5F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272F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FFDD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Alignment 的核心范式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——涵盖 SFT + 偏好学习 + RL 优化，是所有后续对齐方法比较的基线</w:t>
            </w:r>
          </w:p>
        </w:tc>
      </w:tr>
    </w:tbl>
    <w:p w14:paraId="765605D9">
      <w:pPr>
        <w:pStyle w:val="5"/>
        <w:keepNext/>
        <w:outlineLvl w:val="9"/>
      </w:pPr>
      <w:r>
        <w:t xml:space="preserve"> 5.2.3 三阶段数学推导</w:t>
      </w:r>
    </w:p>
    <w:p w14:paraId="3ECCD6FC">
      <w:pPr>
        <w:pStyle w:val="6"/>
        <w:keepNext/>
        <w:outlineLvl w:val="9"/>
      </w:pPr>
      <w:r>
        <w:t>阶段 1：SFT（Supervised Fine-Tuning）</w:t>
      </w:r>
    </w:p>
    <w:p w14:paraId="336A357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目标：在人工标注的指令-回复对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(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x,</m:t>
        </m:r>
        <m:sSup>
          <m:sSup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p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p>
            <m:r>
              <w:rPr>
                <w:rFonts w:ascii="Times New Roman" w:hAnsi="Times New Roman" w:eastAsia="宋体" w:cs="Times New Roman"/>
                <w:sz w:val="24"/>
                <w:szCs w:val="24"/>
              </w:rPr>
              <m:t>∗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p>
        </m:sSup>
      </m:oMath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)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上做监督学习</w:t>
      </w:r>
    </w:p>
    <w:p w14:paraId="1843838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SFT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p>
                <m:sSup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∗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p>
              </m:s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)∼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D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SFT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[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log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π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SFT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(</m:t>
          </m:r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|x)]</m:t>
          </m:r>
        </m:oMath>
      </m:oMathPara>
    </w:p>
    <w:p w14:paraId="1597C1C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为什么需要这一步？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基座模型的输出空间太大（什么都能生成），RL 无法在这个巨大的空间里有效搜索。SFT 先将搜索空间缩小到"合理的回答"区域，为 RM 和 PPO 提供良好的起点。</w:t>
      </w:r>
    </w:p>
    <w:p w14:paraId="76E752E6">
      <w:pPr>
        <w:pStyle w:val="6"/>
        <w:keepNext/>
        <w:pageBreakBefore/>
        <w:outlineLvl w:val="9"/>
      </w:pPr>
      <w:r>
        <w:t>阶段 2：Reward Model 训练</w:t>
      </w:r>
    </w:p>
    <w:p w14:paraId="6B10CFDF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目标：训练一个可以给任意回复打分的"裁判模型"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r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ϕ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(x,y)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</w:t>
      </w:r>
    </w:p>
    <w:p w14:paraId="4BCC4C3F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Bradley-Terry 偏好模型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——假设人类偏好来自奖励分数的比较：</w:t>
      </w:r>
    </w:p>
    <w:p w14:paraId="09F7530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P(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w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≻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l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|x)=</m:t>
          </m:r>
          <m:f>
            <m:f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Pr>
            <m:num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exp(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ϕ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um>
            <m:den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exp(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ϕ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))+exp(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ϕ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en>
          </m:f>
          <m:r>
            <w:rPr>
              <w:rFonts w:ascii="Times New Roman" w:hAnsi="Times New Roman" w:eastAsia="宋体" w:cs="Times New Roman"/>
              <w:sz w:val="24"/>
              <w:szCs w:val="24"/>
            </w:rPr>
            <m:t>=σ(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ϕ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(x,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w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ϕ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(x,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l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))</m:t>
          </m:r>
        </m:oMath>
      </m:oMathPara>
    </w:p>
    <w:p w14:paraId="6A468A4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σ(⋅)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 sigmoid 函数。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直觉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：奖励分数差距越大，winner 胜出的概率越接近 1。</w:t>
      </w:r>
    </w:p>
    <w:p w14:paraId="02F2339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RM 的训练损失（负对数似然）：</w:t>
      </w:r>
    </w:p>
    <w:p w14:paraId="1652F08F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RM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(ϕ)=−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)∼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D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pref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log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σ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ϕ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)−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ϕ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5CC7531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理解这个损失函数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6043A9E9">
      <w:pPr>
        <w:pStyle w:val="12"/>
        <w:widowControl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如果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r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ϕ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(x,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w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)−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r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ϕ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(x,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l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很大（正确判断），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σ(⋅)→1，−</m:t>
        </m:r>
        <m:func>
          <m:func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Times New Roman" w:hAnsi="Times New Roman" w:eastAsia="宋体" w:cs="Times New Roman"/>
                <w:sz w:val="24"/>
                <w:szCs w:val="24"/>
              </w:rPr>
              <m:t>log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Name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(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</m:func>
        <m:r>
          <w:rPr>
            <w:rFonts w:ascii="Times New Roman" w:hAnsi="Times New Roman" w:eastAsia="宋体" w:cs="Times New Roman"/>
            <w:sz w:val="24"/>
            <w:szCs w:val="24"/>
          </w:rPr>
          <m:t>1)=0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，loss 小</w:t>
      </w:r>
    </w:p>
    <w:p w14:paraId="400EB07C">
      <w:pPr>
        <w:pStyle w:val="12"/>
        <w:widowControl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如果 RM 判断反了（分数差距为负），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σ(⋅)→0，−</m:t>
        </m:r>
        <m:func>
          <m:func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Times New Roman" w:hAnsi="Times New Roman" w:eastAsia="宋体" w:cs="Times New Roman"/>
                <w:sz w:val="24"/>
                <w:szCs w:val="24"/>
              </w:rPr>
              <m:t>log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Name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(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</m:func>
        <m:r>
          <w:rPr>
            <w:rFonts w:ascii="Times New Roman" w:hAnsi="Times New Roman" w:eastAsia="宋体" w:cs="Times New Roman"/>
            <w:sz w:val="24"/>
            <w:szCs w:val="24"/>
          </w:rPr>
          <m:t>0)→∞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，loss 超大</w:t>
      </w:r>
    </w:p>
    <w:p w14:paraId="0F2EA524">
      <w:pPr>
        <w:pStyle w:val="12"/>
        <w:widowControl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这迫使 RM 总是给 winner 比 loser 高的分数</w:t>
      </w:r>
    </w:p>
    <w:p w14:paraId="114104F8">
      <w:pPr>
        <w:pStyle w:val="6"/>
        <w:keepNext/>
        <w:outlineLvl w:val="9"/>
      </w:pPr>
      <w:r>
        <w:t>阶段 3：PPO 强化学习</w:t>
      </w:r>
    </w:p>
    <w:p w14:paraId="123F894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目标：用 RM 作为奖励信号，优化策略模型 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π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</w:t>
      </w:r>
    </w:p>
    <w:p w14:paraId="63FFB88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max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lim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θ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lim>
              </m:limLow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 xml:space="preserve"> 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x∼D,y∼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π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θ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(⋅|x)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ϕ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(x,y)−β⋅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D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KL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π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θ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b>
                  </m:s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 xml:space="preserve">(⋅|x) ‖ </m:t>
                  </m:r>
                  <m:sSub>
                    <m:sSub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π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SFT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b>
                  </m:s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(⋅|x)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d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1BAEC1C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两个核心项的解释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7A05BFCA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13.</w:t>
      </w:r>
      <m:oMath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r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ϕ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(x,y)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（最大化 RM 评分）：让回复更符合人类偏好</w:t>
      </w:r>
    </w:p>
    <w:p w14:paraId="632A5144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14.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−β⋅KL(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π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θ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‖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π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SFT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（KL 散度约束）：不要偏离 SFT 模型太远——这是防止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Reward Hacking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的关键</w:t>
      </w:r>
    </w:p>
    <w:p w14:paraId="0E4D44EF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>
        <m:r>
          <w:rPr>
            <w:rFonts w:ascii="Times New Roman" w:hAnsi="Times New Roman" w:eastAsia="宋体" w:cs="Times New Roman"/>
            <w:sz w:val="24"/>
            <w:szCs w:val="24"/>
          </w:rPr>
          <m:t>β</m:t>
        </m:r>
      </m:oMath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 xml:space="preserve"> 的作用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β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越大，模型越保守（更接近 SFT）；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β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越小，模型越激进（更追求高分）。实践中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β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是最需要调参的超参数之一。</w:t>
      </w:r>
    </w:p>
    <w:p w14:paraId="550A640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PPO 的 clipped objective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（防止单步更新过大）：</w:t>
      </w:r>
    </w:p>
    <w:p w14:paraId="7347DE5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L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CLIP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(θ)=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min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lim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>
                  </m:limLow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θ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|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)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θ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old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|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)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</m:acc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t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, clip</m:t>
                      </m:r>
                      <m:d>
                        <m:d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θ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ub>
                              </m:s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ub>
                              </m:s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|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s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ub>
                              </m:s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e>
                                <m: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eastAsia="宋体" w:cs="Times New Roman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Times New Roman" w:hAnsi="Times New Roman" w:eastAsia="宋体" w:cs="Times New Roman"/>
                                          <w:sz w:val="24"/>
                                          <w:szCs w:val="24"/>
                                        </w:rPr>
                                        <m:t>θ</m:t>
                                      </m:r>
                                      <m:ctrlPr>
                                        <w:rPr>
                                          <w:rFonts w:ascii="Cambria Math" w:hAnsi="Cambria Math" w:eastAsia="宋体" w:cs="Times New Roman"/>
                                          <w:sz w:val="24"/>
                                          <w:szCs w:val="24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Times New Roman" w:hAnsi="Times New Roman" w:eastAsia="宋体" w:cs="Times New Roman"/>
                                          <w:sz w:val="24"/>
                                          <w:szCs w:val="24"/>
                                        </w:rPr>
                                        <m:t>old</m:t>
                                      </m:r>
                                      <m:ctrlPr>
                                        <w:rPr>
                                          <w:rFonts w:ascii="Cambria Math" w:hAnsi="Cambria Math" w:eastAsia="宋体" w:cs="Times New Roman"/>
                                          <w:sz w:val="24"/>
                                          <w:szCs w:val="24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ub>
                              </m:s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ub>
                              </m:s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|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s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Times New Roman" w:hAnsi="Times New Roman" w:eastAsia="宋体" w:cs="Times New Roman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 w:eastAsia="宋体" w:cs="Times New Roman"/>
                                      <w:sz w:val="24"/>
                                      <w:szCs w:val="24"/>
                                    </w:rPr>
                                  </m:ctrlPr>
                                </m:sub>
                              </m:s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den>
                          </m:f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,1−ϵ,1+ϵ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</m:acc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t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76923CB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ϵ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通常为 0.2。这个 clip 机制保证了新旧策略的概率比被限制在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[0.8, 1.2]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范围内。</w:t>
      </w:r>
    </w:p>
    <w:p w14:paraId="4E4FC496">
      <w:pPr>
        <w:pStyle w:val="5"/>
        <w:keepNext/>
        <w:outlineLvl w:val="9"/>
      </w:pPr>
      <w:r>
        <w:t xml:space="preserve"> 5.2.4 偏好数据收集</w:t>
      </w:r>
    </w:p>
    <w:p w14:paraId="3991BEA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对一个 prompt "请解释什么是黑洞"：</w:t>
      </w:r>
    </w:p>
    <w:p w14:paraId="43751390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01FB11A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SFT 模型生成 4 个不同回复：</w:t>
      </w:r>
    </w:p>
    <w:p w14:paraId="1C2AE24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y₁: [科学准确且通俗易懂]      ← 排第 1 (best)</w:t>
      </w:r>
    </w:p>
    <w:p w14:paraId="20F2819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y₂: [科学准确但太学术化]     ← 排第 2</w:t>
      </w:r>
    </w:p>
    <w:p w14:paraId="6D752FA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y₃: [基本准确但缺少细节]     ← 排第 3</w:t>
      </w:r>
    </w:p>
    <w:p w14:paraId="077A3A1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y₄: [包含事实错误]           ← 排第 4 (worst)</w:t>
      </w:r>
    </w:p>
    <w:p w14:paraId="687620B4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277D5A7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从排序中提取偏好对：C(4,2) = 6 对</w:t>
      </w:r>
    </w:p>
    <w:p w14:paraId="46D53EF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(y₁,y₂), (y₁,y₃), (y₁,y₄), (y₂,y₃), (y₂,y₄), (y₃,y₄)</w:t>
      </w:r>
    </w:p>
    <w:p w14:paraId="3B24E209">
      <w:pPr>
        <w:spacing w:after="120"/>
      </w:pPr>
    </w:p>
    <w:p w14:paraId="5242AE1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K 的选择是成本-效率权衡：K 越大（通常 4-9），产生的偏好对越多（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O(K^2)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），但人类标注者的认知负担也越重。</w:t>
      </w:r>
    </w:p>
    <w:p w14:paraId="7834E154">
      <w:pPr>
        <w:pStyle w:val="5"/>
        <w:keepNext/>
        <w:outlineLvl w:val="9"/>
      </w:pPr>
      <w:r>
        <w:t xml:space="preserve"> 5.2.5 RLHF 的四个模型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5"/>
        <w:gridCol w:w="1805"/>
        <w:gridCol w:w="1805"/>
        <w:gridCol w:w="1805"/>
        <w:gridCol w:w="1806"/>
      </w:tblGrid>
      <w:tr w14:paraId="301EC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3C71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模型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7263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作用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7C0D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训练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BDF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精度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0D22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显存占比</w:t>
            </w:r>
          </w:p>
        </w:tc>
      </w:tr>
      <w:tr w14:paraId="35FFC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146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Actor (</w:t>
            </w:r>
            <m:oMath>
              <m:r>
                <w:rPr>
                  <w:rFonts w:ascii="Cambria Math" w:hAnsi="Cambria Math" w:eastAsia="Consolas" w:cs="Consolas"/>
                  <w:color w:val="884400"/>
                  <w:sz w:val="20"/>
                  <w:szCs w:val="20"/>
                </w:rPr>
                <m:t>\pi_\theta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)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9A2C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生成回复的策略模型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939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AC19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FP16/BF16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5D6E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~14 GB (7B)</w:t>
            </w:r>
          </w:p>
        </w:tc>
      </w:tr>
      <w:tr w14:paraId="51949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28A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Reference (</w:t>
            </w:r>
            <m:oMath>
              <m:r>
                <w:rPr>
                  <w:rFonts w:ascii="Cambria Math" w:hAnsi="Cambria Math" w:eastAsia="Consolas" w:cs="Consolas"/>
                  <w:color w:val="884400"/>
                  <w:sz w:val="20"/>
                  <w:szCs w:val="20"/>
                </w:rPr>
                <m:t>\pi_{SFT}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)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9CC0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KL 散度的参考点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B957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 冻结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860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FP16/BF16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873B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~14 GB (7B)</w:t>
            </w:r>
          </w:p>
        </w:tc>
      </w:tr>
      <w:tr w14:paraId="3A43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1212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Critic (</w:t>
            </w:r>
            <m:oMath>
              <m:r>
                <w:rPr>
                  <w:rFonts w:ascii="Cambria Math" w:hAnsi="Cambria Math" w:eastAsia="Consolas" w:cs="Consolas"/>
                  <w:color w:val="884400"/>
                  <w:sz w:val="20"/>
                  <w:szCs w:val="20"/>
                </w:rPr>
                <m:t>V_\psi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)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861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估计状态价值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F537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2BF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FP32（需稳定）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39E2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~28 GB (7B)</w:t>
            </w:r>
          </w:p>
        </w:tc>
      </w:tr>
      <w:tr w14:paraId="44C7C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27AC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Reward Model (</w:t>
            </w:r>
            <m:oMath>
              <m:r>
                <w:rPr>
                  <w:rFonts w:ascii="Cambria Math" w:hAnsi="Cambria Math" w:eastAsia="Consolas" w:cs="Consolas"/>
                  <w:color w:val="884400"/>
                  <w:sz w:val="20"/>
                  <w:szCs w:val="20"/>
                </w:rPr>
                <m:t>r_\phi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)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A18D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回复打分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2838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 冻结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B403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FP16/BF16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5812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~14 GB (7B)</w:t>
            </w:r>
          </w:p>
        </w:tc>
      </w:tr>
    </w:tbl>
    <w:p w14:paraId="680550FB">
      <w:pPr>
        <w:spacing w:after="120"/>
      </w:pPr>
    </w:p>
    <w:p w14:paraId="325D034B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⚠️ 总显存：~56 GB（仅参数）+ 激活值和优化器状态 ≈ 4-8 张 A100（7B 模型）</w:t>
      </w:r>
    </w:p>
    <w:p w14:paraId="6B501FC1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详见《Alignment 技术笔记》第 3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：RLHF 的三阶段完整推导、RM 训练细节、PPO 机制详解。</w:t>
      </w:r>
    </w:p>
    <w:p w14:paraId="3CACB08C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8" w:name="_Toc13486"/>
      <w:r>
        <w:rPr>
          <w:rFonts w:hint="eastAsia"/>
          <w:lang w:eastAsia="zh-CN"/>
        </w:rPr>
        <w:t xml:space="preserve">5.3 </w:t>
      </w:r>
      <w:r>
        <w:t>案例分析：DPO（直接偏好优化）</w:t>
      </w:r>
      <w:bookmarkEnd w:id="18"/>
    </w:p>
    <w:p w14:paraId="06C45273">
      <w:pPr>
        <w:pStyle w:val="5"/>
        <w:keepNext/>
        <w:outlineLvl w:val="9"/>
      </w:pPr>
      <w:r>
        <w:t xml:space="preserve"> 5.3.1 核心洞察</w:t>
      </w:r>
    </w:p>
    <w:p w14:paraId="59B504B1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DPO（Rafailov et al., 2023）解决了 RLHF 的最大痛点——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太复杂了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。其核心数学发现是：</w:t>
      </w:r>
    </w:p>
    <w:p w14:paraId="1159CB9E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RLHF 中 KL 约束下的最优策略可以直接用一个分类损失来表示，不需要显式训练 RM，也不需要做 RL。</w:t>
      </w:r>
    </w:p>
    <w:p w14:paraId="42F10FD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关键在于配分函数 Z(x) 的抵消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——这个在指数级大的输出空间中不可计算的量，在 Bradley-Terry 模型的减法中精确抵消了。</w:t>
      </w:r>
    </w:p>
    <w:p w14:paraId="7B260A74">
      <w:pPr>
        <w:pStyle w:val="5"/>
        <w:keepNext/>
        <w:outlineLvl w:val="9"/>
      </w:pPr>
      <w:r>
        <w:t xml:space="preserve"> 5.3.2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6EEFC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9834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83B5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79A4A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21C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BF90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RLHF 训练复杂（4 个模型，PPO 不稳定，超参数多）。DPO 消去 RM 和 RL，直接在偏好数据上用分类损失优化，大幅降低 Alignment 的实施门槛</w:t>
            </w:r>
          </w:p>
        </w:tc>
      </w:tr>
      <w:tr w14:paraId="2B17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FE39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887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偏好对数据 (prompt, chosen, rejected)，与 RLHF 的 RM 训练阶段完全相同。推荐数据集：HH-RLHF (169K 对)、UltraFeedback (64K prompts)</w:t>
            </w:r>
          </w:p>
        </w:tc>
      </w:tr>
      <w:tr w14:paraId="6C551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48C7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5F2D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DPO 对齐后的模型。效果在多数 benchmark 上达到甚至超过 RLHF，但训练流程大幅简化</w:t>
            </w:r>
          </w:p>
        </w:tc>
      </w:tr>
      <w:tr w14:paraId="18E47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0705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优化目标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56827">
            <w:pPr>
              <w:pStyle w:val="1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220" w:lineRule="atLeast"/>
              <w:ind w:left="0" w:right="0" w:firstLine="0"/>
            </w:pPr>
            <m:oMathPara>
              <m:oMath>
                <m:r>
                  <m:rPr>
                    <m:sty m:val="p"/>
                  </m:rPr>
                  <w:rPr>
                    <w:rFonts w:hint="default" w:ascii="Cambria Math" w:hAnsi="Cambria Math" w:eastAsia="Arial" w:cs="Arial"/>
                    <w:color w:val="000000"/>
                    <w:kern w:val="0"/>
                    <w:sz w:val="22"/>
                    <w:szCs w:val="22"/>
                    <w:lang/>
                  </w:rPr>
                  <m:t>[</m:t>
                </m:r>
                <m:sSub>
                  <m:sSubP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SubPr>
                  <m:e>
                    <m:r>
                      <m:rPr>
                        <m:sty m:val="p"/>
                        <m:scr m:val="script"/>
                      </m:rPr>
                      <w:rPr>
                        <w:rFonts w:hint="default" w:ascii="Cambria Math" w:hAnsi="Cambria Math" w:eastAsia="MS Mincho" w:cs="MS Mincho"/>
                        <w:color w:val="000000"/>
                        <w:kern w:val="0"/>
                        <w:sz w:val="22"/>
                        <w:szCs w:val="22"/>
                        <w:lang/>
                      </w:rPr>
                      <m:t>ℒ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DPO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Arial" w:cs="Arial"/>
                    <w:color w:val="000000"/>
                    <w:kern w:val="0"/>
                    <w:sz w:val="22"/>
                    <w:szCs w:val="22"/>
                    <w:lang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π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θ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Arial" w:cs="Arial"/>
                    <w:color w:val="000000"/>
                    <w:kern w:val="0"/>
                    <w:sz w:val="22"/>
                    <w:szCs w:val="22"/>
                    <w:lang/>
                  </w:rPr>
                  <m:t>;</m:t>
                </m:r>
                <m:sSub>
                  <m:sSubP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π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ref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Arial" w:cs="Arial"/>
                    <w:color w:val="000000"/>
                    <w:kern w:val="0"/>
                    <w:sz w:val="22"/>
                    <w:szCs w:val="22"/>
                    <w:lang/>
                  </w:rPr>
                  <m:t>)=− </m:t>
                </m:r>
                <m:sSub>
                  <m:sSubP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SubPr>
                  <m:e>
                    <m:r>
                      <m:rPr>
                        <m:sty m:val="p"/>
                        <m:scr m:val="double-struck"/>
                      </m:rPr>
                      <w:rPr>
                        <w:rFonts w:hint="default" w:ascii="Cambria Math" w:hAnsi="Cambria Math" w:eastAsia="MS Mincho" w:cs="MS Mincho"/>
                        <w:color w:val="000000"/>
                        <w:kern w:val="0"/>
                        <w:sz w:val="22"/>
                        <w:szCs w:val="22"/>
                        <w:lang/>
                      </w:rPr>
                      <m:t>E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(x,</m:t>
                    </m:r>
                    <m:sSub>
                      <m:sSubP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,</m:t>
                    </m:r>
                    <m:sSub>
                      <m:sSubP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l</m:t>
                        </m: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default" w:ascii="Cambria Math" w:hAnsi="Cambria Math" w:eastAsia="Arial" w:cs="Arial"/>
                        <w:color w:val="000000"/>
                        <w:kern w:val="0"/>
                        <w:sz w:val="22"/>
                        <w:szCs w:val="22"/>
                        <w:lang/>
                      </w:rPr>
                      <m:t>)∼</m:t>
                    </m:r>
                    <m:r>
                      <m:rPr>
                        <m:sty m:val="p"/>
                        <m:scr m:val="script"/>
                      </m:rPr>
                      <w:rPr>
                        <w:rFonts w:hint="default" w:ascii="Cambria Math" w:hAnsi="Cambria Math" w:eastAsia="MS Mincho" w:cs="MS Mincho"/>
                        <w:color w:val="000000"/>
                        <w:kern w:val="0"/>
                        <w:sz w:val="22"/>
                        <w:szCs w:val="22"/>
                        <w:lang/>
                      </w:rPr>
                      <m:t>D</m:t>
                    </m:r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log</m:t>
                        </m: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σ</m:t>
                        </m: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e>
                    </m:func>
                    <m:d>
                      <m:dPr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β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Arial" w:cs="Arial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Arial" w:cs="Arial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  <m:t>log</m:t>
                            </m:r>
                            <m:ctrlPr>
                              <w:rPr>
                                <w:rFonts w:hint="default" w:ascii="Cambria Math" w:hAnsi="Cambria Math" w:eastAsia="Arial" w:cs="Arial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</m:ctrlPr>
                          </m:fName>
                          <m:e>
                            <m:f>
                              <m:fPr>
                                <m:ctrlPr>
                                  <w:rPr>
                                    <w:rFonts w:hint="default" w:ascii="Cambria Math" w:hAnsi="Cambria Math" w:eastAsia="Arial" w:cs="Arial"/>
                                    <w:b w:val="0"/>
                                    <w:bCs w:val="0"/>
                                    <w:i w:val="0"/>
                                    <w:iCs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π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θ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y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|x)</m:t>
                                </m:r>
                                <m:ctrlPr>
                                  <w:rPr>
                                    <w:rFonts w:hint="default" w:ascii="Cambria Math" w:hAnsi="Cambria Math" w:eastAsia="Arial" w:cs="Arial"/>
                                    <w:b w:val="0"/>
                                    <w:bCs w:val="0"/>
                                    <w:i w:val="0"/>
                                    <w:iCs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π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ref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y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|x)</m:t>
                                </m:r>
                                <m:ctrlPr>
                                  <w:rPr>
                                    <w:rFonts w:hint="default" w:ascii="Cambria Math" w:hAnsi="Cambria Math" w:eastAsia="Arial" w:cs="Arial"/>
                                    <w:b w:val="0"/>
                                    <w:bCs w:val="0"/>
                                    <w:i w:val="0"/>
                                    <w:iCs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hint="default" w:ascii="Cambria Math" w:hAnsi="Cambria Math" w:eastAsia="Arial" w:cs="Arial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</m:ctrlP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Arial" w:cs="Arial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  <m:t>−β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Arial" w:cs="Arial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Arial" w:cs="Arial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  <m:t>log</m:t>
                            </m:r>
                            <m:ctrlPr>
                              <w:rPr>
                                <w:rFonts w:hint="default" w:ascii="Cambria Math" w:hAnsi="Cambria Math" w:eastAsia="Arial" w:cs="Arial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</m:ctrlPr>
                          </m:fName>
                          <m:e>
                            <m:f>
                              <m:fPr>
                                <m:ctrlPr>
                                  <w:rPr>
                                    <w:rFonts w:hint="default" w:ascii="Cambria Math" w:hAnsi="Cambria Math" w:eastAsia="Arial" w:cs="Arial"/>
                                    <w:b w:val="0"/>
                                    <w:bCs w:val="0"/>
                                    <w:i w:val="0"/>
                                    <w:iCs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π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θ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y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l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|x)</m:t>
                                </m:r>
                                <m:ctrlPr>
                                  <w:rPr>
                                    <w:rFonts w:hint="default" w:ascii="Cambria Math" w:hAnsi="Cambria Math" w:eastAsia="Arial" w:cs="Arial"/>
                                    <w:b w:val="0"/>
                                    <w:bCs w:val="0"/>
                                    <w:i w:val="0"/>
                                    <w:iCs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π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ref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y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hint="default" w:ascii="Cambria Math" w:hAnsi="Cambria Math" w:eastAsia="Arial" w:cs="Arial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  <m:t>l</m:t>
                                    </m:r>
                                    <m:ctrlPr>
                                      <w:rPr>
                                        <w:rFonts w:hint="default" w:ascii="Cambria Math" w:hAnsi="Cambria Math" w:eastAsia="Arial" w:cs="Arial"/>
                                        <w:b w:val="0"/>
                                        <w:bCs w:val="0"/>
                                        <w:i w:val="0"/>
                                        <w:iCs w:val="0"/>
                                        <w:color w:val="000000"/>
                                        <w:kern w:val="0"/>
                                        <w:sz w:val="22"/>
                                        <w:szCs w:val="22"/>
                                        <w:lang/>
                                      </w:rPr>
                                    </m:ctrlP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Arial" w:cs="Arial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  <m:t>|x)</m:t>
                                </m:r>
                                <m:ctrlPr>
                                  <w:rPr>
                                    <w:rFonts w:hint="default" w:ascii="Cambria Math" w:hAnsi="Cambria Math" w:eastAsia="Arial" w:cs="Arial"/>
                                    <w:b w:val="0"/>
                                    <w:bCs w:val="0"/>
                                    <w:i w:val="0"/>
                                    <w:iCs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lang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hint="default" w:ascii="Cambria Math" w:hAnsi="Cambria Math" w:eastAsia="Arial" w:cs="Arial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kern w:val="0"/>
                                <w:sz w:val="22"/>
                                <w:szCs w:val="22"/>
                                <w:lang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Arial" w:cs="Arial"/>
                            <w:b w:val="0"/>
                            <w:bCs w:val="0"/>
                            <w:i w:val="0"/>
                            <w:iCs w:val="0"/>
                            <w:color w:val="000000"/>
                            <w:kern w:val="0"/>
                            <w:sz w:val="22"/>
                            <w:szCs w:val="22"/>
                            <w:lang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Arial" w:cs="Arial"/>
                        <w:b w:val="0"/>
                        <w:bCs w:val="0"/>
                        <w:i w:val="0"/>
                        <w:iCs w:val="0"/>
                        <w:color w:val="000000"/>
                        <w:kern w:val="0"/>
                        <w:sz w:val="22"/>
                        <w:szCs w:val="22"/>
                        <w:lang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Arial" w:cs="Arial"/>
                    <w:color w:val="000000"/>
                    <w:kern w:val="0"/>
                    <w:sz w:val="22"/>
                    <w:szCs w:val="22"/>
                    <w:lang/>
                  </w:rPr>
                  <m:t>,]</m:t>
                </m:r>
              </m:oMath>
            </m:oMathPara>
          </w:p>
        </w:tc>
      </w:tr>
      <w:tr w14:paraId="2BD77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D670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6169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加载参考模型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π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ref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（冻结的 SFT 模型）；② 加载待优化的策略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π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（从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π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ref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初始化）；③ 对每个 batch 的偏好对计算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0"/>
                    </w:rPr>
                    <m:t>ℒ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DPO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并反向传播更新 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π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；④ 重复直到收敛</w:t>
            </w:r>
          </w:p>
        </w:tc>
      </w:tr>
      <w:tr w14:paraId="55EE4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92C4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F26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简单稳定（约 100 行核心代码）；② 显存友好（2 个模型 vs RLHF 的 4 个）；③ 可在消费级硬件上用 QLoRA 实现；④ 效果竞争力强；⑤ 无 RM 训练成本</w:t>
            </w:r>
          </w:p>
        </w:tc>
      </w:tr>
      <w:tr w14:paraId="791E7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2CDB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3EC4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离线训练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——不能像 PPO 那样在训练中探索新回复，效果受限于数据覆盖范围；② 依赖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Bradley-Terry 假设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（存在不可传递性时不成立）；③ 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β</m:t>
              </m:r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敏感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——太小过拟合，太大效果甚微；④ 偏好数据分布偏差</w:t>
            </w:r>
          </w:p>
        </w:tc>
      </w:tr>
      <w:tr w14:paraId="6344B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15FA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739C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Alignment 的简化范式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——开创了"直接偏好优化"方向，是目前开源社区最广泛使用的对齐方法</w:t>
            </w:r>
          </w:p>
        </w:tc>
      </w:tr>
    </w:tbl>
    <w:p w14:paraId="50417C8E">
      <w:pPr>
        <w:pStyle w:val="5"/>
        <w:keepNext/>
        <w:outlineLvl w:val="9"/>
      </w:pPr>
      <w:r>
        <w:t xml:space="preserve"> 5.3.3 核心推导：从 RLHF 到 DPO</w:t>
      </w:r>
    </w:p>
    <w:p w14:paraId="04A12CFD">
      <w:pPr>
        <w:pStyle w:val="6"/>
        <w:keepNext/>
        <w:numPr>
          <w:numId w:val="0"/>
        </w:numPr>
        <w:topLinePunct w:val="0"/>
        <w:ind w:left="0" w:leftChars="0" w:firstLine="480"/>
        <w:outlineLvl w:val="9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/>
          <w:lang w:eastAsia="zh-CN"/>
        </w:rPr>
        <w:t>第1步：</w:t>
      </w:r>
      <w:r>
        <w:t>RLHF 中 KL 约束下的最优策略有解析解：</w:t>
      </w:r>
    </w:p>
    <w:p w14:paraId="4E9E9B1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π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(y|x)=</m:t>
          </m:r>
          <m:f>
            <m:f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Pr>
            <m:num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um>
            <m:den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Z(x)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en>
          </m:f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π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ref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(y|x)exp</m:t>
          </m:r>
          <m:d>
            <m:d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1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num>
                <m:den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β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den>
              </m:f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r(x,y)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21E17ED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Z(x)=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naryPr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  <m:sup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p>
          <m:e>
            <m:sSub>
              <m:sSubP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Times New Roman" w:hAnsi="Times New Roman" w:eastAsia="宋体" w:cs="Times New Roman"/>
                    <w:sz w:val="24"/>
                    <w:szCs w:val="24"/>
                  </w:rPr>
                  <m:t>π</m:t>
                </m: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e>
              <m:sub>
                <m:r>
                  <w:rPr>
                    <w:rFonts w:ascii="Times New Roman" w:hAnsi="Times New Roman" w:eastAsia="宋体" w:cs="Times New Roman"/>
                    <w:sz w:val="24"/>
                    <w:szCs w:val="24"/>
                  </w:rPr>
                  <m:t>ref</m:t>
                </m: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sub>
            </m:sSub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</m:nary>
        <m:r>
          <w:rPr>
            <w:rFonts w:ascii="Times New Roman" w:hAnsi="Times New Roman" w:eastAsia="宋体" w:cs="Times New Roman"/>
            <w:sz w:val="24"/>
            <w:szCs w:val="24"/>
          </w:rPr>
          <m:t>(y|x)exp</m:t>
        </m:r>
        <m:d>
          <m:d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Times New Roman" w:hAnsi="Times New Roman" w:eastAsia="宋体" w:cs="Times New Roman"/>
                    <w:sz w:val="24"/>
                    <w:szCs w:val="24"/>
                  </w:rPr>
                  <m:t>1</m:t>
                </m: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num>
              <m:den>
                <m:r>
                  <w:rPr>
                    <w:rFonts w:ascii="Times New Roman" w:hAnsi="Times New Roman" w:eastAsia="宋体" w:cs="Times New Roman"/>
                    <w:sz w:val="24"/>
                    <w:szCs w:val="24"/>
                  </w:rPr>
                  <m:t>β</m:t>
                </m: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den>
            </m:f>
            <m:r>
              <w:rPr>
                <w:rFonts w:ascii="Times New Roman" w:hAnsi="Times New Roman" w:eastAsia="宋体" w:cs="Times New Roman"/>
                <w:sz w:val="24"/>
                <w:szCs w:val="24"/>
              </w:rPr>
              <m:t>r(x,y)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</m:d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是配分函数（使概率和为 1）。</w:t>
      </w:r>
    </w:p>
    <w:p w14:paraId="3C44AB47">
      <w:pPr>
        <w:pStyle w:val="6"/>
        <w:keepNext/>
        <w:numPr>
          <w:numId w:val="0"/>
        </w:numPr>
        <w:topLinePunct w:val="0"/>
        <w:ind w:left="0" w:leftChars="0" w:firstLine="480"/>
        <w:outlineLvl w:val="9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/>
          <w:lang w:eastAsia="zh-CN"/>
        </w:rPr>
        <w:t>第2步：</w:t>
      </w:r>
      <w:r>
        <w:t>从解析解反解出奖励函数：</w:t>
      </w:r>
    </w:p>
    <w:p w14:paraId="36A39AD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r(x,y)=β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log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f>
                <m:f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π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∗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p>
                  </m:sSup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(y|x)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π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ref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b>
                  </m:s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(y|x)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den>
              </m:f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+β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log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Z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(x)</m:t>
          </m:r>
        </m:oMath>
      </m:oMathPara>
    </w:p>
    <w:p w14:paraId="64A812E5">
      <w:pPr>
        <w:pStyle w:val="6"/>
        <w:keepNext/>
        <w:numPr>
          <w:numId w:val="0"/>
        </w:numPr>
        <w:topLinePunct w:val="0"/>
        <w:ind w:left="0" w:leftChars="0" w:firstLine="480"/>
        <w:outlineLvl w:val="9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/>
          <w:lang w:eastAsia="zh-CN"/>
        </w:rPr>
        <w:t>第3步：</w:t>
      </w:r>
      <w:r>
        <w:t>代入 Bradley-Terry 偏好模型：</w:t>
      </w:r>
    </w:p>
    <w:p w14:paraId="0C470DF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P(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w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≻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l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|x)=σ</m:t>
          </m:r>
          <m:d>
            <m:d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r(x,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)−r(x,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7C10FC6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=σ</m:t>
          </m:r>
          <m:d>
            <m:d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β</m:t>
              </m:r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log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∗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p>
                      </m:sSup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w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|x)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ref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w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|x)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den>
                  </m:f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−β</m:t>
              </m:r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log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∗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p>
                      </m:sSup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l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|x)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ref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l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|x)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den>
                  </m:f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+</m:t>
              </m:r>
              <m:borderBox>
                <m:borderBoxPr>
                  <m:hideBot m:val="1"/>
                  <m:hideLeft m:val="1"/>
                  <m:hideRight m:val="1"/>
                  <m:hideTop m:val="1"/>
                  <m:strikeBLTR m:val="1"/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borderBox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β</m:t>
                  </m:r>
                  <m:func>
                    <m:func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log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Name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Z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</m:func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(x)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borderBox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−</m:t>
              </m:r>
              <m:borderBox>
                <m:borderBoxPr>
                  <m:hideBot m:val="1"/>
                  <m:hideLeft m:val="1"/>
                  <m:hideRight m:val="1"/>
                  <m:hideTop m:val="1"/>
                  <m:strikeBLTR m:val="1"/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borderBox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β</m:t>
                  </m:r>
                  <m:func>
                    <m:func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log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Name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Z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</m:func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(x)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borderBox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544AC5F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🔑 这是 DPO 成立的关键数学巧合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β</m:t>
        </m:r>
        <m:func>
          <m:func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Times New Roman" w:hAnsi="Times New Roman" w:eastAsia="宋体" w:cs="Times New Roman"/>
                <w:sz w:val="24"/>
                <w:szCs w:val="24"/>
              </w:rPr>
              <m:t>log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Name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Z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</m:func>
        <m:r>
          <w:rPr>
            <w:rFonts w:ascii="Times New Roman" w:hAnsi="Times New Roman" w:eastAsia="宋体" w:cs="Times New Roman"/>
            <w:sz w:val="24"/>
            <w:szCs w:val="24"/>
          </w:rPr>
          <m:t>(x)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在减法中精确抵消了！不需要计算这个不可计算的配分函数。</w:t>
      </w:r>
    </w:p>
    <w:p w14:paraId="2FCE8588">
      <w:pPr>
        <w:pStyle w:val="6"/>
        <w:keepNext/>
        <w:numPr>
          <w:numId w:val="0"/>
        </w:numPr>
        <w:topLinePunct w:val="0"/>
        <w:ind w:left="0" w:leftChars="0" w:firstLine="480"/>
        <w:outlineLvl w:val="9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/>
          <w:lang w:eastAsia="zh-CN"/>
        </w:rPr>
        <w:t>第4步：</w:t>
      </w:r>
      <w:r>
        <w:t>用当前模型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/>
              </w:rPr>
              <m:t>π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Times New Roman" w:hAnsi="Times New Roman"/>
              </w:rPr>
              <m:t>θ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代替最优策略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/>
              </w:rPr>
              <m:t>π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Times New Roman" w:hAnsi="Times New Roman"/>
              </w:rPr>
              <m:t>∗</m:t>
            </m:r>
            <m:ctrlPr>
              <w:rPr>
                <w:rFonts w:ascii="Cambria Math" w:hAnsi="Cambria Math"/>
              </w:rPr>
            </m:ctrlPr>
          </m:sup>
        </m:sSup>
      </m:oMath>
      <w:r>
        <w:t>，得到 DPO 损失：</w:t>
      </w:r>
    </w:p>
    <w:p w14:paraId="4DB14F5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ℒ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DPO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π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θ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;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π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ref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)=−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(x,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y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)∼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D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pref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log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σ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β</m:t>
                  </m:r>
                  <m:func>
                    <m:func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log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Name>
                    <m:e>
                      <m:f>
                        <m:f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θ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w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|x)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ref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w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|x)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</m:func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−β</m:t>
                  </m:r>
                  <m:func>
                    <m:func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log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fName>
                    <m:e>
                      <m:f>
                        <m:fP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θ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|x)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ref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Times New Roman" w:hAnsi="Times New Roman" w:eastAsia="宋体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宋体" w:cs="Times New Roman"/>
                                  <w:sz w:val="24"/>
                                  <w:szCs w:val="24"/>
                                </w:rPr>
                              </m:ctrlPr>
                            </m:sub>
                          </m:sSub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|x)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</m:func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d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7E619619">
      <w:pPr>
        <w:pStyle w:val="5"/>
        <w:keepNext/>
        <w:outlineLvl w:val="9"/>
      </w:pPr>
      <w:r>
        <w:t xml:space="preserve"> 5.3.4 DPO 损失的直观理解</w:t>
      </w:r>
    </w:p>
    <w:p w14:paraId="40C28B8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定义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隐式奖励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score(y|x)=β</m:t>
        </m:r>
        <m:func>
          <m:func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Times New Roman" w:hAnsi="Times New Roman" w:eastAsia="宋体" w:cs="Times New Roman"/>
                <w:sz w:val="24"/>
                <w:szCs w:val="24"/>
              </w:rPr>
              <m:t>log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Name>
          <m:e>
            <m:f>
              <m:fP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Times New Roman" w:hAnsi="Times New Roman" w:eastAsia="宋体" w:cs="Times New Roman"/>
                        <w:sz w:val="24"/>
                        <w:szCs w:val="24"/>
                      </w:rPr>
                      <m:t>π</m:t>
                    </m: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Times New Roman" w:hAnsi="Times New Roman" w:eastAsia="宋体" w:cs="Times New Roman"/>
                        <w:sz w:val="24"/>
                        <w:szCs w:val="24"/>
                      </w:rPr>
                      <m:t>θ</m:t>
                    </m: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sub>
                </m:sSub>
                <m:r>
                  <w:rPr>
                    <w:rFonts w:ascii="Times New Roman" w:hAnsi="Times New Roman" w:eastAsia="宋体" w:cs="Times New Roman"/>
                    <w:sz w:val="24"/>
                    <w:szCs w:val="24"/>
                  </w:rPr>
                  <m:t>(y|x)</m:t>
                </m: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Times New Roman" w:hAnsi="Times New Roman" w:eastAsia="宋体" w:cs="Times New Roman"/>
                        <w:sz w:val="24"/>
                        <w:szCs w:val="24"/>
                      </w:rPr>
                      <m:t>π</m:t>
                    </m: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Times New Roman" w:hAnsi="Times New Roman" w:eastAsia="宋体" w:cs="Times New Roman"/>
                        <w:sz w:val="24"/>
                        <w:szCs w:val="24"/>
                      </w:rPr>
                      <m:t>ref</m:t>
                    </m: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sub>
                </m:sSub>
                <m:r>
                  <w:rPr>
                    <w:rFonts w:ascii="Times New Roman" w:hAnsi="Times New Roman" w:eastAsia="宋体" w:cs="Times New Roman"/>
                    <w:sz w:val="24"/>
                    <w:szCs w:val="24"/>
                  </w:rPr>
                  <m:t>(y|x)</m:t>
                </m: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den>
            </m:f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</m:func>
      </m:oMath>
    </w:p>
    <w:p w14:paraId="1E22C7B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这个 score 衡量"当前模型相对于参考模型更喜欢这个回复的程度"：</w:t>
      </w:r>
    </w:p>
    <w:p w14:paraId="2C93B8C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目标：提高 chosen (y_w) 的 score  ←  →  降低 rejected (y_l) 的 score</w:t>
      </w:r>
    </w:p>
    <w:p w14:paraId="712CE91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       ↑                                       ↓</w:t>
      </w:r>
    </w:p>
    <w:p w14:paraId="4DFC46C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π_θ(y_w|x) 相对于 π_ref 增大           π_θ(y_l|x) 相对于 π_ref 减小</w:t>
      </w:r>
    </w:p>
    <w:p w14:paraId="22382038">
      <w:pPr>
        <w:spacing w:after="120"/>
      </w:pPr>
    </w:p>
    <w:p w14:paraId="534261F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DPO 损失函数的工作方式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5B876BCD">
      <w:pPr>
        <w:pStyle w:val="12"/>
        <w:widowControl/>
        <w:numPr>
          <w:ilvl w:val="0"/>
          <w:numId w:val="6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当 chosen score 远大于 rejected score 时：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σ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接近 1，loss 接近 0 = 做对了</w:t>
      </w:r>
    </w:p>
    <w:p w14:paraId="22F1AB65">
      <w:pPr>
        <w:pStyle w:val="12"/>
        <w:widowControl/>
        <w:numPr>
          <w:ilvl w:val="0"/>
          <w:numId w:val="6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当 chosen score 小于 rejected score 时：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σ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接近 0，loss 很大 = 需要修正</w:t>
      </w:r>
    </w:p>
    <w:p w14:paraId="00E57AB9">
      <w:pPr>
        <w:pStyle w:val="5"/>
        <w:keepNext/>
        <w:outlineLvl w:val="9"/>
      </w:pPr>
      <w:r>
        <w:t xml:space="preserve"> 5.3.5 常用偏好数据集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2664A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9700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数据集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7124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规模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8CF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特点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A6A4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适用场景</w:t>
            </w:r>
          </w:p>
        </w:tc>
      </w:tr>
      <w:tr w14:paraId="6C97A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F3AC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HH-RLHF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(Anthropic)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9A8F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169K 对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8F50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红蓝对抗风格，安全+有用性对比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CF6F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通用对齐，经典基准</w:t>
            </w:r>
          </w:p>
        </w:tc>
      </w:tr>
      <w:tr w14:paraId="36AB6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7DDC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UltraFeedback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E6FE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64K prompts × 4 回复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B9EE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多维度分数（指令遵循、诚实、安全等）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7A7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多属性偏好优化</w:t>
            </w:r>
          </w:p>
        </w:tc>
      </w:tr>
      <w:tr w14:paraId="0858F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E608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HelpSteer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(NVIDIA)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653B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37K 对话，5 维度评分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A0D5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细粒度分数（0-4），可合成偏好对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4092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需细粒度奖励建模</w:t>
            </w:r>
          </w:p>
        </w:tc>
      </w:tr>
      <w:tr w14:paraId="0150B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14BC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PKU-SafeRLHF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C6B2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33K 对 + 安全标签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F657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侧重安全对齐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3542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安全专项对齐</w:t>
            </w:r>
          </w:p>
        </w:tc>
      </w:tr>
      <w:tr w14:paraId="604EF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AADC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Nectar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275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183K 对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0EBB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7 个 LLM 生成，GPT-4 打分排序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FA5C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多模型蒸馏偏好</w:t>
            </w:r>
          </w:p>
        </w:tc>
      </w:tr>
    </w:tbl>
    <w:p w14:paraId="57793DB9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9" w:name="_Toc2676"/>
      <w:r>
        <w:rPr>
          <w:rFonts w:hint="eastAsia"/>
          <w:lang w:eastAsia="zh-CN"/>
        </w:rPr>
        <w:t xml:space="preserve">5.4 </w:t>
      </w:r>
      <w:r>
        <w:t>案例分析：DeepSeek-R1 / GRPO</w:t>
      </w:r>
      <w:bookmarkEnd w:id="19"/>
    </w:p>
    <w:p w14:paraId="327AD45F">
      <w:pPr>
        <w:pStyle w:val="5"/>
        <w:keepNext/>
        <w:outlineLvl w:val="9"/>
      </w:pPr>
      <w:r>
        <w:t xml:space="preserve"> 5.4.1 新范式：Reasoning-oriented Alignment</w:t>
      </w:r>
    </w:p>
    <w:p w14:paraId="4EFF29EF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2024 年以来，Alignment 领域出现了重要的新方向：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不依赖人类偏好的对齐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，而是利用可验证的客观奖励（数学题答案对不对、代码能不能跑通）做强化学习，增强模型的推理能力。</w:t>
      </w:r>
    </w:p>
    <w:p w14:paraId="1F8FD9B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核心认知：</w:t>
      </w:r>
    </w:p>
    <w:p w14:paraId="026DF5C5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对于推理任务（数学、编程），"好不好"是可以客观验证的。这比人类的"偏好"更精确、更可靠、更可扩展。</w:t>
      </w:r>
    </w:p>
    <w:p w14:paraId="53C37661">
      <w:pPr>
        <w:pStyle w:val="5"/>
        <w:keepNext/>
        <w:pageBreakBefore/>
        <w:outlineLvl w:val="9"/>
      </w:pPr>
      <w:r>
        <w:t xml:space="preserve"> 5.4.2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50E53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0C64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1013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36959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F596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8FE3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前面对齐方法（RLHF/DPO）都依赖人类偏好来定义"好"，但偏好标注成本高且主观。GRPO 仅靠可验证的硬奖励（答案对错）驱动优化，不需要人类标注，也不需要 Critic 网络</w:t>
            </w:r>
          </w:p>
        </w:tc>
      </w:tr>
      <w:tr w14:paraId="34141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AB86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3C1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不需要人类偏好数据。需要可自动验证的 question-answer 对（数学题、编程题）。对同一 prompt 采样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G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个回复（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G=4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~64）</w:t>
            </w:r>
          </w:p>
        </w:tc>
      </w:tr>
      <w:tr w14:paraId="42C2B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2C51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770A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推理能力显著增强的模型。DeepSeek-R1：AIME 2024 从 15.6% → 71.0%（pass@1）</w:t>
            </w:r>
          </w:p>
        </w:tc>
      </w:tr>
      <w:tr w14:paraId="6057D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C24C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数学原理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919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GRPO 的核心——组内 Advantage 计算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</w:t>
            </w:r>
            <m:oMath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A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</m:acc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=</m:t>
              </m:r>
              <m:f>
                <m:f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r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i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−mean({</m:t>
                  </m:r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r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1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,...,</m:t>
                  </m:r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r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G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})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std({</m:t>
                  </m:r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r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1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,...,</m:t>
                  </m:r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r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G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})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den>
              </m:f>
            </m:oMath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。用组内均值替代 Critic 网络的价值估计。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优化目标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带 clip 约束和 KL 惩罚：$J_{GRPO}(\theta) = \mathbb{E}[\frac{1}{\</w:t>
            </w:r>
          </w:p>
        </w:tc>
      </w:tr>
      <w:tr w14:paraId="33EFB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B217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CAE9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对 prompt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x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从旧策略采样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G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个回复；② 用可验证奖励计算每个回复的分数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r_i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（正确=1，错误=0）；③ 组内标准化计算 advantage；④ 用带 clip 约束的策略梯度更新；⑤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DeepSeek-R1 实际流程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：先纯 RL（R1-Zero）→ 少量冷启动 SFT → 再 GRPO → 通用 SFT → 全场景 RL</w:t>
            </w:r>
          </w:p>
        </w:tc>
      </w:tr>
      <w:tr w14:paraId="3BE90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A9F3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DDD1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无 Critic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：省去一半 RL 显存（3 模型 vs PPO 的 4 模型）；②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可验证奖励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：比人类偏好更精确、更便宜、更易扩展；③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涌现反思行为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：模型自发学会"换个思路"等反思行为——未显式编程，是 RL 优化的涌现结果；④ DeepSeek-R1 验证了纯 RL 就能涌现推理能力</w:t>
            </w:r>
          </w:p>
        </w:tc>
      </w:tr>
      <w:tr w14:paraId="24200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7515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B44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需要可验证奖励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：对写作质量等无法自动验证的任务不适用；② 组大小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G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是重要超参数——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G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太小（&lt;4）baseline 不稳定，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G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太大（&gt;64）成本线性增长；③ 未经过人类偏好对齐的推理模型语言可能变得"机械"（过度使用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E75B6"/>
                <w:sz w:val="20"/>
                <w:szCs w:val="20"/>
              </w:rPr>
              <w:t>&lt;think&gt;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标签）</w:t>
            </w:r>
          </w:p>
        </w:tc>
      </w:tr>
      <w:tr w14:paraId="66C32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88A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53F6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推理导向的对齐（Reasoning-oriented Alignment）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——Alignment 领域 2024-2025 年的重要新方向</w:t>
            </w:r>
          </w:p>
        </w:tc>
      </w:tr>
    </w:tbl>
    <w:p w14:paraId="4B720ED5">
      <w:pPr>
        <w:pStyle w:val="5"/>
        <w:keepNext/>
        <w:pageBreakBefore/>
        <w:outlineLvl w:val="9"/>
      </w:pPr>
      <w:r>
        <w:t xml:space="preserve"> 5.4.3 GRPO 的直观理解</w:t>
      </w:r>
    </w:p>
    <w:p w14:paraId="67745C1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以数学题为例，GRPO 的工作方式非常直观：</w:t>
      </w:r>
    </w:p>
    <w:p w14:paraId="5D64C8AD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Prompt: "计算 ∫₀¹ x² dx 的值。"</w:t>
      </w:r>
    </w:p>
    <w:p w14:paraId="5097323B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47CEF6B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从旧策略中采样 G=8 个回复：</w:t>
      </w:r>
    </w:p>
    <w:p w14:paraId="5C8EF2A8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y₁: "1/3 ✓"                    → reward = +1 (正确)</w:t>
      </w:r>
    </w:p>
    <w:p w14:paraId="3CB5ADF6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y₂: "1/2 ✗"                    → reward = 0  (错误)</w:t>
      </w:r>
    </w:p>
    <w:p w14:paraId="5FBB57A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y₃: "∫x²dx = x³/3, 代入得1/3 ✓" → reward = +1 (正确，且格式好)</w:t>
      </w:r>
    </w:p>
    <w:p w14:paraId="277A8F84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y₄: "1/3 ✓"                    → reward = +1</w:t>
      </w:r>
    </w:p>
    <w:p w14:paraId="532223D7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y₅: "无法计算 ✗"              → reward = 0</w:t>
      </w:r>
    </w:p>
    <w:p w14:paraId="7F37F97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y₆: "1/4 ✗"                    → reward = 0</w:t>
      </w:r>
    </w:p>
    <w:p w14:paraId="4412839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y₇: "解：原式 = [x³/3]₀¹ = 1/3 ✓" → reward = +1 (推理步骤完整)</w:t>
      </w:r>
    </w:p>
    <w:p w14:paraId="17B9182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y₈: "0 ✗"                      → reward = 0</w:t>
      </w:r>
    </w:p>
    <w:p w14:paraId="13504C0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4E07606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组内标准化：</w:t>
      </w:r>
    </w:p>
    <w:p w14:paraId="7DC3057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mean(r) = 4/8 = 0.5</w:t>
      </w:r>
    </w:p>
    <w:p w14:paraId="7AE7D24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std(r) = 0.5</w:t>
      </w:r>
    </w:p>
    <w:p w14:paraId="2E47971B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64255F8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y₁ advantage = (1-0.5)/0.5 = 1.0  → 正 → 增强 ✓</w:t>
      </w:r>
    </w:p>
    <w:p w14:paraId="767373DD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y₂ advantage = (0-0.5)/0.5 = -1.0 → 负 → 抑制 ✓</w:t>
      </w:r>
    </w:p>
    <w:p w14:paraId="676DF7E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y₇ advantage = (1-0.5)/0.5 = 1.0  → 正 → 增强（推理完整的获得更多"青睐"）</w:t>
      </w:r>
    </w:p>
    <w:p w14:paraId="7087F7C6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3D37DCA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不需要人类标注"哪个推理好"——正确答案本身就在提供偏好信号！</w:t>
      </w:r>
    </w:p>
    <w:p w14:paraId="45C088B3">
      <w:pPr>
        <w:pStyle w:val="5"/>
        <w:keepNext/>
        <w:outlineLvl w:val="9"/>
      </w:pPr>
      <w:r>
        <w:t xml:space="preserve"> 5.4.4 GRPO vs PPO vs DPO 对比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1E250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44FF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46AF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PPO (RLHF)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37F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DPO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9C07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GRPO</w:t>
            </w:r>
          </w:p>
        </w:tc>
      </w:tr>
      <w:tr w14:paraId="58C5B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23E4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奖励来源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B0DD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Reward Model（人类偏好）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536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隐式（偏好对比较）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016D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可验证奖励（答案对错）</w:t>
            </w:r>
          </w:p>
        </w:tc>
      </w:tr>
      <w:tr w14:paraId="581C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EAD9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Critic 网络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EFC2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 需要（额外 ~28GB/7B）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0AF8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 不需要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4CCF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 不需要</w:t>
            </w:r>
          </w:p>
        </w:tc>
      </w:tr>
      <w:tr w14:paraId="683A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8786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参考模型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D921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 需要（SFT）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0A4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 需要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28A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 需要</w:t>
            </w:r>
          </w:p>
        </w:tc>
      </w:tr>
      <w:tr w14:paraId="38BE1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4B05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训练稳定性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4451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低（RL 固有波动）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BE8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高（标准分类损失）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8092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中-高（组内标准化）</w:t>
            </w:r>
          </w:p>
        </w:tc>
      </w:tr>
      <w:tr w14:paraId="2F7D5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739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主要优化维度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A62D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Helpfulness + Harmlessness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7237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Helpfulness + Harmlessness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3B4F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Reasoning</w:t>
            </w:r>
          </w:p>
        </w:tc>
      </w:tr>
      <w:tr w14:paraId="0F1E8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70A9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是否需要偏好标注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2A43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 人类偏好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C46F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✅ 偏好对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16FD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❌ 自动验证</w:t>
            </w:r>
          </w:p>
        </w:tc>
      </w:tr>
      <w:tr w14:paraId="5E4DC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CE33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在线/离线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603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在线（采样→RM→PPO）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CE71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离线（固定数据集）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82DD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在线（采样 G 个回复）</w:t>
            </w:r>
          </w:p>
        </w:tc>
      </w:tr>
      <w:tr w14:paraId="31F86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9224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典型应用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6663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ChatGPT, Claude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9ECE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开源模型对齐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379E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DeepSeek-R1</w:t>
            </w:r>
          </w:p>
        </w:tc>
      </w:tr>
    </w:tbl>
    <w:p w14:paraId="20D60BC4">
      <w:pPr>
        <w:spacing w:after="120"/>
      </w:pPr>
    </w:p>
    <w:p w14:paraId="1B1DA8AF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详见《Alignment 技术笔记》第 7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：GRPO 的完整推导、与 RLOO/REINFORCE 的关系、DeepSeek-R1 的训练管线分析。</w:t>
      </w:r>
    </w:p>
    <w:p w14:paraId="153266A4">
      <w:pPr>
        <w:pStyle w:val="4"/>
        <w:keepNext/>
      </w:pPr>
      <w:bookmarkStart w:id="20" w:name="_Toc4772"/>
      <w:r>
        <w:t>5.5 关键取舍与方法组合</w:t>
      </w:r>
      <w:bookmarkEnd w:id="20"/>
    </w:p>
    <w:p w14:paraId="0A2BF8F6">
      <w:pPr>
        <w:pStyle w:val="5"/>
        <w:keepNext/>
        <w:outlineLvl w:val="9"/>
      </w:pPr>
      <w:r>
        <w:t xml:space="preserve"> 5.5.1 Alignment 的关键取舍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0D19C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4B0E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取舍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8EE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24171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94AC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Helpfulness vs Harmlessness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84C3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过度追求无害让模型"过度谨慎"——对正常请求也拒绝。需精细平衡</w:t>
            </w:r>
          </w:p>
        </w:tc>
      </w:tr>
      <w:tr w14:paraId="228DD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9311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Reasoning vs General Helpfulness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C29B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GRPO 增强推理的代价是语言可能变得"机械"（更少的礼貌用语）。需后续 SFT 恢复</w:t>
            </w:r>
          </w:p>
        </w:tc>
      </w:tr>
      <w:tr w14:paraId="68F8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2F30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Alignment Tax（对齐税）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865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RLHF/DPO 有时小幅降低模型在学术 benchmark 上的分数（典型：MMLU ↓ 1-2%，GSM8K ↓ 2-5%）——这是模型学会了拒绝和"承认不知道"而非"硬答"的正常代价。通过数据质量和多阶段训练最小化</w:t>
            </w:r>
          </w:p>
        </w:tc>
      </w:tr>
      <w:tr w14:paraId="23652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4454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在线 vs 离线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7186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在线（PPO/GRPO）能在训练中探索新行为但成本高；离线（DPO）成本低但受限于已有数据</w:t>
            </w:r>
          </w:p>
        </w:tc>
      </w:tr>
    </w:tbl>
    <w:p w14:paraId="4A6E51F2">
      <w:pPr>
        <w:pStyle w:val="5"/>
        <w:keepNext/>
        <w:outlineLvl w:val="9"/>
      </w:pPr>
      <w:r>
        <w:t xml:space="preserve"> 5.5.2 最强模型的训练管线</w:t>
      </w:r>
    </w:p>
    <w:p w14:paraId="2FA4D19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Claude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（Anthropic）：</w:t>
      </w:r>
    </w:p>
    <w:p w14:paraId="3C64921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Pre-training → SFT → Constitutional AI (RLAIF) → RLHF (安全专项)</w:t>
      </w:r>
    </w:p>
    <w:p w14:paraId="32AAD979">
      <w:pPr>
        <w:spacing w:after="120"/>
      </w:pPr>
    </w:p>
    <w:p w14:paraId="07689C7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ChatGPT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（OpenAI）：</w:t>
      </w:r>
    </w:p>
    <w:p w14:paraId="31C1851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Pre-training → SFT → RLHF (PPO) → 安全专项 RLHF</w:t>
      </w:r>
    </w:p>
    <w:p w14:paraId="34D12217">
      <w:pPr>
        <w:spacing w:after="120"/>
      </w:pPr>
    </w:p>
    <w:p w14:paraId="509A3B4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DeepSeek-R1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（DeepSeek）：</w:t>
      </w:r>
    </w:p>
    <w:p w14:paraId="1226905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Pre-training → 冷启动 SFT (推理数据) → GRPO (推理专项) → SFT (通用) → 全场景 RL</w:t>
      </w:r>
    </w:p>
    <w:p w14:paraId="2C856A92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1" w:name="_Toc22010"/>
      <w:r>
        <w:rPr>
          <w:rFonts w:hint="eastAsia"/>
          <w:lang w:eastAsia="zh-CN"/>
        </w:rPr>
        <w:t xml:space="preserve">6. </w:t>
      </w:r>
      <w:r>
        <w:t>第三部分：Evaluation（系统评估）</w:t>
      </w:r>
      <w:bookmarkEnd w:id="21"/>
    </w:p>
    <w:p w14:paraId="151DCBCF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2" w:name="_Toc20215"/>
      <w:r>
        <w:rPr>
          <w:rFonts w:hint="eastAsia"/>
          <w:lang w:eastAsia="zh-CN"/>
        </w:rPr>
        <w:t xml:space="preserve">6.1 </w:t>
      </w:r>
      <w:r>
        <w:t>技术概览</w:t>
      </w:r>
      <w:bookmarkEnd w:id="22"/>
    </w:p>
    <w:p w14:paraId="5C32FF26">
      <w:pPr>
        <w:pStyle w:val="5"/>
        <w:keepNext/>
        <w:outlineLvl w:val="9"/>
      </w:pPr>
      <w:r>
        <w:t xml:space="preserve"> 6.1.1 为什么需要系统评估？</w:t>
      </w:r>
    </w:p>
    <w:p w14:paraId="1220B52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大语言模型的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涌现能力（Emergent Abilities）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使得评估成为必须——这些能力在训练前无法被预测，也无法通过简单的 loss 值来衡量。</w:t>
      </w:r>
    </w:p>
    <w:p w14:paraId="112EAC81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：GPT-3 在 1.3B 参数时几乎无法做数学推理，但 175B 版本突然具备了 chain-of-thought 推理能力。这种"突然出现"的特性意味着必须系统评估才能发现模型实际具备的能力边界。</w:t>
      </w:r>
    </w:p>
    <w:p w14:paraId="472A1FE7">
      <w:pPr>
        <w:pStyle w:val="5"/>
        <w:keepNext/>
        <w:outlineLvl w:val="9"/>
      </w:pPr>
      <w:r>
        <w:t xml:space="preserve"> 6.1.2 评估的八大维度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01C7C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2C85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评估维度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4E9F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示例能力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DE24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对应 Benchmark</w:t>
            </w:r>
          </w:p>
        </w:tc>
      </w:tr>
      <w:tr w14:paraId="67AE0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6E10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知识储备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EA0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事实记忆、常识推理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9184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MMLU, Natural Questions</w:t>
            </w:r>
          </w:p>
        </w:tc>
      </w:tr>
      <w:tr w14:paraId="44AF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AC2E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数学推理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46B2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算术、代数、逻辑推导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BE3F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GSM8K, MATH</w:t>
            </w:r>
          </w:p>
        </w:tc>
      </w:tr>
      <w:tr w14:paraId="4654D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09B9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代码生成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F7D9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语法正确性、功能正确性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9F9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HumanEval, MBPP</w:t>
            </w:r>
          </w:p>
        </w:tc>
      </w:tr>
      <w:tr w14:paraId="25354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3FD5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文本理解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0118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阅读理解、摘要、翻译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9FDB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SQuAD, XSUM, WMT</w:t>
            </w:r>
          </w:p>
        </w:tc>
      </w:tr>
      <w:tr w14:paraId="57786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29B3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安全与对齐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410D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有害内容拒绝、偏见检测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3788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TruthfulQA, BBQ</w:t>
            </w:r>
          </w:p>
        </w:tc>
      </w:tr>
      <w:tr w14:paraId="19B5D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6A94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指令遵循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E8B1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多轮对话、工具使用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61D9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MT-Bench, API-Bank</w:t>
            </w:r>
          </w:p>
        </w:tc>
      </w:tr>
      <w:tr w14:paraId="33A64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AEFA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Agent 能力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8FD2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工具调用、多轮交互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0192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SWE-bench, AgentBench</w:t>
            </w:r>
          </w:p>
        </w:tc>
      </w:tr>
      <w:tr w14:paraId="7816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032B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多语言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BB52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非英语语言能力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68D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MMMLU, Flores</w:t>
            </w:r>
          </w:p>
        </w:tc>
      </w:tr>
    </w:tbl>
    <w:p w14:paraId="0FEE6C0C">
      <w:pPr>
        <w:spacing w:after="120"/>
      </w:pPr>
    </w:p>
    <w:p w14:paraId="64D20F33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详见《Evaluation Harness 技术深度解析》第 1.2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：评估多维度的详细说明和第 8 节局限性分析。</w:t>
      </w:r>
    </w:p>
    <w:p w14:paraId="270AA179">
      <w:pPr>
        <w:pStyle w:val="5"/>
        <w:keepNext/>
        <w:outlineLvl w:val="9"/>
      </w:pPr>
      <w:r>
        <w:t xml:space="preserve"> 6.1.3 Benchmark 的数学定义</w:t>
      </w:r>
    </w:p>
    <w:p w14:paraId="42272DA1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一个 Benchmark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ℬ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是一个三元组：</w:t>
      </w:r>
    </w:p>
    <w:p w14:paraId="2EE03C42">
      <w:pPr>
        <w:spacing w:after="120" w:line="240" w:lineRule="auto"/>
        <w:jc w:val="center"/>
      </w:pPr>
      <m:oMathPara>
        <m:oMath>
          <m:r>
            <m:rPr>
              <m:scr m:val="script"/>
            </m:rPr>
            <w:rPr>
              <w:rFonts w:hint="default" w:ascii="Cambria Math" w:hAnsi="Cambria Math" w:eastAsia="MS Mincho"/>
              <w:sz w:val="20"/>
            </w:rPr>
            <m:t>ℬ</m:t>
          </m:r>
          <m:r>
            <m:rPr/>
            <w:rPr>
              <w:rFonts w:hint="default" w:ascii="Cambria Math" w:hAnsi="Cambria Math" w:eastAsia="Consolas"/>
              <w:sz w:val="20"/>
            </w:rPr>
            <m:t>=(</m:t>
          </m:r>
          <m:r>
            <m:rPr>
              <m:scr m:val="script"/>
            </m:rPr>
            <w:rPr>
              <w:rFonts w:hint="default" w:ascii="Cambria Math" w:hAnsi="Cambria Math" w:eastAsia="MS Mincho"/>
              <w:sz w:val="20"/>
            </w:rPr>
            <m:t>D</m:t>
          </m:r>
          <m:r>
            <m:rPr/>
            <w:rPr>
              <w:rFonts w:hint="default" w:ascii="Cambria Math" w:hAnsi="Cambria Math" w:eastAsia="Consolas"/>
              <w:sz w:val="20"/>
            </w:rPr>
            <m:t>,</m:t>
          </m:r>
          <m:r>
            <m:rPr>
              <m:scr m:val="script"/>
            </m:rPr>
            <w:rPr>
              <w:rFonts w:hint="default" w:ascii="Cambria Math" w:hAnsi="Cambria Math" w:eastAsia="MS Mincho"/>
              <w:sz w:val="20"/>
            </w:rPr>
            <m:t>T</m:t>
          </m:r>
          <m:r>
            <m:rPr/>
            <w:rPr>
              <w:rFonts w:hint="default" w:ascii="Cambria Math" w:hAnsi="Cambria Math" w:eastAsia="Consolas"/>
              <w:sz w:val="20"/>
            </w:rPr>
            <m:t>,</m:t>
          </m:r>
          <m:r>
            <m:rPr>
              <m:scr m:val="script"/>
            </m:rPr>
            <w:rPr>
              <w:rFonts w:hint="default" w:ascii="Cambria Math" w:hAnsi="Cambria Math" w:eastAsia="MS Mincho"/>
              <w:sz w:val="20"/>
            </w:rPr>
            <m:t>ℳ</m:t>
          </m:r>
          <m:r>
            <m:rPr/>
            <w:rPr>
              <w:rFonts w:hint="default" w:ascii="Cambria Math" w:hAnsi="Cambria Math" w:eastAsia="Consolas"/>
              <w:sz w:val="20"/>
            </w:rPr>
            <m:t>)</m:t>
          </m:r>
        </m:oMath>
      </m:oMathPara>
    </w:p>
    <w:p w14:paraId="39E02C8F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其中：</w:t>
      </w:r>
    </w:p>
    <w:p w14:paraId="61999F72">
      <w:pPr>
        <w:pStyle w:val="12"/>
        <w:widowControl/>
        <w:numPr>
          <w:ilvl w:val="0"/>
          <w:numId w:val="7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m:oMath>
        <m:r>
          <w:rPr>
            <w:rFonts w:ascii="Times New Roman" w:hAnsi="Times New Roman" w:eastAsia="宋体" w:cs="Times New Roman"/>
            <w:sz w:val="24"/>
            <w:szCs w:val="24"/>
          </w:rPr>
          <m:t>D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：数据集（输入-输出对）</w:t>
      </w:r>
    </w:p>
    <w:p w14:paraId="3F0B2D78">
      <w:pPr>
        <w:pStyle w:val="12"/>
        <w:widowControl/>
        <w:numPr>
          <w:ilvl w:val="0"/>
          <w:numId w:val="7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m:oMath>
        <m:r>
          <w:rPr>
            <w:rFonts w:ascii="Times New Roman" w:hAnsi="Times New Roman" w:eastAsia="宋体" w:cs="Times New Roman"/>
            <w:sz w:val="24"/>
            <w:szCs w:val="24"/>
          </w:rPr>
          <m:t>T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：任务类型定义（prompt 模板、输出格式）</w:t>
      </w:r>
    </w:p>
    <w:p w14:paraId="39B9DC42">
      <w:pPr>
        <w:pStyle w:val="12"/>
        <w:widowControl/>
        <w:numPr>
          <w:ilvl w:val="0"/>
          <w:numId w:val="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m:oMath>
        <m:r>
          <w:rPr>
            <w:rFonts w:ascii="Times New Roman" w:hAnsi="Times New Roman" w:eastAsia="宋体" w:cs="Times New Roman"/>
            <w:sz w:val="24"/>
            <w:szCs w:val="24"/>
          </w:rPr>
          <m:t>ℳ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：评价指标集合（metric 定义和聚合方式）</w:t>
      </w:r>
    </w:p>
    <w:p w14:paraId="41E4E28A">
      <w:pPr>
        <w:pStyle w:val="5"/>
        <w:keepNext/>
        <w:outlineLvl w:val="9"/>
      </w:pPr>
      <w:r>
        <w:t xml:space="preserve"> 6.1.4 两种评估模式的数学对比</w:t>
      </w:r>
    </w:p>
    <w:p w14:paraId="77A325E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Log-likelihood 评估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47CC32F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score(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a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)=</m:t>
          </m:r>
          <m:nary>
            <m:naryPr>
              <m:chr m:val="∑"/>
              <m:limLoc m:val="subSup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aryPr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t=1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|</m:t>
              </m:r>
              <m:sSub>
                <m:sSub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</m:s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|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  <m:e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log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nary>
          <m:r>
            <w:rPr>
              <w:rFonts w:ascii="Times New Roman" w:hAnsi="Times New Roman" w:eastAsia="宋体" w:cs="Times New Roman"/>
              <w:sz w:val="24"/>
              <w:szCs w:val="24"/>
            </w:rPr>
            <m:t>P(</m:t>
          </m:r>
          <m:sSubSup>
            <m:sSub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a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(t)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bSup>
          <m:r>
            <w:rPr>
              <w:rFonts w:ascii="Times New Roman" w:hAnsi="Times New Roman" w:eastAsia="宋体" w:cs="Times New Roman"/>
              <w:sz w:val="24"/>
              <w:szCs w:val="24"/>
            </w:rPr>
            <m:t>|c,</m:t>
          </m:r>
          <m:sSubSup>
            <m:sSub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a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i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(&lt;t)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bSup>
          <m:r>
            <w:rPr>
              <w:rFonts w:ascii="Times New Roman" w:hAnsi="Times New Roman" w:eastAsia="宋体" w:cs="Times New Roman"/>
              <w:sz w:val="24"/>
              <w:szCs w:val="24"/>
            </w:rPr>
            <m:t>;θ)</m:t>
          </m:r>
        </m:oMath>
      </m:oMathPara>
    </w:p>
    <w:p w14:paraId="582A1AC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选择得分最高的候选项</w:t>
      </w:r>
      <m:oMath>
        <m:func>
          <m:func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Times New Roman" w:hAnsi="Times New Roman" w:eastAsia="宋体" w:cs="Times New Roman"/>
                <w:sz w:val="24"/>
                <w:szCs w:val="24"/>
              </w:rPr>
              <m:t>arg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fName>
          <m:e>
            <m:func>
              <m:funcPr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Times New Roman" w:hAnsi="Times New Roman" w:eastAsia="宋体" w:cs="Times New Roman"/>
                        <w:sz w:val="24"/>
                        <w:szCs w:val="24"/>
                      </w:rPr>
                      <m:t>max</m:t>
                    </m: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e>
                  <m:lim>
                    <m:r>
                      <w:rPr>
                        <w:rFonts w:ascii="Times New Roman" w:hAnsi="Times New Roman" w:eastAsia="宋体" w:cs="Times New Roman"/>
                        <w:sz w:val="24"/>
                        <w:szCs w:val="24"/>
                      </w:rPr>
                      <m:t>i</m:t>
                    </m:r>
                    <m:ctrlPr>
                      <w:rPr>
                        <w:rFonts w:ascii="Cambria Math" w:hAnsi="Cambria Math" w:eastAsia="宋体" w:cs="Times New Roman"/>
                        <w:sz w:val="24"/>
                        <w:szCs w:val="24"/>
                      </w:rPr>
                    </m:ctrlPr>
                  </m:lim>
                </m:limLow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fName>
              <m:e>
                <m:ctrlPr>
                  <w:rPr>
                    <w:rFonts w:ascii="Cambria Math" w:hAnsi="Cambria Math" w:eastAsia="宋体" w:cs="Times New Roman"/>
                    <w:sz w:val="24"/>
                    <w:szCs w:val="24"/>
                  </w:rPr>
                </m:ctrlPr>
              </m:e>
            </m:func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</m:func>
        <m:r>
          <w:rPr>
            <w:rFonts w:ascii="Times New Roman" w:hAnsi="Times New Roman" w:eastAsia="宋体" w:cs="Times New Roman"/>
            <w:sz w:val="24"/>
            <w:szCs w:val="24"/>
          </w:rPr>
          <m:t>score(</m:t>
        </m:r>
        <m:sSub>
          <m:sSub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b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a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b>
            <m:r>
              <w:rPr>
                <w:rFonts w:ascii="Times New Roman" w:hAnsi="Times New Roman" w:eastAsia="宋体" w:cs="Times New Roman"/>
                <w:sz w:val="24"/>
                <w:szCs w:val="24"/>
              </w:rPr>
              <m:t>i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b>
        </m:sSub>
        <m:r>
          <w:rPr>
            <w:rFonts w:ascii="Times New Roman" w:hAnsi="Times New Roman" w:eastAsia="宋体" w:cs="Times New Roman"/>
            <w:sz w:val="24"/>
            <w:szCs w:val="24"/>
          </w:rPr>
          <m:t>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</w:t>
      </w:r>
    </w:p>
    <w:p w14:paraId="22D4C3E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生成式评估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047E12ED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acc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acc>
          <m:r>
            <w:rPr>
              <w:rFonts w:ascii="Times New Roman" w:hAnsi="Times New Roman" w:eastAsia="宋体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Times New Roman" w:hAnsi="Times New Roman" w:eastAsia="宋体" w:cs="Times New Roman"/>
                  <w:sz w:val="24"/>
                  <w:szCs w:val="24"/>
                </w:rPr>
                <m:t>arg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Name>
            <m:e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max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lim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y:len(y)&lt;L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lim>
                  </m:limLow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func>
          <m:r>
            <w:rPr>
              <w:rFonts w:ascii="Times New Roman" w:hAnsi="Times New Roman" w:eastAsia="宋体" w:cs="Times New Roman"/>
              <w:sz w:val="24"/>
              <w:szCs w:val="24"/>
            </w:rPr>
            <m:t>P(y|x;θ) (greedydecoding)</m:t>
          </m:r>
        </m:oMath>
      </m:oMathPara>
    </w:p>
    <w:p w14:paraId="22166BA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然后提取答案与参考答案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\hat{y}^*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比较。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36399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E96A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特性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ED8F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Log-likelihood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4BC8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生成式</w:t>
            </w:r>
          </w:p>
        </w:tc>
      </w:tr>
      <w:tr w14:paraId="2C057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F48C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计算方式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ED87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单次前向传播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401A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自回归逐步生成</w:t>
            </w:r>
          </w:p>
        </w:tc>
      </w:tr>
      <w:tr w14:paraId="1D8E3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AA19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速度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04CD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快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EA4C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慢 10-100×</w:t>
            </w:r>
          </w:p>
        </w:tc>
      </w:tr>
      <w:tr w14:paraId="65314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1BCA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确定性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8E4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完全确定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3008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受采样策略影响</w:t>
            </w:r>
          </w:p>
        </w:tc>
      </w:tr>
      <w:tr w14:paraId="4A843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BAF9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真实匹配度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1630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低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A71F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高</w:t>
            </w:r>
          </w:p>
        </w:tc>
      </w:tr>
      <w:tr w14:paraId="319DE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29E5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适用任务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F4D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MMLU, ARC, HellaSwag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791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GSM8K, HumanEval, MT-Bench</w:t>
            </w:r>
          </w:p>
        </w:tc>
      </w:tr>
    </w:tbl>
    <w:p w14:paraId="3E8C4E7B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3" w:name="_Toc22262"/>
      <w:r>
        <w:rPr>
          <w:rFonts w:hint="eastAsia"/>
          <w:lang w:eastAsia="zh-CN"/>
        </w:rPr>
        <w:t xml:space="preserve">6.2 </w:t>
      </w:r>
      <w:r>
        <w:t>核心指标详解</w:t>
      </w:r>
      <w:bookmarkEnd w:id="23"/>
    </w:p>
    <w:p w14:paraId="709F4A77">
      <w:pPr>
        <w:pStyle w:val="5"/>
        <w:keepNext/>
        <w:outlineLvl w:val="9"/>
      </w:pPr>
      <w:r>
        <w:t xml:space="preserve"> 6.2.1 分类型指标</w:t>
      </w:r>
    </w:p>
    <w:p w14:paraId="52B5D62F">
      <w:pPr>
        <w:pStyle w:val="6"/>
        <w:keepNext/>
        <w:outlineLvl w:val="9"/>
      </w:pPr>
      <w:r>
        <w:t>Accuracy（准确率）：</w:t>
      </w:r>
    </w:p>
    <w:p w14:paraId="0BB304EF">
      <w:pPr>
        <w:spacing w:after="120" w:line="240" w:lineRule="auto"/>
        <w:jc w:val="center"/>
      </w:pPr>
      <m:oMathPara>
        <m:oMath>
          <m:r>
            <m:rPr/>
            <w:rPr>
              <w:rFonts w:hint="default" w:ascii="Cambria Math" w:hAnsi="Cambria Math" w:eastAsia="Consolas"/>
              <w:sz w:val="20"/>
            </w:rPr>
            <m:t>acc=</m:t>
          </m:r>
          <m:f>
            <m:fPr>
              <m:ctrlPr>
                <w:rPr>
                  <w:rFonts w:hint="default" w:ascii="Cambria Math" w:hAnsi="Cambria Math" w:eastAsia="Consolas"/>
                  <w:sz w:val="20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0"/>
                </w:rPr>
                <m:t>正确预测数</m:t>
              </m:r>
              <m:ctrlPr>
                <w:rPr>
                  <w:rFonts w:ascii="Cambria Math" w:hAnsi="Cambria Math" w:eastAsia="Consolas"/>
                  <w:sz w:val="20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0"/>
                </w:rPr>
                <m:t>总预测数</m:t>
              </m:r>
              <m:ctrlPr>
                <w:rPr>
                  <w:rFonts w:ascii="Cambria Math" w:hAnsi="Cambria Math" w:eastAsia="Consolas"/>
                  <w:sz w:val="20"/>
                </w:rPr>
              </m:ctrlPr>
            </m:den>
          </m:f>
        </m:oMath>
      </m:oMathPara>
    </w:p>
    <w:p w14:paraId="7D83D20C">
      <w:pPr>
        <w:pStyle w:val="6"/>
        <w:keepNext/>
        <w:outlineLvl w:val="9"/>
      </w:pPr>
      <w:r>
        <w:t>F1 Score：</w:t>
      </w:r>
    </w:p>
    <w:p w14:paraId="1F1835D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F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r>
            <w:rPr>
              <w:rFonts w:ascii="Times New Roman" w:hAnsi="Times New Roman" w:eastAsia="宋体" w:cs="Times New Roman"/>
              <w:sz w:val="24"/>
              <w:szCs w:val="24"/>
            </w:rPr>
            <m:t>=2⋅</m:t>
          </m:r>
          <m:f>
            <m:f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fPr>
            <m:num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Precision⋅Recall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num>
            <m:den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Precision+Recall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en>
          </m:f>
        </m:oMath>
      </m:oMathPara>
    </w:p>
    <w:p w14:paraId="7C4E674A">
      <w:pPr>
        <w:pStyle w:val="5"/>
        <w:keepNext/>
        <w:outlineLvl w:val="9"/>
      </w:pPr>
      <w:r>
        <w:t xml:space="preserve"> 6.2.2 生成型指标</w:t>
      </w:r>
    </w:p>
    <w:p w14:paraId="642FC242">
      <w:pPr>
        <w:pStyle w:val="6"/>
        <w:keepNext/>
        <w:outlineLvl w:val="9"/>
      </w:pPr>
      <w:r>
        <w:t>Exact Match (EM)：</w:t>
      </w:r>
    </w:p>
    <w:p w14:paraId="2D4176B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EM=1[norm(</m:t>
          </m:r>
          <m:acc>
            <m:acc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acc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acc>
          <m:r>
            <w:rPr>
              <w:rFonts w:ascii="Times New Roman" w:hAnsi="Times New Roman" w:eastAsia="宋体" w:cs="Times New Roman"/>
              <w:sz w:val="24"/>
              <w:szCs w:val="24"/>
            </w:rPr>
            <m:t>)=norm(</m:t>
          </m:r>
          <m:sSup>
            <m:sSup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p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y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p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∗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p>
          </m:sSup>
          <m:r>
            <w:rPr>
              <w:rFonts w:ascii="Times New Roman" w:hAnsi="Times New Roman" w:eastAsia="宋体" w:cs="Times New Roman"/>
              <w:sz w:val="24"/>
              <w:szCs w:val="24"/>
            </w:rPr>
            <m:t>)]</m:t>
          </m:r>
        </m:oMath>
      </m:oMathPara>
    </w:p>
    <w:p w14:paraId="69F61E26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norm(⋅)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包含去除空格、标点等标准化操作。</w:t>
      </w:r>
    </w:p>
    <w:p w14:paraId="21345A08">
      <w:pPr>
        <w:pStyle w:val="6"/>
        <w:keepNext/>
        <w:outlineLvl w:val="9"/>
      </w:pPr>
      <w:r>
        <w:t>BLEU（n-gram 精确度）：</w:t>
      </w:r>
    </w:p>
    <w:p w14:paraId="4CBBB6D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BLEU=BP⋅exp</m:t>
          </m:r>
          <m:d>
            <m:d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nary>
                <m:naryPr>
                  <m:chr m:val="∑"/>
                  <m:limLoc m:val="subSup"/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n=1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b>
                <m:sup>
                  <m: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N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w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n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nary>
              <m:func>
                <m:func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Times New Roman" w:hAnsi="Times New Roman" w:eastAsia="宋体" w:cs="Times New Roman"/>
                      <w:sz w:val="24"/>
                      <w:szCs w:val="24"/>
                    </w:rPr>
                    <m:t>log</m:t>
                  </m: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Name>
                <m:e>
                  <m:sSub>
                    <m:sSub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p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Times New Roman" w:hAnsi="Times New Roman" w:eastAsia="宋体" w:cs="Times New Roman"/>
                          <w:sz w:val="24"/>
                          <w:szCs w:val="24"/>
                        </w:rPr>
                        <m:t>n</m:t>
                      </m: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e>
              </m:func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50DEE531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m:oMath>
        <m:r>
          <w:rPr>
            <w:rFonts w:ascii="Times New Roman" w:hAnsi="Times New Roman" w:eastAsia="宋体" w:cs="Times New Roman"/>
            <w:color w:val="884400"/>
            <w:sz w:val="24"/>
            <w:szCs w:val="24"/>
          </w:rPr>
          <m:t>p_n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 n-gram 精确率，BP 是简短惩罚。</w:t>
      </w:r>
    </w:p>
    <w:p w14:paraId="4F0B84E9">
      <w:pPr>
        <w:pStyle w:val="5"/>
        <w:keepNext/>
        <w:outlineLvl w:val="9"/>
      </w:pPr>
      <w:r>
        <w:t xml:space="preserve"> 6.2.3 代码型指标</w:t>
      </w:r>
    </w:p>
    <w:p w14:paraId="0D050DDB">
      <w:pPr>
        <w:pStyle w:val="6"/>
        <w:keepNext/>
        <w:outlineLvl w:val="9"/>
      </w:pPr>
      <w:r>
        <w:t>Pass@k（生成 k 个解，至少一个通过的期望概率）：</w:t>
      </w:r>
    </w:p>
    <w:p w14:paraId="1A18B68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Pass@k=</m:t>
          </m:r>
          <m:sSub>
            <m:sSubP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Sub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E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  <m:sub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problems</m:t>
              </m:r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dPr>
            <m:e>
              <m:r>
                <w:rPr>
                  <w:rFonts w:ascii="Times New Roman" w:hAnsi="Times New Roman" w:eastAsia="宋体" w:cs="Times New Roman"/>
                  <w:sz w:val="24"/>
                  <w:szCs w:val="24"/>
                </w:rPr>
                <m:t>1−</m:t>
              </m:r>
              <m:f>
                <m:fPr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n−c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num>
                        <m:den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num>
                <m:den>
                  <m:d>
                    <m:dPr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n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num>
                        <m:den>
                          <m:r>
                            <w:rPr>
                              <w:rFonts w:ascii="Times New Roman" w:hAnsi="Times New Roman" w:eastAsia="宋体" w:cs="Times New Roman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宋体" w:cs="Times New Roman"/>
                              <w:sz w:val="24"/>
                              <w:szCs w:val="24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 w:eastAsia="宋体" w:cs="Times New Roman"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 w:eastAsia="宋体" w:cs="Times New Roman"/>
                      <w:sz w:val="24"/>
                      <w:szCs w:val="24"/>
                    </w:rPr>
                  </m:ctrlPr>
                </m:den>
              </m:f>
              <m:ctrlPr>
                <w:rPr>
                  <w:rFonts w:ascii="Cambria Math" w:hAnsi="Cambria Math" w:eastAsia="宋体" w:cs="Times New Roman"/>
                  <w:sz w:val="24"/>
                  <w:szCs w:val="24"/>
                </w:rPr>
              </m:ctrlPr>
            </m:e>
          </m:d>
        </m:oMath>
      </m:oMathPara>
    </w:p>
    <w:p w14:paraId="1E41FA3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其中 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是总生成数，</w:t>
      </w:r>
      <w:r>
        <w:rPr>
          <w:rFonts w:ascii="Times New Roman" w:hAnsi="Times New Roman" w:eastAsia="宋体" w:cs="Times New Roman"/>
          <w:b w:val="0"/>
          <w:i/>
          <w:color w:val="884400"/>
          <w:sz w:val="24"/>
          <w:szCs w:val="24"/>
        </w:rPr>
        <w:t>c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是通过数。</w:t>
      </w:r>
    </w:p>
    <w:p w14:paraId="7F871F1F">
      <w:pPr>
        <w:pStyle w:val="5"/>
        <w:keepNext/>
        <w:outlineLvl w:val="9"/>
      </w:pPr>
      <w:r>
        <w:t xml:space="preserve"> 6.2.4 长度归一化（acc_norm）</w:t>
      </w:r>
    </w:p>
    <w:p w14:paraId="6D934F6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为什么需要长度归一化？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在 Log-likelihood 评估中，更长的选项天然会有更低的 log-likelihood（因为负对数概率累加）：</w:t>
      </w:r>
    </w:p>
    <w:p w14:paraId="15EE7965">
      <w:pPr>
        <w:spacing w:after="120" w:line="240" w:lineRule="auto"/>
        <w:jc w:val="center"/>
      </w:pPr>
      <m:oMathPara>
        <m:oMath>
          <m:r>
            <m:rPr/>
            <w:rPr>
              <w:rFonts w:hint="default" w:ascii="Cambria Math" w:hAnsi="Cambria Math" w:eastAsia="Consolas"/>
              <w:sz w:val="20"/>
            </w:rPr>
            <m:t>score(a)=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Consolas"/>
                  <w:sz w:val="20"/>
                </w:rPr>
              </m:ctrlPr>
            </m:naryPr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t=1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|a|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p>
            <m:e>
              <m:func>
                <m:fun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 w:eastAsia="Consolas"/>
                      <w:sz w:val="20"/>
                    </w:rPr>
                    <m:t>log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fName>
                <m:e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</m:func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nary>
          <m:r>
            <m:rPr/>
            <w:rPr>
              <w:rFonts w:hint="default" w:ascii="Cambria Math" w:hAnsi="Cambria Math" w:eastAsia="Consolas"/>
              <w:sz w:val="20"/>
            </w:rPr>
            <m:t>P(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a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t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|⋯)</m:t>
          </m:r>
        </m:oMath>
      </m:oMathPara>
    </w:p>
    <w:p w14:paraId="4ED7799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如果选项 A 是 "yes"（3 tokens），选项 B 是 "no, I don't think so"（6 tokens），即使 B 是正确答案，它的总 log-likelihood 也可能更低。</w:t>
      </w:r>
    </w:p>
    <w:p w14:paraId="33DBE76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归一化方式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06A5B096">
      <w:pPr>
        <w:spacing w:after="120" w:line="240" w:lineRule="auto"/>
        <w:jc w:val="center"/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score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norm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(a)=</m:t>
          </m:r>
          <m:f>
            <m:fPr>
              <m:ctrlPr>
                <w:rPr>
                  <w:rFonts w:hint="default" w:ascii="Cambria Math" w:hAnsi="Cambria Math" w:eastAsia="Consolas"/>
                  <w:sz w:val="20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0"/>
                </w:rPr>
                <m:t>1</m:t>
              </m:r>
              <m:ctrlPr>
                <w:rPr>
                  <w:rFonts w:ascii="Cambria Math" w:hAnsi="Cambria Math" w:eastAsia="Consolas"/>
                  <w:sz w:val="20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0"/>
                </w:rPr>
                <m:t>|a|</m:t>
              </m:r>
              <m:ctrlPr>
                <w:rPr>
                  <w:rFonts w:ascii="Cambria Math" w:hAnsi="Cambria Math" w:eastAsia="Consolas"/>
                  <w:sz w:val="20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Consolas"/>
                  <w:sz w:val="20"/>
                </w:rPr>
              </m:ctrlPr>
            </m:naryPr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t=1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|a|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p>
            <m:e>
              <m:func>
                <m:fun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 w:eastAsia="Consolas"/>
                      <w:sz w:val="20"/>
                    </w:rPr>
                    <m:t>log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fName>
                <m:e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</m:func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nary>
          <m:r>
            <m:rPr/>
            <w:rPr>
              <w:rFonts w:hint="default" w:ascii="Cambria Math" w:hAnsi="Cambria Math" w:eastAsia="Consolas"/>
              <w:sz w:val="20"/>
            </w:rPr>
            <m:t>P(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a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t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|⋯)=</m:t>
          </m:r>
          <m:f>
            <m:fPr>
              <m:ctrlPr>
                <w:rPr>
                  <w:rFonts w:hint="default" w:ascii="Cambria Math" w:hAnsi="Cambria Math" w:eastAsia="Consolas"/>
                  <w:sz w:val="20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0"/>
                </w:rPr>
                <m:t>score(a)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0"/>
                </w:rPr>
                <m:t>|a|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den>
          </m:f>
        </m:oMath>
      </m:oMathPara>
    </w:p>
    <w:p w14:paraId="4EF99469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详见《Evaluation Harness 技术深度解析》第 3.3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：所有核心指标的数学定义和对比。</w:t>
      </w:r>
    </w:p>
    <w:p w14:paraId="7BC3E429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4" w:name="_Toc29257"/>
      <w:r>
        <w:rPr>
          <w:rFonts w:hint="eastAsia"/>
          <w:lang w:eastAsia="zh-CN"/>
        </w:rPr>
        <w:t xml:space="preserve">6.3 </w:t>
      </w:r>
      <w:r>
        <w:t>案例分析：MMLU 多项选择评估</w:t>
      </w:r>
      <w:bookmarkEnd w:id="24"/>
    </w:p>
    <w:p w14:paraId="101753A0">
      <w:pPr>
        <w:pStyle w:val="5"/>
        <w:keepNext/>
        <w:outlineLvl w:val="9"/>
      </w:pPr>
      <w:r>
        <w:t xml:space="preserve"> 6.3.1 背景</w:t>
      </w:r>
    </w:p>
    <w:p w14:paraId="62AD102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MMLU（Massive Multitask Language Understanding）是评估 LLM 知识广度的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最常用基准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，覆盖 57 个学科，从人文到 STEM。</w:t>
      </w:r>
    </w:p>
    <w:p w14:paraId="74EAA5B7">
      <w:pPr>
        <w:pStyle w:val="5"/>
        <w:keepNext/>
        <w:outlineLvl w:val="9"/>
      </w:pPr>
      <w:r>
        <w:t xml:space="preserve"> 6.3.2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5C913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3C57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053D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44D25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D336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8734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系统衡量模型在 57 个学科上的知识覆盖广度，从抽象代数到法学、医学，评估模型是否具备广泛的世界知识</w:t>
            </w:r>
          </w:p>
        </w:tc>
      </w:tr>
      <w:tr w14:paraId="34CCD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196F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4208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~15,908 道 4 选 1 选择题，分为 STEM、人文、社会科学、其他四大类。5-shot 设置</w:t>
            </w:r>
          </w:p>
        </w:tc>
      </w:tr>
      <w:tr w14:paraId="20985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E68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5E19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各学科准确率 + 平均准确率（acc / acc_norm）。基本格式：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E75B6"/>
                <w:sz w:val="20"/>
                <w:szCs w:val="20"/>
              </w:rPr>
              <w:t>acc = 0.6245 ± 0.0039</w:t>
            </w:r>
          </w:p>
        </w:tc>
      </w:tr>
      <w:tr w14:paraId="35DD8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50F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数学原理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5E28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Log-likelihood 多项选择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：对每个问题构建 prompt + 4 个选项，计算 $\text{score}(A) = \sum_{t=1}^{\</w:t>
            </w:r>
          </w:p>
        </w:tc>
      </w:tr>
      <w:tr w14:paraId="21757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E60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F04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对每个问题，构建 5-shot 示范 + 测试问题的 prompt；② 对 4 个选项分别计算 log-likelihood；③ 选择最高得分选项；④ 与正确答案比较计算 accuracy；⑤ 按 57 个学科分别聚合</w:t>
            </w:r>
          </w:p>
        </w:tc>
      </w:tr>
      <w:tr w14:paraId="4A30C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FF1A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4CA5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覆盖面广（57 学科），衡量知识广度；② 确定性评估（Log-likelihood 不涉及采样，完全可复现）；③ 快速高效（一次前向传播比较所有选项）；④ 社区公认标准，便于横向对比；⑤ 学科级细粒度分析</w:t>
            </w:r>
          </w:p>
        </w:tc>
      </w:tr>
      <w:tr w14:paraId="16AE7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A887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526A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①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Ceiling Effect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：前沿模型已 &gt;85%（MMLU-Pro 将选项从 4 个扩到 10 个并剔除简单题来缓解）；②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数据污染风险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：部分测试题可能出现在预训练数据中；③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与真实使用不一致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：4 选 1 vs 开放生成；④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辛普森悖论风险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：总分掩盖学科差异</w:t>
            </w:r>
          </w:p>
        </w:tc>
      </w:tr>
      <w:tr w14:paraId="6C91E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4DF7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0B64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系统评估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中的通用知识基准——衡量预训练覆盖、微调/对齐后的知识保持</w:t>
            </w:r>
          </w:p>
        </w:tc>
      </w:tr>
    </w:tbl>
    <w:p w14:paraId="7A966F85">
      <w:pPr>
        <w:pStyle w:val="5"/>
        <w:keepNext/>
        <w:pageBreakBefore/>
        <w:outlineLvl w:val="9"/>
      </w:pPr>
      <w:r>
        <w:t xml:space="preserve"> 6.3.3 结果解读</w:t>
      </w:r>
    </w:p>
    <w:p w14:paraId="695DC00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lm_eval --model hf --model_args pretrained=mistralai/Mistral-7B-v0.1 \</w:t>
      </w:r>
    </w:p>
    <w:p w14:paraId="07AF9E60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--tasks mmlu --num_fewshot 5 --seed 42</w:t>
      </w:r>
    </w:p>
    <w:p w14:paraId="6BF73054">
      <w:pPr>
        <w:spacing w:after="120"/>
      </w:pPr>
    </w:p>
    <w:p w14:paraId="2DDDEE0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|  Task |Version| Metric | Value |   |Stderr|</w:t>
      </w:r>
    </w:p>
    <w:p w14:paraId="08311BC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|-------|------:|--------|-----:|---|-----:|</w:t>
      </w:r>
    </w:p>
    <w:p w14:paraId="504090F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|  mmlu |   2.0 |acc     |0.6245|±  |0.0039|</w:t>
      </w:r>
    </w:p>
    <w:p w14:paraId="7720A7FA">
      <w:pPr>
        <w:spacing w:after="120"/>
      </w:pPr>
    </w:p>
    <w:p w14:paraId="4C28EAF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Stderr 的计算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</w:t>
      </w:r>
    </w:p>
    <w:p w14:paraId="5F6F5D31">
      <w:pPr>
        <w:spacing w:after="120" w:line="240" w:lineRule="auto"/>
        <w:jc w:val="center"/>
      </w:pPr>
      <m:oMathPara>
        <m:oMath>
          <m:r>
            <m:rPr/>
            <w:rPr>
              <w:rFonts w:hint="default" w:ascii="Cambria Math" w:hAnsi="Cambria Math" w:eastAsia="Consolas"/>
              <w:sz w:val="20"/>
            </w:rPr>
            <m:t>Stderr≈</m:t>
          </m:r>
          <m:rad>
            <m:radPr>
              <m:degHide m:val="1"/>
              <m:ctrlPr>
                <w:rPr>
                  <w:rFonts w:hint="default" w:ascii="Cambria Math" w:hAnsi="Cambria Math" w:eastAsia="Consolas"/>
                  <w:sz w:val="20"/>
                </w:rPr>
              </m:ctrlPr>
            </m:radPr>
            <m:deg>
              <m:ctrlPr>
                <w:rPr>
                  <w:rFonts w:ascii="Cambria Math" w:hAnsi="Cambria Math" w:eastAsia="Consolas"/>
                  <w:sz w:val="20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acc⋅(1−acc)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den>
              </m:f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rad>
          <m:r>
            <m:rPr/>
            <w:rPr>
              <w:rFonts w:hint="default" w:ascii="Cambria Math" w:hAnsi="Cambria Math" w:eastAsia="Consolas"/>
              <w:sz w:val="20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eastAsia="Consolas"/>
                  <w:sz w:val="20"/>
                </w:rPr>
              </m:ctrlPr>
            </m:radPr>
            <m:deg>
              <m:ctrlPr>
                <w:rPr>
                  <w:rFonts w:hint="default" w:ascii="Cambria Math" w:hAnsi="Cambria Math" w:eastAsia="Consolas"/>
                  <w:sz w:val="20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0.6245×0.3755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14042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den>
              </m:f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</m:rad>
          <m:r>
            <m:rPr/>
            <w:rPr>
              <w:rFonts w:hint="default" w:ascii="Cambria Math" w:hAnsi="Cambria Math" w:eastAsia="Consolas"/>
              <w:sz w:val="20"/>
            </w:rPr>
            <m:t>≈0.00409</m:t>
          </m:r>
        </m:oMath>
      </m:oMathPara>
    </w:p>
    <w:p w14:paraId="5FC16E3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解读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：真值有 95% 的概率落在 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acc±1.96×Stderr≈[0.6165,0.6325]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区间。</w:t>
      </w:r>
    </w:p>
    <w:p w14:paraId="2BAA163B">
      <w:pPr>
        <w:pStyle w:val="5"/>
        <w:keepNext/>
        <w:outlineLvl w:val="9"/>
      </w:pPr>
      <w:r>
        <w:t xml:space="preserve"> 6.3.4 分维度分析示例</w:t>
      </w:r>
    </w:p>
    <w:p w14:paraId="090E148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MMLU 按学科分组分析可以发现单一聚合值掩盖的差异：</w:t>
      </w:r>
    </w:p>
    <w:p w14:paraId="758F4CC8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results_per_category = {</w:t>
      </w:r>
    </w:p>
    <w:p w14:paraId="7174778E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"STEM": avg(physics, chemistry, biology, ...),</w:t>
      </w:r>
    </w:p>
    <w:p w14:paraId="372BA7F0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"Humanities": avg(history, literature, philosophy, ...),</w:t>
      </w:r>
    </w:p>
    <w:p w14:paraId="3A9DDA56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"Social Sciences": avg(law, economics, sociology, ...),</w:t>
      </w:r>
    </w:p>
    <w:p w14:paraId="58EA0C1C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}</w:t>
      </w:r>
    </w:p>
    <w:p w14:paraId="18C737A5">
      <w:pPr>
        <w:spacing w:after="120"/>
      </w:pP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42960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90FB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学科类别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E037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模型 A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EE6F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模型 B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C169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差距</w:t>
            </w:r>
          </w:p>
        </w:tc>
      </w:tr>
      <w:tr w14:paraId="619D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4BA5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STEM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030C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0.62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5121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0.71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C700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-0.09</w:t>
            </w:r>
          </w:p>
        </w:tc>
      </w:tr>
      <w:tr w14:paraId="58D38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4C7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人文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BA7E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0.71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AF3F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0.63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A235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+0.08</w:t>
            </w:r>
          </w:p>
        </w:tc>
      </w:tr>
      <w:tr w14:paraId="4C91E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204A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社科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C5A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E09E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0.67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777C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+0.01</w:t>
            </w:r>
          </w:p>
        </w:tc>
      </w:tr>
    </w:tbl>
    <w:p w14:paraId="7F212A9C">
      <w:pPr>
        <w:spacing w:after="120"/>
      </w:pPr>
    </w:p>
    <w:p w14:paraId="0584678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诊断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：模型 A 在人文上表现更好，模型 B 在 STEM 上更强。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单一 MMLU 总分 0.67 vs 0.67 掩盖了这个重要的特性差异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。</w:t>
      </w:r>
    </w:p>
    <w:p w14:paraId="69304868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5" w:name="_Toc8655"/>
      <w:r>
        <w:rPr>
          <w:rFonts w:hint="eastAsia"/>
          <w:lang w:eastAsia="zh-CN"/>
        </w:rPr>
        <w:t xml:space="preserve">6.4 </w:t>
      </w:r>
      <w:r>
        <w:t>案例分析：GSM8K 生成式评估</w:t>
      </w:r>
      <w:bookmarkEnd w:id="25"/>
    </w:p>
    <w:p w14:paraId="448C59ED">
      <w:pPr>
        <w:pStyle w:val="5"/>
        <w:keepNext/>
        <w:outlineLvl w:val="9"/>
      </w:pPr>
      <w:r>
        <w:t xml:space="preserve"> 6.4.1 背景</w:t>
      </w:r>
    </w:p>
    <w:p w14:paraId="09CD888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GSM8K（Grade School Math 8K）是评估 LLM 数学推理能力的标准基准，需要模型进行多步推理才能得出正确答案。</w:t>
      </w:r>
    </w:p>
    <w:p w14:paraId="0BD91CA4">
      <w:pPr>
        <w:pStyle w:val="5"/>
        <w:keepNext/>
        <w:outlineLvl w:val="9"/>
      </w:pPr>
      <w:r>
        <w:t xml:space="preserve"> 6.4.2 详细分析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678CE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1E81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F70C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说明</w:t>
            </w:r>
          </w:p>
        </w:tc>
      </w:tr>
      <w:tr w14:paraId="21711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8CDC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解决什么问题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6440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评估模型的多步数学推理能力——模型需要自主生成推理链并给出最终答案，而非从选项中选择</w:t>
            </w:r>
          </w:p>
        </w:tc>
      </w:tr>
      <w:tr w14:paraId="19895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BA5A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输入数据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89CB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8,500 道小学数学应用题（1-8 年级）。8-shot 设置（8 个示范示例）</w:t>
            </w:r>
          </w:p>
        </w:tc>
      </w:tr>
      <w:tr w14:paraId="264BC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F257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输出结果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A9A0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Exact Match 准确率：</w:t>
            </w:r>
            <m:oMath>
              <m:r>
                <m:rPr/>
                <w:rPr>
                  <w:rFonts w:hint="default" w:ascii="Cambria Math" w:hAnsi="Cambria Math" w:eastAsia="Consolas"/>
                  <w:sz w:val="20"/>
                </w:rPr>
                <m:t>EM=</m:t>
              </m:r>
              <m:f>
                <m:f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1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den>
              </m:f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i=1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0"/>
                    </w:rPr>
                    <m:t>1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</m:nary>
              <m:r>
                <m:rPr/>
                <w:rPr>
                  <w:rFonts w:hint="default" w:ascii="Cambria Math" w:hAnsi="Cambria Math" w:eastAsia="Consolas"/>
                  <w:sz w:val="20"/>
                </w:rPr>
                <m:t>[norm(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 w:eastAsia="Consolas"/>
                          <w:sz w:val="20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0"/>
                        </w:rPr>
                        <m:t>y</m:t>
                      </m:r>
                      <m:ctrlPr>
                        <w:rPr>
                          <w:rFonts w:ascii="Cambria Math" w:hAnsi="Cambria Math" w:eastAsia="Consolas"/>
                          <w:sz w:val="20"/>
                        </w:rPr>
                      </m:ctrlPr>
                    </m:e>
                  </m:acc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)=norm(</m:t>
              </m:r>
              <m:sSubSup>
                <m:sSub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y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i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∗</m:t>
                  </m: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Consolas"/>
                  <w:sz w:val="20"/>
                </w:rPr>
                <m:t>)]</m:t>
              </m:r>
            </m:oMath>
          </w:p>
        </w:tc>
      </w:tr>
      <w:tr w14:paraId="692C0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60F4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数学原理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A11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生成式评估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：模型输出是一个完整的推理链 + 最终答案。lm-eval 用正则表达式从自由文本中提取答案，与参考答案做 exact match</w:t>
            </w:r>
          </w:p>
        </w:tc>
      </w:tr>
      <w:tr w14:paraId="283D1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69C7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基本流程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23E2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构建 8-shot prompt（精心挑选的数学示范题+答案）；② 模型自回归生成回复；③ 正则提取答案（匹配  后的数字）；④ 标准化后与参考答案比较；⑤ 计算 exact_match 准确率；⑥ 计算 Stderr</w:t>
            </w:r>
          </w:p>
        </w:tc>
      </w:tr>
      <w:tr w14:paraId="6CCE8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4A9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优点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DB78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评估真实使用场景——模型需要自主生成答案；② 多步推理难度适中，有良好区分度（7B 模型通常 50-70%）；③ 与 MMLU 形成"知识 + 推理"互补评估</w:t>
            </w:r>
          </w:p>
        </w:tc>
      </w:tr>
      <w:tr w14:paraId="1B53B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58A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局限性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A7EE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① 生成速度慢（比 Log-likelihood 慢 10-100×）；② 答案提取依赖正则表达式，可能误提取；③ 小学数学难度有限，不能全面反映推理能力；④ 不同解码策略（temperature/top_p）影响结果</w:t>
            </w:r>
          </w:p>
        </w:tc>
      </w:tr>
      <w:tr w14:paraId="1AF6C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0C59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Post-training 位置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E62C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推理能力评估基准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——特别适合：① 评估 GRPO 等推理对齐方法的效果；② 检测微调后数学能力的保持程度；③ 异常诊断</w:t>
            </w:r>
          </w:p>
        </w:tc>
      </w:tr>
    </w:tbl>
    <w:p w14:paraId="3F4B1249">
      <w:pPr>
        <w:pStyle w:val="5"/>
        <w:keepNext/>
        <w:outlineLvl w:val="9"/>
      </w:pPr>
      <w:r>
        <w:t xml:space="preserve"> 6.4.3 答案提取示例</w:t>
      </w:r>
    </w:p>
    <w:p w14:paraId="7071496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模型输出（生成文本）：</w:t>
      </w:r>
    </w:p>
    <w:p w14:paraId="5B44E6EE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"首先，张三有 5 个苹果，李四给了他 3 个。</w:t>
      </w:r>
    </w:p>
    <w:p w14:paraId="4DB3353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所以 5 + 3 = 8。</w:t>
      </w:r>
    </w:p>
    <w:p w14:paraId="62064857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因此张三现在有 8 个苹果。</w:t>
      </w:r>
    </w:p>
    <w:p w14:paraId="49B2FA2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答案是 8。"</w:t>
      </w:r>
    </w:p>
    <w:p w14:paraId="174DBE4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71CA8A3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正则提取 → "8"</w:t>
      </w:r>
    </w:p>
    <w:p w14:paraId="7EBFFC80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6EAFF5B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参考答案 → "8"</w:t>
      </w:r>
    </w:p>
    <w:p w14:paraId="5825451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758B14E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匹配结果：✅ Exact Match</w:t>
      </w:r>
    </w:p>
    <w:p w14:paraId="6CE87D2A">
      <w:pPr>
        <w:pStyle w:val="5"/>
        <w:keepNext/>
        <w:outlineLvl w:val="9"/>
      </w:pPr>
      <w:r>
        <w:t xml:space="preserve"> 6.4.4 异常诊断示例</w:t>
      </w:r>
    </w:p>
    <w:p w14:paraId="058FE66F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假设微调后 GSM8K 从 60% 骤降至 45%：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这不是对齐税（正常 1-3%）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，需要排查：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768CA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0BC3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怀疑方向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9CF96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验证方法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5B492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如果确认为真</w:t>
            </w:r>
          </w:p>
        </w:tc>
      </w:tr>
      <w:tr w14:paraId="5401A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B93F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数据污染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（微调数据与 GSM8K 格式不匹配）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A000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检查微调数据中数学推理样本格式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E184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补充链式推理样本</w:t>
            </w:r>
          </w:p>
        </w:tc>
      </w:tr>
      <w:tr w14:paraId="6E2F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D150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灾难性遗忘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0E1A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用 MATH 交叉验证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E82A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补充数学 SFT 数据</w:t>
            </w:r>
          </w:p>
        </w:tc>
      </w:tr>
      <w:tr w14:paraId="19C66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702F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Tokenization 偏移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0BEA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检查数字编码是否一致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C613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统一 tokenizer 版本</w:t>
            </w:r>
          </w:p>
        </w:tc>
      </w:tr>
      <w:tr w14:paraId="5E6D4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2C481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对齐税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FC39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对比微调前后 logits 分布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077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数据质量控制</w:t>
            </w:r>
          </w:p>
        </w:tc>
      </w:tr>
    </w:tbl>
    <w:p w14:paraId="14879016">
      <w:pPr>
        <w:spacing w:after="120"/>
      </w:pPr>
    </w:p>
    <w:p w14:paraId="50585585">
      <w:pPr>
        <w:pBdr>
          <w:left w:val="single" w:color="2E75B6" w:sz="12" w:space="8"/>
        </w:pBdr>
        <w:shd w:val="clear" w:fill="F0F4F8"/>
        <w:spacing w:after="120" w:line="276" w:lineRule="auto"/>
        <w:ind w:left="36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🔗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详见《Evaluation Harness 技术深度解析》第 6.4 节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：异常诊断的完整方法和多任务综合诊断案例。</w:t>
      </w:r>
    </w:p>
    <w:p w14:paraId="14263400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6" w:name="_Toc31853"/>
      <w:r>
        <w:rPr>
          <w:rFonts w:hint="eastAsia"/>
          <w:lang w:eastAsia="zh-CN"/>
        </w:rPr>
        <w:t xml:space="preserve">6.5 </w:t>
      </w:r>
      <w:r>
        <w:t>统计显著性检验</w:t>
      </w:r>
      <w:bookmarkEnd w:id="26"/>
    </w:p>
    <w:p w14:paraId="3585BB98">
      <w:pPr>
        <w:pStyle w:val="5"/>
        <w:keepNext/>
        <w:outlineLvl w:val="9"/>
      </w:pPr>
      <w:r>
        <w:t xml:space="preserve"> 6.5.1 McNemar 检验（配对样本比较）</w:t>
      </w:r>
    </w:p>
    <w:p w14:paraId="4432206D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适合两个模型在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2"/>
          <w:szCs w:val="22"/>
        </w:rPr>
        <w:t>同一组样本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上的对比：</w:t>
      </w:r>
    </w:p>
    <w:p w14:paraId="441A064F">
      <w:pPr>
        <w:spacing w:after="120" w:line="240" w:lineRule="auto"/>
        <w:jc w:val="center"/>
      </w:pPr>
      <m:oMathPara>
        <m:oMath>
          <m:sSup>
            <m:sSupPr>
              <m:ctrlPr>
                <w:rPr>
                  <w:rFonts w:hint="default" w:ascii="Cambria Math" w:hAnsi="Cambria Math" w:eastAsia="Consolas"/>
                  <w:sz w:val="20"/>
                </w:rPr>
              </m:ctrlPr>
            </m:sSupPr>
            <m:e>
              <m:r>
                <m:rPr/>
                <w:rPr>
                  <w:rFonts w:hint="default" w:ascii="Cambria Math" w:hAnsi="Cambria Math" w:eastAsia="Consolas"/>
                  <w:sz w:val="20"/>
                </w:rPr>
                <m:t>χ</m:t>
              </m:r>
              <m:ctrlPr>
                <w:rPr>
                  <w:rFonts w:ascii="Cambria Math" w:hAnsi="Cambria Math" w:eastAsia="Consolas"/>
                  <w:sz w:val="20"/>
                </w:rPr>
              </m:ctrlPr>
            </m:e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2</m:t>
              </m:r>
              <m:ctrlPr>
                <w:rPr>
                  <w:rFonts w:ascii="Cambria Math" w:hAnsi="Cambria Math" w:eastAsia="Consolas"/>
                  <w:sz w:val="20"/>
                </w:rPr>
              </m:ctrlPr>
            </m:sup>
          </m:sSup>
          <m:r>
            <m:rPr/>
            <w:rPr>
              <w:rFonts w:hint="default" w:ascii="Cambria Math" w:hAnsi="Cambria Math" w:eastAsia="Consolas"/>
              <w:sz w:val="20"/>
            </w:rPr>
            <m:t>=</m:t>
          </m:r>
          <m:f>
            <m:fPr>
              <m:ctrlPr>
                <w:rPr>
                  <w:rFonts w:hint="default" w:ascii="Cambria Math" w:hAnsi="Cambria Math" w:eastAsia="Consolas"/>
                  <w:sz w:val="20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0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01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10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)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2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p>
              </m:sSup>
              <m:ctrlPr>
                <w:rPr>
                  <w:rFonts w:hint="default" w:ascii="Cambria Math" w:hAnsi="Cambria Math" w:eastAsia="Consolas"/>
                  <w:sz w:val="20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01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0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n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10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0"/>
                </w:rPr>
              </m:ctrlPr>
            </m:den>
          </m:f>
        </m:oMath>
      </m:oMathPara>
    </w:p>
    <w:p w14:paraId="7EB8D878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其中</w:t>
      </w:r>
      <m:oMath>
        <m:sSub>
          <m:sSubPr>
            <m:ctrlPr>
              <w:rPr>
                <w:rFonts w:hint="default" w:ascii="Cambria Math" w:hAnsi="Cambria Math" w:eastAsia="Arial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Arial"/>
                <w:sz w:val="22"/>
              </w:rPr>
              <m:t>n</m:t>
            </m:r>
            <m:ctrlPr>
              <w:rPr>
                <w:rFonts w:ascii="Cambria Math" w:hAnsi="Cambria Math" w:eastAsia="Arial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Arial"/>
                <w:sz w:val="22"/>
              </w:rPr>
              <m:t>01</m:t>
            </m:r>
            <m:ctrlPr>
              <w:rPr>
                <w:rFonts w:ascii="Cambria Math" w:hAnsi="Cambria Math" w:eastAsia="Arial"/>
                <w:sz w:val="22"/>
              </w:rPr>
            </m:ctrlPr>
          </m:sub>
        </m:sSub>
      </m:oMath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是模型 A 错误且模型 B 正确的样本数，</w:t>
      </w:r>
      <m:oMath>
        <m:sSub>
          <m:sSubPr>
            <m:ctrlPr>
              <w:rPr>
                <w:rFonts w:hint="default" w:ascii="Cambria Math" w:hAnsi="Cambria Math" w:eastAsia="Consolas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0"/>
              </w:rPr>
              <m:t>n</m:t>
            </m:r>
            <m:ctrlPr>
              <w:rPr>
                <w:rFonts w:ascii="Cambria Math" w:hAnsi="Cambria Math" w:eastAsia="Consolas"/>
                <w:sz w:val="20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0"/>
              </w:rPr>
              <m:t>10</m:t>
            </m:r>
            <m:ctrlPr>
              <w:rPr>
                <w:rFonts w:ascii="Cambria Math" w:hAnsi="Cambria Math" w:eastAsia="Consolas"/>
                <w:sz w:val="20"/>
              </w:rPr>
            </m:ctrlPr>
          </m:sub>
        </m:sSub>
      </m:oMath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 是模型 A 正确且模型 B 错误的样本数。自由度 </w:t>
      </w:r>
      <w:r>
        <w:rPr>
          <w:rFonts w:ascii="Consolas" w:hAnsi="Consolas" w:eastAsia="Consolas" w:cs="Consolas"/>
          <w:b w:val="0"/>
          <w:bCs w:val="0"/>
          <w:i/>
          <w:iCs/>
          <w:color w:val="884400"/>
          <w:sz w:val="20"/>
          <w:szCs w:val="20"/>
        </w:rPr>
        <w:t>df=1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。</w:t>
      </w:r>
    </w:p>
    <w:p w14:paraId="314714FE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from scipy.stats import chi2_contingency</w:t>
      </w:r>
    </w:p>
    <w:p w14:paraId="444AA6B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1365FA50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def mcnemar_test(model_a_correct, model_b_correct):</w:t>
      </w:r>
    </w:p>
    <w:p w14:paraId="34D8D83C">
      <w:pPr>
        <w:numPr>
          <w:ilvl w:val="0"/>
          <w:numId w:val="8"/>
        </w:numPr>
        <w:shd w:val="clear" w:fill="F5F5F5"/>
        <w:spacing w:after="0" w:line="240" w:lineRule="auto"/>
        <w:ind w:left="0" w:leftChars="0" w:firstLine="360" w:firstLineChars="0"/>
        <w:rPr>
          <w:rFonts w:hint="default" w:ascii="Consolas" w:hAnsi="Consolas" w:cs="Consolas"/>
          <w:b w:val="0"/>
          <w:color w:val="333333"/>
          <w:sz w:val="18"/>
          <w:bdr w:val="none" w:sz="0" w:space="0"/>
        </w:rPr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_01 = sum(1 for a, b in zip(model_a_correct, model_b_correct) if not a and b)</w:t>
      </w:r>
    </w:p>
    <w:p w14:paraId="37131689">
      <w:pPr>
        <w:numPr>
          <w:ilvl w:val="0"/>
          <w:numId w:val="8"/>
        </w:numPr>
        <w:shd w:val="clear" w:fill="F5F5F5"/>
        <w:spacing w:after="0" w:line="240" w:lineRule="auto"/>
        <w:ind w:left="0" w:leftChars="0" w:firstLine="360" w:firstLineChars="0"/>
        <w:rPr>
          <w:rFonts w:hint="default" w:ascii="Consolas" w:hAnsi="Consolas" w:cs="Consolas"/>
          <w:b w:val="0"/>
          <w:color w:val="333333"/>
          <w:sz w:val="18"/>
          <w:bdr w:val="none" w:sz="0" w:space="0"/>
        </w:rPr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_10 = sum(1 for a, b in zip(model_a_correct, model_b_correct) if a and not b)</w:t>
      </w:r>
    </w:p>
    <w:p w14:paraId="19A7D3C9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table = [[0, n_01], [n_10, 0]]</w:t>
      </w:r>
    </w:p>
    <w:p w14:paraId="72F4F50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return chi2_contingency(table, correction=True).pvalue</w:t>
      </w:r>
    </w:p>
    <w:p w14:paraId="10AD3863">
      <w:pPr>
        <w:pStyle w:val="5"/>
        <w:keepNext/>
        <w:outlineLvl w:val="9"/>
      </w:pPr>
      <w:r>
        <w:t xml:space="preserve"> 6.5.2 Bootstrap 置信区间</w:t>
      </w:r>
    </w:p>
    <w:p w14:paraId="136567B9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对结果进行 </w:t>
      </w:r>
      <w:r>
        <w:rPr>
          <w:rFonts w:ascii="Consolas" w:hAnsi="Consolas" w:eastAsia="Consolas" w:cs="Consolas"/>
          <w:b w:val="0"/>
          <w:bCs w:val="0"/>
          <w:i/>
          <w:iCs/>
          <w:color w:val="884400"/>
          <w:sz w:val="20"/>
          <w:szCs w:val="20"/>
        </w:rPr>
        <w:t>B=10,000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 xml:space="preserve"> 次重采样，计算每个 bootstrap 样本的均值：</w:t>
      </w:r>
    </w:p>
    <w:p w14:paraId="6AA630AD">
      <w:pPr>
        <w:spacing w:after="120" w:line="240" w:lineRule="auto"/>
        <w:jc w:val="center"/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lower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=</m:t>
          </m:r>
          <m:sSubSup>
            <m:sSubSupPr>
              <m:ctrlPr>
                <w:rPr>
                  <w:rFonts w:hint="default" w:ascii="Cambria Math" w:hAnsi="Cambria Math" w:eastAsia="Consolas"/>
                  <w:sz w:val="20"/>
                </w:rPr>
              </m:ctrlPr>
            </m:sSubSup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(α/2)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(boot)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p>
          </m:sSubSup>
          <m:r>
            <m:rPr/>
            <w:rPr>
              <w:rFonts w:hint="default" w:ascii="Cambria Math" w:hAnsi="Cambria Math" w:eastAsia="Consolas"/>
              <w:sz w:val="20"/>
            </w:rPr>
            <m:t>, </m:t>
          </m:r>
          <m:sSub>
            <m:sSubPr>
              <m:ctrlPr>
                <w:rPr>
                  <w:rFonts w:hint="default" w:ascii="Cambria Math" w:hAnsi="Cambria Math" w:eastAsia="Consolas"/>
                  <w:sz w:val="20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upper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0"/>
            </w:rPr>
            <m:t>=</m:t>
          </m:r>
          <m:sSubSup>
            <m:sSubSupPr>
              <m:ctrlPr>
                <w:rPr>
                  <w:rFonts w:hint="default" w:ascii="Cambria Math" w:hAnsi="Cambria Math" w:eastAsia="Consolas"/>
                  <w:sz w:val="20"/>
                </w:rPr>
              </m:ctrlPr>
            </m:sSubSup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0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0"/>
                    </w:rPr>
                    <m:t>θ</m:t>
                  </m:r>
                  <m:ctrlPr>
                    <w:rPr>
                      <w:rFonts w:ascii="Cambria Math" w:hAnsi="Cambria Math" w:eastAsia="Consolas"/>
                      <w:sz w:val="20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0"/>
                </w:rPr>
                <m:t>(1−α/2)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Consolas"/>
                  <w:sz w:val="20"/>
                </w:rPr>
                <m:t>(boot)</m:t>
              </m:r>
              <m:ctrlPr>
                <w:rPr>
                  <w:rFonts w:hint="default" w:ascii="Cambria Math" w:hAnsi="Cambria Math" w:eastAsia="Consolas"/>
                  <w:sz w:val="20"/>
                </w:rPr>
              </m:ctrlPr>
            </m:sup>
          </m:sSubSup>
        </m:oMath>
      </m:oMathPara>
    </w:p>
    <w:p w14:paraId="41185169">
      <w:pPr>
        <w:spacing w:after="120" w:line="276" w:lineRule="auto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</w:rPr>
        <w:t>如果两个模型的置信区间不重叠，说明差异显著。</w:t>
      </w:r>
    </w:p>
    <w:p w14:paraId="43F7B53A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7" w:name="_Toc10224"/>
      <w:r>
        <w:rPr>
          <w:rFonts w:hint="eastAsia"/>
          <w:lang w:eastAsia="zh-CN"/>
        </w:rPr>
        <w:t xml:space="preserve">6.6 </w:t>
      </w:r>
      <w:r>
        <w:t>局限性分析</w:t>
      </w:r>
      <w:bookmarkEnd w:id="27"/>
    </w:p>
    <w:p w14:paraId="1E1B8BFF">
      <w:pPr>
        <w:pStyle w:val="5"/>
        <w:keepNext/>
        <w:outlineLvl w:val="9"/>
      </w:pPr>
      <w:r>
        <w:t xml:space="preserve"> 6.6.1 Benchmark 污染</w:t>
      </w:r>
    </w:p>
    <w:p w14:paraId="13772D41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数学表达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：假设模型在训练中见过测试样本</w:t>
      </w:r>
      <m:oMath>
        <m:r>
          <w:rPr>
            <w:rFonts w:ascii="Times New Roman" w:hAnsi="Times New Roman" w:eastAsia="宋体" w:cs="Times New Roman"/>
            <w:sz w:val="24"/>
            <w:szCs w:val="24"/>
          </w:rPr>
          <m:t>(x,</m:t>
        </m:r>
        <m:sSup>
          <m:sSupP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SupPr>
          <m:e>
            <m:r>
              <w:rPr>
                <w:rFonts w:ascii="Times New Roman" w:hAnsi="Times New Roman" w:eastAsia="宋体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e>
          <m:sup>
            <m:r>
              <w:rPr>
                <w:rFonts w:ascii="Times New Roman" w:hAnsi="Times New Roman" w:eastAsia="宋体" w:cs="Times New Roman"/>
                <w:sz w:val="24"/>
                <w:szCs w:val="24"/>
              </w:rPr>
              <m:t>∗</m:t>
            </m:r>
            <m:ctrlPr>
              <w:rPr>
                <w:rFonts w:ascii="Cambria Math" w:hAnsi="Cambria Math" w:eastAsia="宋体" w:cs="Times New Roman"/>
                <w:sz w:val="24"/>
                <w:szCs w:val="24"/>
              </w:rPr>
            </m:ctrlPr>
          </m:sup>
        </m:sSup>
        <m:r>
          <w:rPr>
            <w:rFonts w:ascii="Times New Roman" w:hAnsi="Times New Roman" w:eastAsia="宋体" w:cs="Times New Roman"/>
            <w:sz w:val="24"/>
            <w:szCs w:val="24"/>
          </w:rPr>
          <m:t>)</m:t>
        </m:r>
      </m:oMath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，其条件概率不再反映泛化能力：</w:t>
      </w:r>
    </w:p>
    <w:p w14:paraId="5FDA13DD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m:oMathPara>
        <m:oMath>
          <m:r>
            <w:rPr>
              <w:rFonts w:ascii="Times New Roman" w:hAnsi="Times New Roman" w:eastAsia="宋体" w:cs="Times New Roman"/>
              <w:sz w:val="24"/>
              <w:szCs w:val="24"/>
            </w:rPr>
            <m:t>P(y|x;θ)→1 不是因为推理，而是因为记忆</m:t>
          </m:r>
        </m:oMath>
      </m:oMathPara>
    </w:p>
    <w:p w14:paraId="0A37052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检出方法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：13-gram 重叠检查、perplexity 异常检测。</w:t>
      </w:r>
    </w:p>
    <w:p w14:paraId="5B197B6B">
      <w:pPr>
        <w:pStyle w:val="5"/>
        <w:keepNext/>
        <w:outlineLvl w:val="9"/>
      </w:pPr>
      <w:r>
        <w:t xml:space="preserve"> 6.6.2 辛普森悖论</w:t>
      </w:r>
    </w:p>
    <w:p w14:paraId="60990BA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聚合数据中的趋势可能在子分组中反转：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5BC61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E2E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学科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A42C4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模型 A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179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模型 B</w:t>
            </w:r>
          </w:p>
        </w:tc>
      </w:tr>
      <w:tr w14:paraId="64ABD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4805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物理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69FC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90/100 (90%)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37C5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80/100 (80%)</w:t>
            </w:r>
          </w:p>
        </w:tc>
      </w:tr>
      <w:tr w14:paraId="70C53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ACA9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法律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F466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10/100 (10%)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EE60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5/50 (10%)</w:t>
            </w:r>
          </w:p>
        </w:tc>
      </w:tr>
      <w:tr w14:paraId="08080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3EAE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总计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1F4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100/200 (50%)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B318A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85/150 (56.7%)</w:t>
            </w:r>
          </w:p>
        </w:tc>
      </w:tr>
    </w:tbl>
    <w:p w14:paraId="5F996851">
      <w:pPr>
        <w:spacing w:after="120"/>
      </w:pPr>
    </w:p>
    <w:p w14:paraId="6EB9FAB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模型 A 在物理和法律上都不差于模型 B，但总准确率低于 B——因为 A 的法律样本量大两倍，拖低了加权均值。</w:t>
      </w:r>
    </w:p>
    <w:p w14:paraId="09698283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🔗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详见《Evaluation Harness 技术深度解析》第 8 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：所有局限性（污染、评估维度有限、评估模式不一致、聚合信息损失、反转现象、可复现性危机）的详细分析和应对方案。</w:t>
      </w:r>
    </w:p>
    <w:p w14:paraId="3E6FFEBF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8" w:name="_Toc20097"/>
      <w:r>
        <w:rPr>
          <w:rFonts w:hint="eastAsia"/>
          <w:lang w:eastAsia="zh-CN"/>
        </w:rPr>
        <w:t xml:space="preserve">7. </w:t>
      </w:r>
      <w:r>
        <w:t>综合案例分析：微调 → 对齐 → 评估 端到端管线</w:t>
      </w:r>
      <w:bookmarkEnd w:id="28"/>
    </w:p>
    <w:p w14:paraId="2C9CAD76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9" w:name="_Toc3569"/>
      <w:r>
        <w:rPr>
          <w:rFonts w:hint="eastAsia"/>
          <w:lang w:eastAsia="zh-CN"/>
        </w:rPr>
        <w:t xml:space="preserve">7.1 </w:t>
      </w:r>
      <w:r>
        <w:t>案例场景</w:t>
      </w:r>
      <w:bookmarkEnd w:id="29"/>
    </w:p>
    <w:p w14:paraId="705EE98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假设我们有一个 7B 基座模型，目标是训练一个能进行数学推理和安全对话的助手。完整的 Post-Training 管线如下：</w:t>
      </w:r>
    </w:p>
    <w:p w14:paraId="219703ED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0" w:name="_Toc27361"/>
      <w:r>
        <w:rPr>
          <w:rFonts w:hint="eastAsia"/>
          <w:lang w:eastAsia="zh-CN"/>
        </w:rPr>
        <w:t xml:space="preserve">7.2 </w:t>
      </w:r>
      <w:r>
        <w:t>阶段一：SFT（LoRA 微调）</w:t>
      </w:r>
      <w:bookmarkEnd w:id="30"/>
    </w:p>
    <w:p w14:paraId="17B817F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from peft import LoraConfig, get_peft_model</w:t>
      </w:r>
    </w:p>
    <w:p w14:paraId="6B295522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from trl import SFTTrainer</w:t>
      </w:r>
    </w:p>
    <w:p w14:paraId="72633659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58B0C7BE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model = AutoModelForCausalLM.from_pretrained("Qwen/Qwen2.5-7B")</w:t>
      </w:r>
    </w:p>
    <w:p w14:paraId="0EC85619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lora_config = LoraConfig(r=8, target_modules=["q_proj", "v_proj"])</w:t>
      </w:r>
    </w:p>
    <w:p w14:paraId="53AD576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model = get_peft_model(model, lora_config)</w:t>
      </w:r>
    </w:p>
    <w:p w14:paraId="2CA1BE3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5EF8F33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trainer = SFTTrainer(</w:t>
      </w:r>
    </w:p>
    <w:p w14:paraId="6A5F1BF8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model=model,</w:t>
      </w:r>
    </w:p>
    <w:p w14:paraId="07AC866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train_dataset=sft_data,     # 数学推理 + 通用对话</w:t>
      </w:r>
    </w:p>
    <w:p w14:paraId="0D969226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args=TrainingArguments(learning_rate=2e-4, num_train_epochs=3),</w:t>
      </w:r>
    </w:p>
    <w:p w14:paraId="51809985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)</w:t>
      </w:r>
    </w:p>
    <w:p w14:paraId="5AD09B9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trainer.train()</w:t>
      </w:r>
    </w:p>
    <w:p w14:paraId="0EA1387B">
      <w:pPr>
        <w:spacing w:after="120"/>
      </w:pPr>
    </w:p>
    <w:p w14:paraId="25C7900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目标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：让模型学会基本的指令遵循和数学解题格式。</w:t>
      </w:r>
    </w:p>
    <w:p w14:paraId="2A0EA394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1" w:name="_Toc9283"/>
      <w:r>
        <w:rPr>
          <w:rFonts w:hint="eastAsia"/>
          <w:lang w:eastAsia="zh-CN"/>
        </w:rPr>
        <w:t xml:space="preserve">7.3 </w:t>
      </w:r>
      <w:r>
        <w:t>阶段二：DPO（偏好对齐）</w:t>
      </w:r>
      <w:bookmarkEnd w:id="31"/>
    </w:p>
    <w:p w14:paraId="606BD8E1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from trl import DPOTrainer</w:t>
      </w:r>
    </w:p>
    <w:p w14:paraId="1E62CEE2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</w:t>
      </w:r>
    </w:p>
    <w:p w14:paraId="17033D6F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dpo_trainer = DPOTrainer(</w:t>
      </w:r>
    </w:p>
    <w:p w14:paraId="713BDA2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model=model, ref_model=ref_model,</w:t>
      </w:r>
    </w:p>
    <w:p w14:paraId="22520812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train_dataset=preference_data,   # HH-RLHF + 安全偏好</w:t>
      </w:r>
    </w:p>
    <w:p w14:paraId="28629063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  args=DPOConfig(beta=0.1, learning_rate=5e-6),</w:t>
      </w:r>
    </w:p>
    <w:p w14:paraId="43BDC5E6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)</w:t>
      </w:r>
    </w:p>
    <w:p w14:paraId="71D200A8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dpo_trainer.train()</w:t>
      </w:r>
    </w:p>
    <w:p w14:paraId="66DE5C57">
      <w:pPr>
        <w:spacing w:after="120"/>
      </w:pPr>
    </w:p>
    <w:p w14:paraId="42C1D33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目标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：让模型学会拒绝有害请求、提供更有帮助的回答。</w:t>
      </w:r>
    </w:p>
    <w:p w14:paraId="203D227D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2" w:name="_Toc25021"/>
      <w:r>
        <w:rPr>
          <w:rFonts w:hint="eastAsia"/>
          <w:lang w:eastAsia="zh-CN"/>
        </w:rPr>
        <w:t xml:space="preserve">7.4 </w:t>
      </w:r>
      <w:r>
        <w:t>阶段三：GRPO（推理增强，可选）</w:t>
      </w:r>
      <w:bookmarkEnd w:id="32"/>
    </w:p>
    <w:p w14:paraId="1F1641F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如果数学推理能力仍不足，在数学题上做 GRPO（需可验证的奖励信号）。</w:t>
      </w:r>
    </w:p>
    <w:p w14:paraId="47C60FB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目标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：增强模型的数学推理链生成能力。</w:t>
      </w:r>
    </w:p>
    <w:p w14:paraId="1C777E3B">
      <w:pPr>
        <w:pStyle w:val="4"/>
        <w:keepNext/>
        <w:pageBreakBefore/>
        <w:numPr>
          <w:numId w:val="0"/>
        </w:numPr>
        <w:ind w:leftChars="0"/>
        <w:rPr>
          <w:b w:val="0"/>
          <w:bdr w:val="none" w:sz="0" w:space="0"/>
        </w:rPr>
      </w:pPr>
      <w:bookmarkStart w:id="33" w:name="_Toc7654"/>
      <w:r>
        <w:rPr>
          <w:rFonts w:hint="eastAsia"/>
          <w:lang w:eastAsia="zh-CN"/>
        </w:rPr>
        <w:t xml:space="preserve">7.5 </w:t>
      </w:r>
      <w:r>
        <w:t>阶段四：系统评估</w:t>
      </w:r>
      <w:bookmarkEnd w:id="33"/>
    </w:p>
    <w:p w14:paraId="7F1CB0A8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>lm_eval --model hf --model_args pretrained=./final_model \</w:t>
      </w:r>
    </w:p>
    <w:p w14:paraId="045A7C1B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--tasks "mmlu,gsm8k,hellaswag,truthfulqa" \</w:t>
      </w:r>
    </w:p>
    <w:p w14:paraId="1B03670D">
      <w:pPr>
        <w:shd w:val="clear" w:fill="F5F5F5"/>
        <w:spacing w:after="0" w:line="240" w:lineRule="auto"/>
        <w:ind w:left="360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333333"/>
          <w:sz w:val="18"/>
          <w:szCs w:val="18"/>
        </w:rPr>
        <w:t xml:space="preserve">  --num_fewshot 5 --seed 42 --log_samples</w:t>
      </w:r>
    </w:p>
    <w:p w14:paraId="2937200D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4" w:name="_Toc14165"/>
      <w:r>
        <w:rPr>
          <w:rFonts w:hint="eastAsia"/>
          <w:lang w:eastAsia="zh-CN"/>
        </w:rPr>
        <w:t xml:space="preserve">7.6 </w:t>
      </w:r>
      <w:r>
        <w:t>迭代决策树</w:t>
      </w:r>
      <w:bookmarkEnd w:id="34"/>
    </w:p>
    <w:p w14:paraId="59722D0C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评估结果</w:t>
      </w:r>
    </w:p>
    <w:p w14:paraId="5D30E7B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</w:t>
      </w:r>
    </w:p>
    <w:p w14:paraId="2343CE1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├── MMLU ↓ &gt; 3% → 通用数据回放（在微调数据中混入 5-10% 通用 SFT 数据）</w:t>
      </w:r>
    </w:p>
    <w:p w14:paraId="35E81C3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</w:t>
      </w:r>
    </w:p>
    <w:p w14:paraId="5B79FA7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├── GSM8K &lt; 50% → 补充数学 SFT 数据 / GRPO 增强</w:t>
      </w:r>
    </w:p>
    <w:p w14:paraId="28A080B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</w:t>
      </w:r>
    </w:p>
    <w:p w14:paraId="401EC34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├── TruthfulQA &lt; 50% → 补充诚实性偏好数据 → 迭代 DPO</w:t>
      </w:r>
    </w:p>
    <w:p w14:paraId="42870378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</w:t>
      </w:r>
    </w:p>
    <w:p w14:paraId="292A390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└── HellaSwag 正常 → 常识推理保持良好 ✓</w:t>
      </w:r>
    </w:p>
    <w:p w14:paraId="197D42E7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5" w:name="_Toc15928"/>
      <w:r>
        <w:rPr>
          <w:rFonts w:hint="eastAsia"/>
          <w:lang w:eastAsia="zh-CN"/>
        </w:rPr>
        <w:t xml:space="preserve">8. </w:t>
      </w:r>
      <w:r>
        <w:t>方法对比与总结</w:t>
      </w:r>
      <w:bookmarkEnd w:id="35"/>
    </w:p>
    <w:p w14:paraId="1E88D601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6" w:name="_Toc14637"/>
      <w:r>
        <w:rPr>
          <w:rFonts w:hint="eastAsia"/>
          <w:lang w:eastAsia="zh-CN"/>
        </w:rPr>
        <w:t xml:space="preserve">8.1 </w:t>
      </w:r>
      <w:r>
        <w:t>按目标选型决策树</w:t>
      </w:r>
      <w:bookmarkEnd w:id="36"/>
    </w:p>
    <w:p w14:paraId="1B4B80E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你想优化什么？</w:t>
      </w:r>
    </w:p>
    <w:p w14:paraId="213E1F54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</w:t>
      </w:r>
    </w:p>
    <w:p w14:paraId="6A44715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├── 对齐（Helpfulness + Harmlessness）</w:t>
      </w:r>
    </w:p>
    <w:p w14:paraId="52E03E8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   ├── 有大量 GPU（4×A100）→ RLHF (PPO)</w:t>
      </w:r>
    </w:p>
    <w:p w14:paraId="4C19803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   ├── 有限 GPU + 有偏好数据 → DPO</w:t>
      </w:r>
    </w:p>
    <w:p w14:paraId="25295292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   ├── 无人类数据但有强 AI API → RLAIF</w:t>
      </w:r>
    </w:p>
    <w:p w14:paraId="67BF51AA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   └── 需要可审计的价值观 → Constitutional AI</w:t>
      </w:r>
    </w:p>
    <w:p w14:paraId="116C6BF1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</w:t>
      </w:r>
    </w:p>
    <w:p w14:paraId="1B434CB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├── 推理（Reasoning）</w:t>
      </w:r>
    </w:p>
    <w:p w14:paraId="4DAF9767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   ├── 有可验证奖励 → GRPO</w:t>
      </w:r>
    </w:p>
    <w:p w14:paraId="0558C91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   └── 无可验证奖励 → DPO on 推理偏好数据</w:t>
      </w:r>
    </w:p>
    <w:p w14:paraId="34A095C5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│</w:t>
      </w:r>
    </w:p>
    <w:p w14:paraId="03E5E79F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└── 显存极度有限（单卡 RTX 3090）</w:t>
      </w:r>
    </w:p>
    <w:p w14:paraId="0327E113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├── QLoRA + DPO（7B 模型仅 ~8GB 训练显存）</w:t>
      </w:r>
    </w:p>
    <w:p w14:paraId="49240ECE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333333"/>
          <w:sz w:val="24"/>
          <w:szCs w:val="24"/>
        </w:rPr>
        <w:t>└── ORPO/SimPO（无需参考模型，更省）</w:t>
      </w:r>
    </w:p>
    <w:p w14:paraId="710E280B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7" w:name="_Toc15844"/>
      <w:r>
        <w:rPr>
          <w:rFonts w:hint="eastAsia"/>
          <w:lang w:eastAsia="zh-CN"/>
        </w:rPr>
        <w:t xml:space="preserve">8.2 </w:t>
      </w:r>
      <w:r>
        <w:t>核心方法一句话总结</w:t>
      </w:r>
      <w:bookmarkEnd w:id="37"/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2C9EA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14C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86965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一句话总结</w:t>
            </w:r>
          </w:p>
        </w:tc>
      </w:tr>
      <w:tr w14:paraId="2BA79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F082D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SFT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8D29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教会模型"回答问题"——Post-Training 的起点，不是终点</w:t>
            </w:r>
          </w:p>
        </w:tc>
      </w:tr>
      <w:tr w14:paraId="0F6D4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C3CB0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Full FT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11E8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更新所有参数——适应能力最强，但显存和遗忘风险最高</w:t>
            </w:r>
          </w:p>
        </w:tc>
      </w:tr>
      <w:tr w14:paraId="4660F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919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LoRA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F81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用低秩矩阵 </w:t>
            </w:r>
            <w:r>
              <w:rPr>
                <w:rFonts w:ascii="Consolas" w:hAnsi="Consolas" w:eastAsia="Consolas" w:cs="Consolas"/>
                <w:b w:val="0"/>
                <w:bCs w:val="0"/>
                <w:i/>
                <w:iCs/>
                <w:color w:val="884400"/>
                <w:sz w:val="20"/>
                <w:szCs w:val="20"/>
              </w:rPr>
              <w:t>BA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 xml:space="preserve"> 参数化更新——效果接近 Full FT，显存仅 1/7</w:t>
            </w:r>
          </w:p>
        </w:tc>
      </w:tr>
      <w:tr w14:paraId="78E8D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E8FC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QLoRA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D32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4-bit 量化 + LoRA——65B 模型在消费级显卡上微调</w:t>
            </w:r>
          </w:p>
        </w:tc>
      </w:tr>
      <w:tr w14:paraId="7E017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569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RLHF (PPO)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E55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训练裁判（RM）+ 用 PPO 优化选手——经典但极其复杂</w:t>
            </w:r>
          </w:p>
        </w:tc>
      </w:tr>
      <w:tr w14:paraId="1198C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416D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DPO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F8FC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省掉裁判和 RL，直接从"哪个更好"中学习——简单稳定</w:t>
            </w:r>
          </w:p>
        </w:tc>
      </w:tr>
      <w:tr w14:paraId="69C10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34C17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GRPO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F062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组内比较 + 可验证硬奖励——专攻推理，不需要人类</w:t>
            </w:r>
          </w:p>
        </w:tc>
      </w:tr>
      <w:tr w14:paraId="4F292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4D089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lm-eval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5DC6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200+ 标准化评估任务——让评估可复现、可比、可信</w:t>
            </w:r>
          </w:p>
        </w:tc>
      </w:tr>
    </w:tbl>
    <w:p w14:paraId="0629CA87">
      <w:pPr>
        <w:pStyle w:val="4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38" w:name="_Toc8624"/>
      <w:r>
        <w:rPr>
          <w:rFonts w:hint="eastAsia"/>
          <w:lang w:eastAsia="zh-CN"/>
        </w:rPr>
        <w:t xml:space="preserve">8.3 </w:t>
      </w:r>
      <w:r>
        <w:t>发展趋势</w:t>
      </w:r>
      <w:bookmarkEnd w:id="38"/>
    </w:p>
    <w:p w14:paraId="6E02C1E9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15.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从复杂到简化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：RLHF（4 模型）→ DPO（2 模型）→ ORPO/SimPO（1 模型）</w:t>
      </w:r>
    </w:p>
    <w:p w14:paraId="0F6E6B36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16.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从人类到 AI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：人类标注 → RLAIF → 可验证奖励（不需人或 AI 标注）</w:t>
      </w:r>
    </w:p>
    <w:p w14:paraId="518BF7E1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17.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从通用到专业化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：GRPO 专攻推理，Constitutional AI 专攻安全</w:t>
      </w:r>
    </w:p>
    <w:p w14:paraId="188B50CB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18.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从静态到动态评估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：LiveBench 等动态基准从根源上解决数据污染</w:t>
      </w:r>
    </w:p>
    <w:p w14:paraId="7B1DC2EC">
      <w:pPr>
        <w:pStyle w:val="12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19.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可验证奖励的崛起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：对于有客观答案的任务，可验证奖励比人类偏好更精确、更便宜</w:t>
      </w:r>
    </w:p>
    <w:p w14:paraId="3249C8D7">
      <w:r>
        <w:br w:type="page"/>
      </w:r>
    </w:p>
    <w:p w14:paraId="1923EB29">
      <w:pPr>
        <w:pStyle w:val="30"/>
        <w:pageBreakBefore/>
      </w:pPr>
      <w:bookmarkStart w:id="39" w:name="_Toc26727"/>
      <w:r>
        <w:t>9. 参考文献</w:t>
      </w:r>
      <w:bookmarkEnd w:id="39"/>
    </w:p>
    <w:p w14:paraId="5956E38E">
      <w:pPr>
        <w:pStyle w:val="4"/>
        <w:keepNext/>
        <w:outlineLvl w:val="9"/>
      </w:pPr>
      <w:r>
        <w:t>核心论文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5349D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6547F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#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19E2E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论文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6B6B8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年份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649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主题</w:t>
            </w:r>
          </w:p>
        </w:tc>
      </w:tr>
      <w:tr w14:paraId="7D95D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ECF9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9A10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Ouyang et al., *Training language models to follow instructions with human feedback*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2CF9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42B5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RLHF / InstructGPT</w:t>
            </w:r>
          </w:p>
        </w:tc>
      </w:tr>
      <w:tr w14:paraId="7F453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7917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ADF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Rafailov et al., *Direct Preference Optimization*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BCF5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8DA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DPO</w:t>
            </w:r>
          </w:p>
        </w:tc>
      </w:tr>
      <w:tr w14:paraId="05CF8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FB98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C412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DeepSeek-AI, *DeepSeek-R1: Incentivizing Reasoning Capability in LLMs via RL*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D148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CEBB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GRPO / 推理对齐</w:t>
            </w:r>
          </w:p>
        </w:tc>
      </w:tr>
      <w:tr w14:paraId="2281E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43ED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D06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Bai et al., *Constitutional AI: Harmlessness from AI Feedback*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B177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41441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宪法 AI</w:t>
            </w:r>
          </w:p>
        </w:tc>
      </w:tr>
      <w:tr w14:paraId="71ED1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CD3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A879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Lee et al., *RLAIF: Scaling RLHF with AI Feedback*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BF70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84AE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RLAIF</w:t>
            </w:r>
          </w:p>
        </w:tc>
      </w:tr>
      <w:tr w14:paraId="5D05C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D3C1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8DA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Hu et al., *LoRA: Low-Rank Adaptation of Large Language Models*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B42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4A47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参数高效微调</w:t>
            </w:r>
          </w:p>
        </w:tc>
      </w:tr>
      <w:tr w14:paraId="730C2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A29F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E96A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Dettmers et al., *QLoRA: Efficient Finetuning of Quantized Language Models*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6FF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FDDB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量化微调</w:t>
            </w:r>
          </w:p>
        </w:tc>
      </w:tr>
      <w:tr w14:paraId="4E3AC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9608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F985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Taori et al., *Alpaca: A Strong, Replicable Instruction-Following Model*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DF72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3A8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/ Self-Instruct</w:t>
            </w:r>
          </w:p>
        </w:tc>
      </w:tr>
      <w:tr w14:paraId="4163B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3775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82E1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Hendrycks et al., *Measuring Massive Multitask Language Understanding* (MMLU)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4BB4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2020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1305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评估基准</w:t>
            </w:r>
          </w:p>
        </w:tc>
      </w:tr>
      <w:tr w14:paraId="69329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CBA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2A8E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Cobbe et al., *Training Verifiers to Solve Math Word Problems* (GSM8K)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4C2E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552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评估基准</w:t>
            </w:r>
          </w:p>
        </w:tc>
      </w:tr>
      <w:tr w14:paraId="20B10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A7B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11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2367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Gao et al., *A Framework for Few-Shot Language Model Evaluation*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CD8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A87B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评估框架</w:t>
            </w:r>
          </w:p>
        </w:tc>
      </w:tr>
      <w:tr w14:paraId="08ED2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B2E8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12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FC3F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Hong et al., *ORPO: Monolithic Preference Optimization without Reference Model*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76259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3928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DPO 变体</w:t>
            </w:r>
          </w:p>
        </w:tc>
      </w:tr>
      <w:tr w14:paraId="1528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49A0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13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F3DB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Meng et al., *SimPO: Simple Preference Optimization with a Reference-Free Reward*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9C4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EA3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DPO 变体</w:t>
            </w:r>
          </w:p>
        </w:tc>
      </w:tr>
      <w:tr w14:paraId="75D60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41F5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14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F410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Liu et al., *DoRA: Weight-Decomposed Low-Rank Adaptation*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28FC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CC113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LoRA 改进</w:t>
            </w:r>
          </w:p>
        </w:tc>
      </w:tr>
      <w:tr w14:paraId="5B32D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297B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15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A300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Meng et al., *PiSSA: Principal Singular Values and Singular Vectors Adaptation*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E706B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7587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LoRA 改进</w:t>
            </w:r>
          </w:p>
        </w:tc>
      </w:tr>
    </w:tbl>
    <w:p w14:paraId="46AD966B">
      <w:pPr>
        <w:pStyle w:val="4"/>
        <w:keepNext/>
        <w:outlineLvl w:val="9"/>
      </w:pPr>
      <w:r>
        <w:t>核心开源项目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76615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A00F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项目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D83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维护方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3F4FB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用途</w:t>
            </w:r>
          </w:p>
        </w:tc>
      </w:tr>
      <w:tr w14:paraId="1153C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3B6C5">
            <w:pPr>
              <w:spacing w:after="40"/>
            </w:pPr>
            <w:r>
              <w:fldChar w:fldCharType="begin"/>
            </w:r>
            <w:r>
              <w:instrText xml:space="preserve"> HYPERLINK "https://github.com/EleutherAI/lm-evaluation-harness" </w:instrText>
            </w:r>
            <w:r>
              <w:fldChar w:fldCharType="separate"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t>lm-evaluation-harness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fldChar w:fldCharType="end"/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88F3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EleutherAI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B2A0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标准化评估框架</w:t>
            </w:r>
          </w:p>
        </w:tc>
      </w:tr>
      <w:tr w14:paraId="083FF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C707F">
            <w:pPr>
              <w:spacing w:after="40"/>
            </w:pPr>
            <w:r>
              <w:fldChar w:fldCharType="begin"/>
            </w:r>
            <w:r>
              <w:instrText xml:space="preserve"> HYPERLINK "https://github.com/huggingface/peft" </w:instrText>
            </w:r>
            <w:r>
              <w:fldChar w:fldCharType="separate"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t>PEFT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fldChar w:fldCharType="end"/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073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HuggingFace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53C1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LoRA / QLoRA / DoRA</w:t>
            </w:r>
          </w:p>
        </w:tc>
      </w:tr>
      <w:tr w14:paraId="4D07D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0096E">
            <w:pPr>
              <w:spacing w:after="40"/>
            </w:pPr>
            <w:r>
              <w:fldChar w:fldCharType="begin"/>
            </w:r>
            <w:r>
              <w:instrText xml:space="preserve"> HYPERLINK "https://github.com/huggingface/trl" </w:instrText>
            </w:r>
            <w:r>
              <w:fldChar w:fldCharType="separate"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t>TRL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fldChar w:fldCharType="end"/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E266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HuggingFace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7B0CF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/ DPO / PPO Trainer</w:t>
            </w:r>
          </w:p>
        </w:tc>
      </w:tr>
      <w:tr w14:paraId="7CEEF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E6543">
            <w:pPr>
              <w:spacing w:after="40"/>
            </w:pPr>
            <w:r>
              <w:fldChar w:fldCharType="begin"/>
            </w:r>
            <w:r>
              <w:instrText xml:space="preserve"> HYPERLINK "https://github.com/TimDettmers/bitsandbytes" </w:instrText>
            </w:r>
            <w:r>
              <w:fldChar w:fldCharType="separate"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t>BitsAndBytes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fldChar w:fldCharType="end"/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58F98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Tim Dettmers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E8B2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4-bit / 8-bit 量化</w:t>
            </w:r>
          </w:p>
        </w:tc>
      </w:tr>
      <w:tr w14:paraId="6226E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1D84">
            <w:pPr>
              <w:spacing w:after="40"/>
            </w:pPr>
            <w:r>
              <w:fldChar w:fldCharType="begin"/>
            </w:r>
            <w:r>
              <w:instrText xml:space="preserve"> HYPERLINK "https://github.com/hiyouga/LLaMA-Factory" </w:instrText>
            </w:r>
            <w:r>
              <w:fldChar w:fldCharType="separate"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t>LLaMA-Factory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fldChar w:fldCharType="end"/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5F7B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hiyouga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A87FE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一站式微调/对齐平台</w:t>
            </w:r>
          </w:p>
        </w:tc>
      </w:tr>
      <w:tr w14:paraId="1AC79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67DA">
            <w:pPr>
              <w:spacing w:after="40"/>
            </w:pPr>
            <w:r>
              <w:fldChar w:fldCharType="begin"/>
            </w:r>
            <w:r>
              <w:instrText xml:space="preserve"> HYPERLINK "https://github.com/OpenRLHF/OpenRLHF" </w:instrText>
            </w:r>
            <w:r>
              <w:fldChar w:fldCharType="separate"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t>OpenRLHF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fldChar w:fldCharType="end"/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7A7B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OpenRLHF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A132A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分布式 RLHF 训练</w:t>
            </w:r>
          </w:p>
        </w:tc>
      </w:tr>
      <w:tr w14:paraId="31F32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9E9E6">
            <w:pPr>
              <w:spacing w:after="40"/>
            </w:pPr>
            <w:r>
              <w:fldChar w:fldCharType="begin"/>
            </w:r>
            <w:r>
              <w:instrText xml:space="preserve"> HYPERLINK "https://github.com/volcengine/verl" </w:instrText>
            </w:r>
            <w:r>
              <w:fldChar w:fldCharType="separate"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t>veRL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E75B6"/>
                <w:sz w:val="22"/>
                <w:szCs w:val="22"/>
                <w:u w:val="single"/>
              </w:rPr>
              <w:fldChar w:fldCharType="end"/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02F85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字节跳动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D09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高性能 RLHF</w:t>
            </w:r>
          </w:p>
        </w:tc>
      </w:tr>
    </w:tbl>
    <w:p w14:paraId="603B8DE5">
      <w:pPr>
        <w:pStyle w:val="4"/>
        <w:keepNext/>
        <w:outlineLvl w:val="9"/>
      </w:pPr>
      <w:r>
        <w:t>本地参考文档</w:t>
      </w:r>
    </w:p>
    <w:tbl>
      <w:tblPr>
        <w:tblStyle w:val="2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177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0E6FC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文档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1413">
            <w:pPr>
              <w:spacing w:after="40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0"/>
                <w:szCs w:val="20"/>
              </w:rPr>
              <w:t>内容</w:t>
            </w:r>
          </w:p>
        </w:tc>
      </w:tr>
      <w:tr w14:paraId="5D694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0B86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《Evaluation Harness 技术深度解析》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A6A2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评估架构（第 1-2 节）、Benchmark 定义（第 3 节）、Harness 使用（第 5-6 节）、统计检验（第 7 节）、局限性（第 8 节）</w:t>
            </w:r>
          </w:p>
        </w:tc>
      </w:tr>
      <w:tr w14:paraId="45B8D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30A8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《Alignment 技术笔记》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C2DB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SFT 局限（第 1.3 节）、RLHF 三段完整推导（第 3 节）、DPO 数学推导（第 4 节）、GRPO 与 DeepSeek-R1（第 7 节）、评估基准（第 8.4 节）</w:t>
            </w:r>
          </w:p>
        </w:tc>
      </w:tr>
      <w:tr w14:paraId="5C136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9A0A4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《Fine-tuning 技术笔记》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7235C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数学定义（第 1 节）、Full FT vs PEFT（第 4 节）、LoRA 本征维度理论（第 5 节）、QLoRA 量化原理（第 6 节）、Alpaca（第 7 节）、数据格式（第 8 节）、超参数（第 9 节）</w:t>
            </w:r>
          </w:p>
        </w:tc>
      </w:tr>
      <w:tr w14:paraId="50FB2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0EED">
            <w:pPr>
              <w:spacing w:after="40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E75B6"/>
                <w:sz w:val="20"/>
                <w:szCs w:val="20"/>
              </w:rPr>
              <w:t>lm_eval_example_commands.md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6FD57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lm-eval 命令完整参考</w:t>
            </w:r>
          </w:p>
        </w:tc>
      </w:tr>
      <w:tr w14:paraId="60374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D05D">
            <w:pPr>
              <w:spacing w:after="40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E75B6"/>
                <w:sz w:val="20"/>
                <w:szCs w:val="20"/>
              </w:rPr>
              <w:t>tool_usage_examples.md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6DC2D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各工具代码示例</w:t>
            </w:r>
          </w:p>
        </w:tc>
      </w:tr>
      <w:tr w14:paraId="1A487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C3A74">
            <w:pPr>
              <w:spacing w:after="40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E75B6"/>
                <w:sz w:val="20"/>
                <w:szCs w:val="20"/>
              </w:rPr>
              <w:t>references.md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1036">
            <w:pPr>
              <w:spacing w:after="40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完整参考文献列表</w:t>
            </w:r>
          </w:p>
        </w:tc>
      </w:tr>
    </w:tbl>
    <w:p w14:paraId="4DA38C7B">
      <w:pPr>
        <w:spacing w:after="120"/>
      </w:pPr>
    </w:p>
    <w:p w14:paraId="2AF83F74">
      <w:pPr>
        <w:pBdr>
          <w:bottom w:val="single" w:color="CCCCCC" w:sz="6" w:space="1"/>
        </w:pBdr>
        <w:spacing w:before="200" w:after="200"/>
      </w:pPr>
    </w:p>
    <w:p w14:paraId="00CF384E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i w:val="0"/>
          <w:color w:val="000000"/>
          <w:sz w:val="24"/>
          <w:szCs w:val="24"/>
        </w:rPr>
        <w:t>报告终稿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·</w:t>
      </w:r>
    </w:p>
    <w:p w14:paraId="7CA5E246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基于《Fine-tuning 技术笔记》《Alignment 技术笔记》《Evaluation Harness 技术深度解析》三份技术笔记，以及 </w:t>
      </w:r>
      <w:r>
        <w:rPr>
          <w:rFonts w:ascii="Times New Roman" w:hAnsi="Times New Roman" w:eastAsia="宋体" w:cs="Times New Roman"/>
          <w:b w:val="0"/>
          <w:i w:val="0"/>
          <w:color w:val="2E75B6"/>
          <w:sz w:val="24"/>
          <w:szCs w:val="24"/>
        </w:rPr>
        <w:t>lm_eval_example_commands.md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2E75B6"/>
          <w:sz w:val="24"/>
          <w:szCs w:val="24"/>
        </w:rPr>
        <w:t>tool_usage_examples.md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2E75B6"/>
          <w:sz w:val="24"/>
          <w:szCs w:val="24"/>
        </w:rPr>
        <w:t>references.md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 xml:space="preserve"> 三份项目文档。</w:t>
      </w:r>
    </w:p>
    <w:p w14:paraId="6E302E45">
      <w:pPr>
        <w:pBdr>
          <w:left w:val="single" w:color="2E75B6" w:sz="12" w:space="8"/>
        </w:pBdr>
        <w:shd w:val="clear" w:fill="F0F4F8"/>
        <w:spacing w:after="120" w:line="276" w:lineRule="auto"/>
        <w:ind w:left="360"/>
      </w:pPr>
    </w:p>
    <w:p w14:paraId="46B7F0A4">
      <w:pPr>
        <w:pStyle w:val="12"/>
        <w:pBdr>
          <w:left w:val="single" w:color="2E75B6" w:sz="12" w:space="8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  <w:szCs w:val="24"/>
        </w:rPr>
        <w:t>提交 GitHub 仓库 及 小雅平台。</w:t>
      </w: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156F6F">
    <w:pPr>
      <w:jc w:val="center"/>
    </w:pPr>
    <w:r>
      <w:rPr>
        <w:rFonts w:ascii="Arial" w:hAnsi="Arial" w:eastAsia="Arial" w:cs="Arial"/>
        <w:b w:val="0"/>
        <w:bCs w:val="0"/>
        <w:i w:val="0"/>
        <w:iCs w:val="0"/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B69F56">
    <w:pPr>
      <w:jc w:val="center"/>
    </w:pPr>
    <w:r>
      <w:rPr>
        <w:rFonts w:ascii="Arial" w:hAnsi="Arial" w:eastAsia="Arial" w:cs="Arial"/>
        <w:b w:val="0"/>
        <w:bCs w:val="0"/>
        <w:i w:val="0"/>
        <w:iCs w:val="0"/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79E736">
    <w:pPr>
      <w:pBdr>
        <w:bottom w:val="single" w:color="CCCCCC" w:sz="4" w:space="4"/>
      </w:pBdr>
      <w:jc w:val="right"/>
    </w:pPr>
    <w:r>
      <w:rPr>
        <w:rFonts w:ascii="Arial" w:hAnsi="Arial" w:eastAsia="Arial" w:cs="Arial"/>
        <w:b w:val="0"/>
        <w:bCs w:val="0"/>
        <w:i/>
        <w:iCs/>
        <w:color w:val="666666"/>
        <w:sz w:val="18"/>
        <w:szCs w:val="18"/>
      </w:rPr>
      <w:t>大语言模型 Post-Training 技术调研报告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4D1BBA">
    <w:pPr>
      <w:pBdr>
        <w:bottom w:val="single" w:color="CCCCCC" w:sz="4" w:space="4"/>
      </w:pBdr>
      <w:jc w:val="right"/>
    </w:pPr>
    <w:r>
      <w:rPr>
        <w:rFonts w:ascii="Arial" w:hAnsi="Arial" w:eastAsia="Arial" w:cs="Arial"/>
        <w:b w:val="0"/>
        <w:bCs w:val="0"/>
        <w:i/>
        <w:iCs/>
        <w:color w:val="666666"/>
        <w:sz w:val="18"/>
        <w:szCs w:val="18"/>
      </w:rPr>
      <w:t>大语言模型 Post-Training 技术调研报告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2D89A5"/>
    <w:multiLevelType w:val="singleLevel"/>
    <w:tmpl w:val="912D89A5"/>
    <w:lvl w:ilvl="0" w:tentative="0">
      <w:start w:val="1"/>
      <w:numFmt w:val="decimal"/>
      <w:suff w:val="space"/>
      <w:lvlText w:val=""/>
      <w:lvlJc w:val="left"/>
      <w:pPr>
        <w:ind w:left="0" w:firstLine="360"/>
      </w:pPr>
      <w:rPr>
        <w:rFonts w:hint="default"/>
      </w:rPr>
    </w:lvl>
  </w:abstractNum>
  <w:abstractNum w:abstractNumId="1">
    <w:nsid w:val="B6C68280"/>
    <w:multiLevelType w:val="singleLevel"/>
    <w:tmpl w:val="B6C68280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2">
    <w:nsid w:val="D9B0C918"/>
    <w:multiLevelType w:val="singleLevel"/>
    <w:tmpl w:val="D9B0C918"/>
    <w:lvl w:ilvl="0" w:tentative="0">
      <w:start w:val="1"/>
      <w:numFmt w:val="decimal"/>
      <w:suff w:val="space"/>
      <w:lvlText w:val=""/>
      <w:lvlJc w:val="left"/>
      <w:pPr>
        <w:ind w:left="0" w:firstLine="360"/>
      </w:pPr>
      <w:rPr>
        <w:rFonts w:hint="default"/>
      </w:rPr>
    </w:lvl>
  </w:abstractNum>
  <w:abstractNum w:abstractNumId="3">
    <w:nsid w:val="29E761F0"/>
    <w:multiLevelType w:val="singleLevel"/>
    <w:tmpl w:val="29E761F0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4">
    <w:nsid w:val="5C0F5364"/>
    <w:multiLevelType w:val="singleLevel"/>
    <w:tmpl w:val="5C0F5364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5">
    <w:nsid w:val="6B09ED3F"/>
    <w:multiLevelType w:val="singleLevel"/>
    <w:tmpl w:val="6B09ED3F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6">
    <w:nsid w:val="762CEEC3"/>
    <w:multiLevelType w:val="singleLevel"/>
    <w:tmpl w:val="762CEEC3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7">
    <w:nsid w:val="7BA1D9CD"/>
    <w:multiLevelType w:val="singleLevel"/>
    <w:tmpl w:val="7BA1D9CD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6"/>
  </w:num>
  <w:num w:numId="5">
    <w:abstractNumId w:val="5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94B49D9"/>
    <w:rsid w:val="1BB31AB5"/>
    <w:rsid w:val="2CB15C13"/>
    <w:rsid w:val="6406526C"/>
    <w:rsid w:val="6B9616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22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uiPriority w:val="0"/>
    <w:pPr>
      <w:jc w:val="left"/>
    </w:pPr>
  </w:style>
  <w:style w:type="paragraph" w:styleId="12">
    <w:name w:val="Body Text"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3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4">
    <w:name w:val="endnote text"/>
    <w:link w:val="2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5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6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7">
    <w:name w:val="footnote text"/>
    <w:link w:val="2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8">
    <w:name w:val="toc 2"/>
    <w:next w:val="1"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9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0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23">
    <w:name w:val="endnote reference"/>
    <w:semiHidden/>
    <w:unhideWhenUsed/>
    <w:uiPriority w:val="99"/>
    <w:rPr>
      <w:vertAlign w:val="superscript"/>
    </w:rPr>
  </w:style>
  <w:style w:type="character" w:styleId="24">
    <w:name w:val="Hyperlink"/>
    <w:unhideWhenUsed/>
    <w:uiPriority w:val="99"/>
    <w:rPr>
      <w:color w:val="0563C1"/>
      <w:u w:val="single"/>
    </w:rPr>
  </w:style>
  <w:style w:type="character" w:styleId="25">
    <w:name w:val="footnote reference"/>
    <w:semiHidden/>
    <w:unhideWhenUsed/>
    <w:uiPriority w:val="99"/>
    <w:rPr>
      <w:vertAlign w:val="superscript"/>
    </w:rPr>
  </w:style>
  <w:style w:type="paragraph" w:styleId="2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27">
    <w:name w:val="Footnote Text Char"/>
    <w:link w:val="17"/>
    <w:semiHidden/>
    <w:unhideWhenUsed/>
    <w:uiPriority w:val="99"/>
    <w:rPr>
      <w:sz w:val="20"/>
      <w:szCs w:val="20"/>
    </w:rPr>
  </w:style>
  <w:style w:type="character" w:customStyle="1" w:styleId="28">
    <w:name w:val="Endnote Text Char"/>
    <w:link w:val="14"/>
    <w:semiHidden/>
    <w:unhideWhenUsed/>
    <w:uiPriority w:val="99"/>
    <w:rPr>
      <w:sz w:val="20"/>
      <w:szCs w:val="20"/>
    </w:rPr>
  </w:style>
  <w:style w:type="paragraph" w:customStyle="1" w:styleId="29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  <w:style w:type="paragraph" w:customStyle="1" w:styleId="30">
    <w:name w:val="参考文献标题"/>
    <w:next w:val="1"/>
    <w:uiPriority w:val="0"/>
    <w:pPr>
      <w:keepNext w:val="0"/>
      <w:keepLines w:val="0"/>
      <w:widowControl w:val="0"/>
      <w:adjustRightInd w:val="0"/>
      <w:spacing w:beforeLines="100" w:afterLines="100" w:line="240" w:lineRule="auto"/>
      <w:jc w:val="center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42</Pages>
  <Words>2584</Words>
  <Characters>4687</Characters>
  <TotalTime>0</TotalTime>
  <ScaleCrop>false</ScaleCrop>
  <LinksUpToDate>false</LinksUpToDate>
  <CharactersWithSpaces>5722</CharactersWithSpaces>
  <Application>WPS Office_12.1.0.26373_F1E327BC-269C-435d-A152-05C5408002CA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2026-06-13T11:55:00Z</dcterms:created>
  <dc:creator>Un-named</dc:creator>
  <cp:lastModifiedBy>胡亚鑫</cp:lastModifiedBy>
  <dcterms:modified xsi:type="dcterms:W3CDTF">2026-06-13T12:36:32Z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eyJoZGlkIjoiZDQ2ZmI5NzMyYTRiZGZmNjQzYWFlMWQ5ZWQ5MjlmZjEiLCJ1c2VySWQiOiIxNzI1NDgwOTEyIn0=</vt:lpwstr>
  </property>
  <property fmtid="{D5CDD505-2E9C-101B-9397-08002B2CF9AE}" pid="3" name="KSOProductBuildVer">
    <vt:lpwstr>2052-12.1.0.26373</vt:lpwstr>
  </property>
  <property fmtid="{D5CDD505-2E9C-101B-9397-08002B2CF9AE}" pid="4" name="ICV">
    <vt:lpwstr>FD2CD5FA7C704D88800A649B48939BB8_12</vt:lpwstr>
  </property>
</Properties>
</file>