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89441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Lines="100" w:after="50" w:line="360" w:lineRule="auto"/>
        <w:ind w:left="0"/>
        <w:jc w:val="center"/>
        <w:textAlignment w:val="auto"/>
        <w:rPr>
          <w:rFonts w:ascii="宋体" w:hAnsi="Times New Roman" w:eastAsia="宋体"/>
          <w:b/>
          <w:i w:val="0"/>
          <w:color w:val="808080"/>
          <w:sz w:val="22"/>
        </w:rPr>
      </w:pPr>
      <w:bookmarkStart w:id="0" w:name="_Toc11043"/>
      <w:bookmarkStart w:id="1" w:name="_Toc7074"/>
      <w:bookmarkStart w:id="2" w:name="uwVpi"/>
      <w:r>
        <w:rPr>
          <w:rFonts w:ascii="宋体" w:hAnsi="Times New Roman" w:eastAsia="宋体"/>
        </w:rPr>
        <w:t>大语言模型 Post-Training 技术调研报告</w:t>
      </w:r>
      <w:bookmarkStart w:id="3" w:name="u9c7a2be6"/>
      <w:r>
        <w:rPr>
          <w:rFonts w:hint="default" w:ascii="Times New Roman" w:hAnsi="Times New Roman" w:eastAsia="宋体" w:cs="Times New Roman"/>
          <w:b w:val="0"/>
          <w:bCs w:val="0"/>
          <w:i w:val="0"/>
          <w:color w:val="002060"/>
          <w:sz w:val="24"/>
          <w:szCs w:val="24"/>
        </w:rPr>
        <w:t>Project2_TaskB_Survey</w:t>
      </w:r>
      <w:bookmarkEnd w:id="0"/>
      <w:bookmarkEnd w:id="1"/>
      <w:bookmarkEnd w:id="3"/>
      <w:bookmarkStart w:id="4" w:name="u75243583"/>
    </w:p>
    <w:p w14:paraId="0A2F1CF4">
      <w:pPr>
        <w:bidi w:val="0"/>
      </w:pPr>
      <w:r>
        <w:t>本报告系统调研大语言模型 post-training 的三大核心主题：Fine-tuning（指令微调）、Alignment（对齐） 和 Evaluation（系统评估）。从技术原理出发，详细解释每种方法解决什么问题、使用什么数据、优化目标是什么、有什么优点和限制，并辅以数学推导和案例分析。</w:t>
      </w:r>
      <w:bookmarkEnd w:id="4"/>
      <w:bookmarkStart w:id="5" w:name="u7ec0fcf8"/>
    </w:p>
    <w:p w14:paraId="7136B88A">
      <w:pPr>
        <w:pStyle w:val="2"/>
        <w:spacing w:beforeLines="100" w:after="50" w:line="360" w:lineRule="auto"/>
        <w:ind w:left="0"/>
        <w:jc w:val="left"/>
        <w:rPr>
          <w:rFonts w:ascii="宋体" w:hAnsi="Times New Roman" w:eastAsia="宋体"/>
          <w:color w:val="002060"/>
          <w:sz w:val="24"/>
          <w:szCs w:val="24"/>
        </w:rPr>
      </w:pPr>
      <w:bookmarkStart w:id="6" w:name="_Toc18371"/>
      <w:bookmarkStart w:id="7" w:name="_Toc479"/>
      <w:r>
        <w:rPr>
          <w:rFonts w:ascii="宋体" w:hAnsi="Times New Roman" w:eastAsia="宋体"/>
          <w:b w:val="0"/>
          <w:i w:val="0"/>
          <w:color w:val="002060"/>
          <w:sz w:val="24"/>
          <w:szCs w:val="24"/>
        </w:rPr>
        <w:t>📖 三份基础笔记：</w:t>
      </w:r>
      <w:bookmarkEnd w:id="5"/>
      <w:bookmarkEnd w:id="6"/>
      <w:bookmarkEnd w:id="7"/>
    </w:p>
    <w:bookmarkEnd w:id="2"/>
    <w:p w14:paraId="0BA537ED">
      <w:pPr>
        <w:bidi w:val="0"/>
        <w:ind w:firstLine="843"/>
        <w:rPr>
          <w:rFonts w:hint="eastAsia"/>
        </w:rPr>
      </w:pPr>
      <w:bookmarkStart w:id="8" w:name="u1025666b"/>
      <w:r>
        <w:rPr>
          <w:rFonts w:hint="eastAsia"/>
        </w:rPr>
        <w:t>《Fine-tuning 技术笔记》——微调方法、数学基础、数据格式、超参数调优</w:t>
      </w:r>
    </w:p>
    <w:bookmarkEnd w:id="8"/>
    <w:p w14:paraId="10967346">
      <w:pPr>
        <w:bidi w:val="0"/>
        <w:ind w:firstLine="843"/>
        <w:rPr>
          <w:rFonts w:hint="eastAsia"/>
        </w:rPr>
      </w:pPr>
      <w:bookmarkStart w:id="9" w:name="u5d478579"/>
      <w:r>
        <w:rPr>
          <w:rFonts w:hint="eastAsia"/>
        </w:rPr>
        <w:t>《Alignment 技术笔记》——对齐方法的完整数学推导、方法对比、选型指南</w:t>
      </w:r>
    </w:p>
    <w:bookmarkEnd w:id="9"/>
    <w:p w14:paraId="7BE226DF">
      <w:pPr>
        <w:bidi w:val="0"/>
        <w:ind w:firstLine="843"/>
        <w:rPr>
          <w:rFonts w:hint="eastAsia"/>
        </w:rPr>
      </w:pPr>
      <w:bookmarkStart w:id="10" w:name="uc2dfc720"/>
      <w:r>
        <w:rPr>
          <w:rFonts w:hint="eastAsia"/>
        </w:rPr>
        <w:t>《Evaluation Harness 技术深度解析》——评估框架架构、Benchmark 详解、统计检验、局限性分析</w:t>
      </w:r>
    </w:p>
    <w:bookmarkEnd w:id="10"/>
    <w:p w14:paraId="4878FAE6">
      <w:pPr>
        <w:spacing w:beforeLines="100" w:after="50" w:line="360" w:lineRule="auto"/>
        <w:ind w:left="0" w:leftChars="0" w:firstLine="0" w:firstLineChars="0"/>
        <w:rPr>
          <w:rFonts w:hint="eastAsia" w:eastAsia="宋体"/>
          <w:lang w:eastAsia="zh-CN"/>
        </w:rPr>
      </w:pPr>
      <w:bookmarkStart w:id="11" w:name="LXlwq"/>
    </w:p>
    <w:p w14:paraId="5CD7420D">
      <w:pPr>
        <w:spacing w:beforeLines="100" w:after="50" w:line="360" w:lineRule="auto"/>
        <w:ind w:left="0" w:leftChars="0" w:firstLine="0" w:firstLineChars="0"/>
        <w:rPr>
          <w:rFonts w:hint="eastAsia" w:eastAsia="宋体"/>
          <w:lang w:eastAsia="zh-CN"/>
        </w:rPr>
      </w:pPr>
    </w:p>
    <w:p w14:paraId="634777F8">
      <w:pPr>
        <w:spacing w:beforeLines="100" w:after="50" w:line="360" w:lineRule="auto"/>
        <w:ind w:left="0" w:leftChars="0" w:firstLine="0" w:firstLineChars="0"/>
        <w:rPr>
          <w:rFonts w:hint="eastAsia" w:eastAsia="宋体"/>
          <w:lang w:eastAsia="zh-CN"/>
        </w:rPr>
      </w:pPr>
    </w:p>
    <w:p w14:paraId="11984748">
      <w:pPr>
        <w:spacing w:beforeLines="100" w:after="50" w:line="360" w:lineRule="auto"/>
        <w:ind w:left="0" w:leftChars="0" w:firstLine="0" w:firstLineChars="0"/>
        <w:rPr>
          <w:rFonts w:hint="eastAsia" w:eastAsia="宋体"/>
          <w:lang w:eastAsia="zh-CN"/>
        </w:rPr>
      </w:pPr>
    </w:p>
    <w:p w14:paraId="07B76815">
      <w:pPr>
        <w:spacing w:beforeLines="100" w:after="50" w:line="360" w:lineRule="auto"/>
        <w:ind w:left="0" w:leftChars="0" w:firstLine="0" w:firstLineChars="0"/>
        <w:rPr>
          <w:rFonts w:hint="eastAsia" w:eastAsia="宋体"/>
          <w:lang w:eastAsia="zh-CN"/>
        </w:rPr>
      </w:pPr>
    </w:p>
    <w:p w14:paraId="3DDD713A">
      <w:pPr>
        <w:spacing w:beforeLines="100" w:after="50" w:line="360" w:lineRule="auto"/>
        <w:ind w:left="0" w:leftChars="0" w:firstLine="0" w:firstLineChars="0"/>
        <w:rPr>
          <w:rFonts w:hint="eastAsia" w:eastAsia="宋体"/>
          <w:lang w:eastAsia="zh-CN"/>
        </w:rPr>
      </w:pPr>
    </w:p>
    <w:p w14:paraId="128D05A0">
      <w:pPr>
        <w:spacing w:beforeLines="100" w:after="50" w:line="360" w:lineRule="auto"/>
        <w:ind w:left="0" w:leftChars="0" w:firstLine="0" w:firstLineChars="0"/>
        <w:rPr>
          <w:rFonts w:hint="eastAsia" w:eastAsia="宋体"/>
          <w:lang w:eastAsia="zh-CN"/>
        </w:rPr>
      </w:pPr>
    </w:p>
    <w:p w14:paraId="2A05BFF5">
      <w:pPr>
        <w:spacing w:beforeLines="100" w:after="50" w:line="360" w:lineRule="auto"/>
        <w:ind w:left="0" w:leftChars="0" w:firstLine="0" w:firstLineChars="0"/>
        <w:rPr>
          <w:rFonts w:hint="eastAsia" w:eastAsia="宋体"/>
          <w:lang w:eastAsia="zh-CN"/>
        </w:rPr>
      </w:pPr>
    </w:p>
    <w:p w14:paraId="6F9A9E38">
      <w:pPr>
        <w:spacing w:beforeLines="100" w:after="50" w:line="360" w:lineRule="auto"/>
        <w:ind w:left="0" w:leftChars="0" w:firstLine="0" w:firstLineChars="0"/>
        <w:rPr>
          <w:rFonts w:hint="eastAsia" w:eastAsia="宋体"/>
          <w:lang w:eastAsia="zh-CN"/>
        </w:rPr>
      </w:pPr>
    </w:p>
    <w:bookmarkEnd w:id="11"/>
    <w:p w14:paraId="66E47C8A">
      <w:pPr>
        <w:pStyle w:val="3"/>
        <w:spacing w:beforeLines="100" w:after="50" w:line="360" w:lineRule="auto"/>
        <w:ind w:left="0" w:leftChars="0" w:firstLine="0" w:firstLineChars="0"/>
        <w:jc w:val="left"/>
      </w:pPr>
      <w:bookmarkStart w:id="12" w:name="CcF3I"/>
    </w:p>
    <w:p w14:paraId="64227372"/>
    <w:bookmarkEnd w:id="12"/>
    <w:sdt>
      <w:sdtPr>
        <w:rPr>
          <w:rFonts w:ascii="宋体" w:hAnsi="宋体" w:eastAsia="宋体" w:cstheme="minorBidi"/>
          <w:b/>
          <w:bCs/>
          <w:sz w:val="32"/>
          <w:szCs w:val="32"/>
          <w:lang w:val="en-US" w:eastAsia="en-US" w:bidi="ar-SA"/>
        </w:rPr>
        <w:id w:val="147476623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theme="minorBidi"/>
          <w:sz w:val="24"/>
          <w:szCs w:val="22"/>
          <w:lang w:val="en-US" w:eastAsia="en-US" w:bidi="ar-SA"/>
        </w:rPr>
      </w:sdtEndPr>
      <w:sdtContent>
        <w:p w14:paraId="326AAAAB">
          <w:pPr>
            <w:keepNext w:val="0"/>
            <w:keepLines w:val="0"/>
            <w:pageBreakBefore w:val="0"/>
            <w:widowControl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Lines="100" w:after="50" w:line="360" w:lineRule="auto"/>
            <w:ind w:left="0" w:leftChars="0" w:firstLine="0" w:firstLineChars="0"/>
            <w:jc w:val="center"/>
            <w:textAlignment w:val="auto"/>
            <w:rPr>
              <w:rFonts w:ascii="Times New Roman" w:hAnsi="Times New Roman" w:eastAsia="宋体" w:cstheme="minorBidi"/>
              <w:sz w:val="24"/>
              <w:szCs w:val="22"/>
              <w:lang w:val="en-US" w:eastAsia="en-US" w:bidi="ar-SA"/>
            </w:rPr>
          </w:pPr>
          <w:bookmarkStart w:id="13" w:name="seg7c"/>
          <w:bookmarkStart w:id="513" w:name="_GoBack"/>
          <w:bookmarkEnd w:id="513"/>
          <w:r>
            <w:rPr>
              <w:rFonts w:ascii="宋体" w:hAnsi="宋体" w:eastAsia="宋体"/>
              <w:b/>
              <w:bCs/>
              <w:sz w:val="32"/>
              <w:szCs w:val="32"/>
            </w:rPr>
            <w:t>目录</w:t>
          </w: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</w:p>
        <w:p w14:paraId="5448D9C6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_Toc7074 </w:instrText>
          </w:r>
          <w:r>
            <w:fldChar w:fldCharType="separate"/>
          </w:r>
          <w:r>
            <w:rPr>
              <w:rFonts w:ascii="宋体" w:hAnsi="Times New Roman" w:eastAsia="宋体"/>
            </w:rPr>
            <w:t>大语言模型 Post-Training 技术调研报告</w:t>
          </w:r>
          <w:r>
            <w:rPr>
              <w:rFonts w:hint="default" w:ascii="Times New Roman" w:hAnsi="Times New Roman" w:eastAsia="宋体" w:cs="Times New Roman"/>
              <w:bCs w:val="0"/>
              <w:i w:val="0"/>
              <w:szCs w:val="24"/>
            </w:rPr>
            <w:t>Project2_TaskB_Survey</w:t>
          </w:r>
          <w:r>
            <w:tab/>
          </w:r>
          <w:r>
            <w:fldChar w:fldCharType="begin"/>
          </w:r>
          <w:r>
            <w:instrText xml:space="preserve"> PAGEREF _Toc7074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71A22D8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_Toc479 </w:instrText>
          </w:r>
          <w:r>
            <w:fldChar w:fldCharType="separate"/>
          </w:r>
          <w:r>
            <w:rPr>
              <w:rFonts w:ascii="宋体" w:hAnsi="Times New Roman" w:eastAsia="宋体"/>
              <w:i w:val="0"/>
              <w:szCs w:val="24"/>
            </w:rPr>
            <w:t>📖 三份基础笔记：</w:t>
          </w:r>
          <w:r>
            <w:tab/>
          </w:r>
          <w:r>
            <w:fldChar w:fldCharType="begin"/>
          </w:r>
          <w:r>
            <w:instrText xml:space="preserve"> PAGEREF _Toc479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39F52C8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_Toc16300 </w:instrText>
          </w:r>
          <w:r>
            <w:fldChar w:fldCharType="separate"/>
          </w:r>
          <w:r>
            <w:t>1. 引言与背景</w:t>
          </w:r>
          <w:r>
            <w:tab/>
          </w:r>
          <w:r>
            <w:fldChar w:fldCharType="begin"/>
          </w:r>
          <w:r>
            <w:instrText xml:space="preserve"> PAGEREF _Toc16300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9150908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_Toc19622 </w:instrText>
          </w:r>
          <w:r>
            <w:fldChar w:fldCharType="separate"/>
          </w:r>
          <w:r>
            <w:t>1.1 为什么需要 Post-Training？</w:t>
          </w:r>
          <w:r>
            <w:tab/>
          </w:r>
          <w:r>
            <w:fldChar w:fldCharType="begin"/>
          </w:r>
          <w:r>
            <w:instrText xml:space="preserve"> PAGEREF _Toc19622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6169AB0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_Toc19142 </w:instrText>
          </w:r>
          <w:r>
            <w:fldChar w:fldCharType="separate"/>
          </w:r>
          <w:r>
            <w:t>1.2 Post-Training 三阶段管线</w:t>
          </w:r>
          <w:r>
            <w:tab/>
          </w:r>
          <w:r>
            <w:fldChar w:fldCharType="begin"/>
          </w:r>
          <w:r>
            <w:instrText xml:space="preserve"> PAGEREF _Toc19142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417D7BD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_Toc14505 </w:instrText>
          </w:r>
          <w:r>
            <w:fldChar w:fldCharType="separate"/>
          </w:r>
          <w:r>
            <w:t>1.3 本报告的组织方式</w:t>
          </w:r>
          <w:r>
            <w:tab/>
          </w:r>
          <w:r>
            <w:fldChar w:fldCharType="begin"/>
          </w:r>
          <w:r>
            <w:instrText xml:space="preserve"> PAGEREF _Toc14505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50ABCB7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_Toc28649 </w:instrText>
          </w:r>
          <w:r>
            <w:fldChar w:fldCharType="separate"/>
          </w:r>
          <w:r>
            <w:t>2. 小组分工</w:t>
          </w:r>
          <w:r>
            <w:tab/>
          </w:r>
          <w:r>
            <w:fldChar w:fldCharType="begin"/>
          </w:r>
          <w:r>
            <w:instrText xml:space="preserve"> PAGEREF _Toc28649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C5121B0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_Toc23138 </w:instrText>
          </w:r>
          <w:r>
            <w:fldChar w:fldCharType="separate"/>
          </w:r>
          <w:r>
            <w:t>3. Post-Training 概述</w:t>
          </w:r>
          <w:r>
            <w:tab/>
          </w:r>
          <w:r>
            <w:fldChar w:fldCharType="begin"/>
          </w:r>
          <w:r>
            <w:instrText xml:space="preserve"> PAGEREF _Toc23138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67ACEDF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_Toc29055 </w:instrText>
          </w:r>
          <w:r>
            <w:fldChar w:fldCharType="separate"/>
          </w:r>
          <w:r>
            <w:t>3.1 什么是 Post-Training</w:t>
          </w:r>
          <w:r>
            <w:tab/>
          </w:r>
          <w:r>
            <w:fldChar w:fldCharType="begin"/>
          </w:r>
          <w:r>
            <w:instrText xml:space="preserve"> PAGEREF _Toc29055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EDC0D49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_Toc21248 </w:instrText>
          </w:r>
          <w:r>
            <w:fldChar w:fldCharType="separate"/>
          </w:r>
          <w:r>
            <w:t>3.2 为什么不能只做 SFT？</w:t>
          </w:r>
          <w:r>
            <w:tab/>
          </w:r>
          <w:r>
            <w:fldChar w:fldCharType="begin"/>
          </w:r>
          <w:r>
            <w:instrText xml:space="preserve"> PAGEREF _Toc21248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7E60075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_Toc31395 </w:instrText>
          </w:r>
          <w:r>
            <w:fldChar w:fldCharType="separate"/>
          </w:r>
          <w:r>
            <w:t>3.3 评估的必要性</w:t>
          </w:r>
          <w:r>
            <w:tab/>
          </w:r>
          <w:r>
            <w:fldChar w:fldCharType="begin"/>
          </w:r>
          <w:r>
            <w:instrText xml:space="preserve"> PAGEREF _Toc31395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8BD8270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_Toc7476 </w:instrText>
          </w:r>
          <w:r>
            <w:fldChar w:fldCharType="separate"/>
          </w:r>
          <w:r>
            <w:t>4. 第一部分：Fine-tuning（指令微调）</w:t>
          </w:r>
          <w:r>
            <w:tab/>
          </w:r>
          <w:r>
            <w:fldChar w:fldCharType="begin"/>
          </w:r>
          <w:r>
            <w:instrText xml:space="preserve"> PAGEREF _Toc7476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63F79AC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_Toc12095 </w:instrText>
          </w:r>
          <w:r>
            <w:fldChar w:fldCharType="separate"/>
          </w:r>
          <w:r>
            <w:t>4.1 技术概览</w:t>
          </w:r>
          <w:r>
            <w:tab/>
          </w:r>
          <w:r>
            <w:fldChar w:fldCharType="begin"/>
          </w:r>
          <w:r>
            <w:instrText xml:space="preserve"> PAGEREF _Toc12095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39BE8D9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_Toc31065 </w:instrText>
          </w:r>
          <w:r>
            <w:fldChar w:fldCharType="separate"/>
          </w:r>
          <w:r>
            <w:t>4.1.1 定义与数学形式</w:t>
          </w:r>
          <w:r>
            <w:tab/>
          </w:r>
          <w:r>
            <w:fldChar w:fldCharType="begin"/>
          </w:r>
          <w:r>
            <w:instrText xml:space="preserve"> PAGEREF _Toc31065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783BDF9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_Toc4619 </w:instrText>
          </w:r>
          <w:r>
            <w:fldChar w:fldCharType="separate"/>
          </w:r>
          <w:r>
            <w:t>4.1.2 SFT 的损失函数详解</w:t>
          </w:r>
          <w:r>
            <w:tab/>
          </w:r>
          <w:r>
            <w:fldChar w:fldCharType="begin"/>
          </w:r>
          <w:r>
            <w:instrText xml:space="preserve"> PAGEREF _Toc4619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5C09439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_Toc15329 </w:instrText>
          </w:r>
          <w:r>
            <w:fldChar w:fldCharType="separate"/>
          </w:r>
          <w:r>
            <w:t>4.1.3 三种训练范式的数学对比</w:t>
          </w:r>
          <w:r>
            <w:tab/>
          </w:r>
          <w:r>
            <w:fldChar w:fldCharType="begin"/>
          </w:r>
          <w:r>
            <w:instrText xml:space="preserve"> PAGEREF _Toc15329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1AB63FA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_Toc6094 </w:instrText>
          </w:r>
          <w:r>
            <w:fldChar w:fldCharType="separate"/>
          </w:r>
          <w:r>
            <w:t>4.2 Full Fine-tuning vs PEFT</w:t>
          </w:r>
          <w:r>
            <w:tab/>
          </w:r>
          <w:r>
            <w:fldChar w:fldCharType="begin"/>
          </w:r>
          <w:r>
            <w:instrText xml:space="preserve"> PAGEREF _Toc6094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8531958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_Toc6190 </w:instrText>
          </w:r>
          <w:r>
            <w:fldChar w:fldCharType="separate"/>
          </w:r>
          <w:r>
            <w:t>4.2.1 Full FT 的显存消耗精确分析</w:t>
          </w:r>
          <w:r>
            <w:tab/>
          </w:r>
          <w:r>
            <w:fldChar w:fldCharType="begin"/>
          </w:r>
          <w:r>
            <w:instrText xml:space="preserve"> PAGEREF _Toc6190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8BAC917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_Toc14661 </w:instrText>
          </w:r>
          <w:r>
            <w:fldChar w:fldCharType="separate"/>
          </w:r>
          <w:r>
            <w:t>4.2.2 PEFT 的数学定义</w:t>
          </w:r>
          <w:r>
            <w:tab/>
          </w:r>
          <w:r>
            <w:fldChar w:fldCharType="begin"/>
          </w:r>
          <w:r>
            <w:instrText xml:space="preserve"> PAGEREF _Toc14661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1C485ECD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_Toc4935 </w:instrText>
          </w:r>
          <w:r>
            <w:fldChar w:fldCharType="separate"/>
          </w:r>
          <w:r>
            <w:t>4.2.3 四种主流 PEFT 方法的数学本质</w:t>
          </w:r>
          <w:r>
            <w:tab/>
          </w:r>
          <w:r>
            <w:fldChar w:fldCharType="begin"/>
          </w:r>
          <w:r>
            <w:instrText xml:space="preserve"> PAGEREF _Toc4935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3B93291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_Toc8604 </w:instrText>
          </w:r>
          <w:r>
            <w:fldChar w:fldCharType="separate"/>
          </w:r>
          <w:r>
            <w:t>4.3 案例分析：Alpaca（Self-Instruct 指令微调）</w:t>
          </w:r>
          <w:r>
            <w:tab/>
          </w:r>
          <w:r>
            <w:fldChar w:fldCharType="begin"/>
          </w:r>
          <w:r>
            <w:instrText xml:space="preserve"> PAGEREF _Toc8604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E6787E2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_Toc25855 </w:instrText>
          </w:r>
          <w:r>
            <w:fldChar w:fldCharType="separate"/>
          </w:r>
          <w:r>
            <w:t>4.3.1 动机与背景</w:t>
          </w:r>
          <w:r>
            <w:tab/>
          </w:r>
          <w:r>
            <w:fldChar w:fldCharType="begin"/>
          </w:r>
          <w:r>
            <w:instrText xml:space="preserve"> PAGEREF _Toc25855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66EFAF0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_Toc17761 </w:instrText>
          </w:r>
          <w:r>
            <w:fldChar w:fldCharType="separate"/>
          </w:r>
          <w:r>
            <w:t>4.3.2 详细分析</w:t>
          </w:r>
          <w:r>
            <w:tab/>
          </w:r>
          <w:r>
            <w:fldChar w:fldCharType="begin"/>
          </w:r>
          <w:r>
            <w:instrText xml:space="preserve"> PAGEREF _Toc17761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04F40A1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_Toc905 </w:instrText>
          </w:r>
          <w:r>
            <w:fldChar w:fldCharType="separate"/>
          </w:r>
          <w:r>
            <w:t>4.3.3 三种数据格式详解</w:t>
          </w:r>
          <w:r>
            <w:tab/>
          </w:r>
          <w:r>
            <w:fldChar w:fldCharType="begin"/>
          </w:r>
          <w:r>
            <w:instrText xml:space="preserve"> PAGEREF _Toc905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54140B6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_Toc20054 </w:instrText>
          </w:r>
          <w:r>
            <w:fldChar w:fldCharType="separate"/>
          </w:r>
          <w:r>
            <w:t>4.4 案例分析：LoRA（低秩适配微调）</w:t>
          </w:r>
          <w:r>
            <w:tab/>
          </w:r>
          <w:r>
            <w:fldChar w:fldCharType="begin"/>
          </w:r>
          <w:r>
            <w:instrText xml:space="preserve"> PAGEREF _Toc20054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7C7BD852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_Toc13463 </w:instrText>
          </w:r>
          <w:r>
            <w:fldChar w:fldCharType="separate"/>
          </w:r>
          <w:r>
            <w:t>4.4.1 理论动机：本征维度假说</w:t>
          </w:r>
          <w:r>
            <w:tab/>
          </w:r>
          <w:r>
            <w:fldChar w:fldCharType="begin"/>
          </w:r>
          <w:r>
            <w:instrText xml:space="preserve"> PAGEREF _Toc13463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27F1F9A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_Toc27277 </w:instrText>
          </w:r>
          <w:r>
            <w:fldChar w:fldCharType="separate"/>
          </w:r>
          <w:r>
            <w:t>4.4.3 低秩分解的 SVD 视角</w:t>
          </w:r>
          <w:r>
            <w:tab/>
          </w:r>
          <w:r>
            <w:fldChar w:fldCharType="begin"/>
          </w:r>
          <w:r>
            <w:instrText xml:space="preserve"> PAGEREF _Toc27277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9F7D2AE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_Toc6252 </w:instrText>
          </w:r>
          <w:r>
            <w:fldChar w:fldCharType="separate"/>
          </w:r>
          <w:r>
            <w:t>4.4.4 参数量计算示例</w:t>
          </w:r>
          <w:r>
            <w:tab/>
          </w:r>
          <w:r>
            <w:fldChar w:fldCharType="begin"/>
          </w:r>
          <w:r>
            <w:instrText xml:space="preserve"> PAGEREF _Toc6252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88A19EC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_Toc16823 </w:instrText>
          </w:r>
          <w:r>
            <w:fldChar w:fldCharType="separate"/>
          </w:r>
          <w:r>
            <w:t>4.4.5 target_modules 的选择</w:t>
          </w:r>
          <w:r>
            <w:tab/>
          </w:r>
          <w:r>
            <w:fldChar w:fldCharType="begin"/>
          </w:r>
          <w:r>
            <w:instrText xml:space="preserve"> PAGEREF _Toc16823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3CBFA12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_Toc1680 </w:instrText>
          </w:r>
          <w:r>
            <w:fldChar w:fldCharType="separate"/>
          </w:r>
          <w:r>
            <w:t>4.4.6 LoRA 改进变体一览</w:t>
          </w:r>
          <w:r>
            <w:tab/>
          </w:r>
          <w:r>
            <w:fldChar w:fldCharType="begin"/>
          </w:r>
          <w:r>
            <w:instrText xml:space="preserve"> PAGEREF _Toc1680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A7F259E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_Toc10633 </w:instrText>
          </w:r>
          <w:r>
            <w:fldChar w:fldCharType="separate"/>
          </w:r>
          <w:r>
            <w:t>4.5 案例分析：QLoRA（量化低秩适配微调）</w:t>
          </w:r>
          <w:r>
            <w:tab/>
          </w:r>
          <w:r>
            <w:fldChar w:fldCharType="begin"/>
          </w:r>
          <w:r>
            <w:instrText xml:space="preserve"> PAGEREF _Toc10633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64F3307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_Toc4353 </w:instrText>
          </w:r>
          <w:r>
            <w:fldChar w:fldCharType="separate"/>
          </w:r>
          <w:r>
            <w:t>4.5.1 动机</w:t>
          </w:r>
          <w:r>
            <w:tab/>
          </w:r>
          <w:r>
            <w:fldChar w:fldCharType="begin"/>
          </w:r>
          <w:r>
            <w:instrText xml:space="preserve"> PAGEREF _Toc4353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6D0036C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_Toc15009 </w:instrText>
          </w:r>
          <w:r>
            <w:fldChar w:fldCharType="separate"/>
          </w:r>
          <w:r>
            <w:t>4.5.2 详细分析</w:t>
          </w:r>
          <w:r>
            <w:tab/>
          </w:r>
          <w:r>
            <w:fldChar w:fldCharType="begin"/>
          </w:r>
          <w:r>
            <w:instrText xml:space="preserve"> PAGEREF _Toc15009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3039D31F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_Toc27161 </w:instrText>
          </w:r>
          <w:r>
            <w:fldChar w:fldCharType="separate"/>
          </w:r>
          <w:r>
            <w:t>4.5.3 显存对比（完整表格）</w:t>
          </w:r>
          <w:r>
            <w:tab/>
          </w:r>
          <w:r>
            <w:fldChar w:fldCharType="begin"/>
          </w:r>
          <w:r>
            <w:instrText xml:space="preserve"> PAGEREF _Toc27161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2ED11CAB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_Toc12635 </w:instrText>
          </w:r>
          <w:r>
            <w:fldChar w:fldCharType="separate"/>
          </w:r>
          <w:r>
            <w:t>5. 第二部分：Alignment（对齐）</w:t>
          </w:r>
          <w:r>
            <w:tab/>
          </w:r>
          <w:r>
            <w:fldChar w:fldCharType="begin"/>
          </w:r>
          <w:r>
            <w:instrText xml:space="preserve"> PAGEREF _Toc12635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1527B3BB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_Toc2693 </w:instrText>
          </w:r>
          <w:r>
            <w:fldChar w:fldCharType="separate"/>
          </w:r>
          <w:r>
            <w:t>5.1 技术概览</w:t>
          </w:r>
          <w:r>
            <w:tab/>
          </w:r>
          <w:r>
            <w:fldChar w:fldCharType="begin"/>
          </w:r>
          <w:r>
            <w:instrText xml:space="preserve"> PAGEREF _Toc2693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47DA0C7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_Toc8812 </w:instrText>
          </w:r>
          <w:r>
            <w:fldChar w:fldCharType="separate"/>
          </w:r>
          <w:r>
            <w:t>5.1.1 Alignment 的定义</w:t>
          </w:r>
          <w:r>
            <w:tab/>
          </w:r>
          <w:r>
            <w:fldChar w:fldCharType="begin"/>
          </w:r>
          <w:r>
            <w:instrText xml:space="preserve"> PAGEREF _Toc8812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7CDDB35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_Toc8183 </w:instrText>
          </w:r>
          <w:r>
            <w:fldChar w:fldCharType="separate"/>
          </w:r>
          <w:r>
            <w:t>5.1.2 为什么不只做 SFT？</w:t>
          </w:r>
          <w:r>
            <w:tab/>
          </w:r>
          <w:r>
            <w:fldChar w:fldCharType="begin"/>
          </w:r>
          <w:r>
            <w:instrText xml:space="preserve"> PAGEREF _Toc8183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893C85C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_Toc2371 </w:instrText>
          </w:r>
          <w:r>
            <w:fldChar w:fldCharType="separate"/>
          </w:r>
          <w:r>
            <w:t>5.1.3 Alignment 的 HHH 框架</w:t>
          </w:r>
          <w:r>
            <w:tab/>
          </w:r>
          <w:r>
            <w:fldChar w:fldCharType="begin"/>
          </w:r>
          <w:r>
            <w:instrText xml:space="preserve"> PAGEREF _Toc2371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995BCA6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_Toc21125 </w:instrText>
          </w:r>
          <w:r>
            <w:fldChar w:fldCharType="separate"/>
          </w:r>
          <w:r>
            <w:t>5.1.4 方法全景图</w:t>
          </w:r>
          <w:r>
            <w:tab/>
          </w:r>
          <w:r>
            <w:fldChar w:fldCharType="begin"/>
          </w:r>
          <w:r>
            <w:instrText xml:space="preserve"> PAGEREF _Toc21125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187FD855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_Toc9854 </w:instrText>
          </w:r>
          <w:r>
            <w:fldChar w:fldCharType="separate"/>
          </w:r>
          <w:r>
            <w:t>5.1.5 方法速查表</w:t>
          </w:r>
          <w:r>
            <w:tab/>
          </w:r>
          <w:r>
            <w:fldChar w:fldCharType="begin"/>
          </w:r>
          <w:r>
            <w:instrText xml:space="preserve"> PAGEREF _Toc9854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7CB5D10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_Toc7626 </w:instrText>
          </w:r>
          <w:r>
            <w:fldChar w:fldCharType="separate"/>
          </w:r>
          <w:r>
            <w:t>5.2 案例分析：InstructGPT / RLHF</w:t>
          </w:r>
          <w:r>
            <w:tab/>
          </w:r>
          <w:r>
            <w:fldChar w:fldCharType="begin"/>
          </w:r>
          <w:r>
            <w:instrText xml:space="preserve"> PAGEREF _Toc7626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B0724C4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_Toc5873 </w:instrText>
          </w:r>
          <w:r>
            <w:fldChar w:fldCharType="separate"/>
          </w:r>
          <w:r>
            <w:t>5.2.1 背景</w:t>
          </w:r>
          <w:r>
            <w:tab/>
          </w:r>
          <w:r>
            <w:fldChar w:fldCharType="begin"/>
          </w:r>
          <w:r>
            <w:instrText xml:space="preserve"> PAGEREF _Toc5873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2DEBC5D6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_Toc9285 </w:instrText>
          </w:r>
          <w:r>
            <w:fldChar w:fldCharType="separate"/>
          </w:r>
          <w:r>
            <w:t>5.2.2 详细分析</w:t>
          </w:r>
          <w:r>
            <w:tab/>
          </w:r>
          <w:r>
            <w:fldChar w:fldCharType="begin"/>
          </w:r>
          <w:r>
            <w:instrText xml:space="preserve"> PAGEREF _Toc9285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1D97A6C0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_Toc4123 </w:instrText>
          </w:r>
          <w:r>
            <w:fldChar w:fldCharType="separate"/>
          </w:r>
          <w:r>
            <w:t>5.2.3 三阶段数学推导</w:t>
          </w:r>
          <w:r>
            <w:tab/>
          </w:r>
          <w:r>
            <w:fldChar w:fldCharType="begin"/>
          </w:r>
          <w:r>
            <w:instrText xml:space="preserve"> PAGEREF _Toc4123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44F5CF6C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_Toc22162 </w:instrText>
          </w:r>
          <w:r>
            <w:fldChar w:fldCharType="separate"/>
          </w:r>
          <w:r>
            <w:t>5.2.4 偏好数据收集</w:t>
          </w:r>
          <w:r>
            <w:tab/>
          </w:r>
          <w:r>
            <w:fldChar w:fldCharType="begin"/>
          </w:r>
          <w:r>
            <w:instrText xml:space="preserve"> PAGEREF _Toc22162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66E0A67E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_Toc21750 </w:instrText>
          </w:r>
          <w:r>
            <w:fldChar w:fldCharType="separate"/>
          </w:r>
          <w:r>
            <w:t>5.2.5 RLHF 的四个模型</w:t>
          </w:r>
          <w:r>
            <w:tab/>
          </w:r>
          <w:r>
            <w:fldChar w:fldCharType="begin"/>
          </w:r>
          <w:r>
            <w:instrText xml:space="preserve"> PAGEREF _Toc21750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A8FC1B4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_Toc21859 </w:instrText>
          </w:r>
          <w:r>
            <w:fldChar w:fldCharType="separate"/>
          </w:r>
          <w:r>
            <w:t>5.3 案例分析：DPO（直接偏好优化）</w:t>
          </w:r>
          <w:r>
            <w:tab/>
          </w:r>
          <w:r>
            <w:fldChar w:fldCharType="begin"/>
          </w:r>
          <w:r>
            <w:instrText xml:space="preserve"> PAGEREF _Toc21859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A45EA94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_Toc20095 </w:instrText>
          </w:r>
          <w:r>
            <w:fldChar w:fldCharType="separate"/>
          </w:r>
          <w:r>
            <w:t>5.3.1 核心洞察</w:t>
          </w:r>
          <w:r>
            <w:tab/>
          </w:r>
          <w:r>
            <w:fldChar w:fldCharType="begin"/>
          </w:r>
          <w:r>
            <w:instrText xml:space="preserve"> PAGEREF _Toc20095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42E398EE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_Toc27761 </w:instrText>
          </w:r>
          <w:r>
            <w:fldChar w:fldCharType="separate"/>
          </w:r>
          <w:r>
            <w:t>5.3.2 详细分析</w:t>
          </w:r>
          <w:r>
            <w:tab/>
          </w:r>
          <w:r>
            <w:fldChar w:fldCharType="begin"/>
          </w:r>
          <w:r>
            <w:instrText xml:space="preserve"> PAGEREF _Toc27761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6B817A9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_Toc19833 </w:instrText>
          </w:r>
          <w:r>
            <w:fldChar w:fldCharType="separate"/>
          </w:r>
          <w:r>
            <w:t>5.3.3 核心推导：从 RLHF 到 DPO</w:t>
          </w:r>
          <w:r>
            <w:tab/>
          </w:r>
          <w:r>
            <w:fldChar w:fldCharType="begin"/>
          </w:r>
          <w:r>
            <w:instrText xml:space="preserve"> PAGEREF _Toc19833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7E3E74ED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_Toc13752 </w:instrText>
          </w:r>
          <w:r>
            <w:fldChar w:fldCharType="separate"/>
          </w:r>
          <w:r>
            <w:t>5.3.4 DPO 损失的直观理解</w:t>
          </w:r>
          <w:r>
            <w:tab/>
          </w:r>
          <w:r>
            <w:fldChar w:fldCharType="begin"/>
          </w:r>
          <w:r>
            <w:instrText xml:space="preserve"> PAGEREF _Toc13752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D64B660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_Toc26410 </w:instrText>
          </w:r>
          <w:r>
            <w:fldChar w:fldCharType="separate"/>
          </w:r>
          <w:r>
            <w:t>5.3.5 常用偏好数据集</w:t>
          </w:r>
          <w:r>
            <w:tab/>
          </w:r>
          <w:r>
            <w:fldChar w:fldCharType="begin"/>
          </w:r>
          <w:r>
            <w:instrText xml:space="preserve"> PAGEREF _Toc26410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737E28A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_Toc12211 </w:instrText>
          </w:r>
          <w:r>
            <w:fldChar w:fldCharType="separate"/>
          </w:r>
          <w:r>
            <w:t>5.4 案例分析：DeepSeek-R1 / GRPO</w:t>
          </w:r>
          <w:r>
            <w:tab/>
          </w:r>
          <w:r>
            <w:fldChar w:fldCharType="begin"/>
          </w:r>
          <w:r>
            <w:instrText xml:space="preserve"> PAGEREF _Toc12211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7D2EF416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_Toc11563 </w:instrText>
          </w:r>
          <w:r>
            <w:fldChar w:fldCharType="separate"/>
          </w:r>
          <w:r>
            <w:t>5.4.1 新范式：Reasoning-oriented Alignment</w:t>
          </w:r>
          <w:r>
            <w:tab/>
          </w:r>
          <w:r>
            <w:fldChar w:fldCharType="begin"/>
          </w:r>
          <w:r>
            <w:instrText xml:space="preserve"> PAGEREF _Toc11563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739D3DF5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_Toc9855 </w:instrText>
          </w:r>
          <w:r>
            <w:fldChar w:fldCharType="separate"/>
          </w:r>
          <w:r>
            <w:t>5.4.2 详细分析</w:t>
          </w:r>
          <w:r>
            <w:tab/>
          </w:r>
          <w:r>
            <w:fldChar w:fldCharType="begin"/>
          </w:r>
          <w:r>
            <w:instrText xml:space="preserve"> PAGEREF _Toc9855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48E6877E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_Toc16508 </w:instrText>
          </w:r>
          <w:r>
            <w:fldChar w:fldCharType="separate"/>
          </w:r>
          <w:r>
            <w:t>5.4.3 GRPO 的直观理解</w:t>
          </w:r>
          <w:r>
            <w:tab/>
          </w:r>
          <w:r>
            <w:fldChar w:fldCharType="begin"/>
          </w:r>
          <w:r>
            <w:instrText xml:space="preserve"> PAGEREF _Toc16508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31622A24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_Toc3851 </w:instrText>
          </w:r>
          <w:r>
            <w:fldChar w:fldCharType="separate"/>
          </w:r>
          <w:r>
            <w:t>5.4.4 GRPO vs PPO vs DPO 对比</w:t>
          </w:r>
          <w:r>
            <w:tab/>
          </w:r>
          <w:r>
            <w:fldChar w:fldCharType="begin"/>
          </w:r>
          <w:r>
            <w:instrText xml:space="preserve"> PAGEREF _Toc3851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4A14166C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_Toc637 </w:instrText>
          </w:r>
          <w:r>
            <w:fldChar w:fldCharType="separate"/>
          </w:r>
          <w:r>
            <w:rPr>
              <w:rFonts w:ascii="宋体" w:hAnsi="Times New Roman" w:eastAsia="宋体"/>
            </w:rPr>
            <w:t>5.5 关键取舍与方法组合</w:t>
          </w:r>
          <w:r>
            <w:tab/>
          </w:r>
          <w:r>
            <w:fldChar w:fldCharType="begin"/>
          </w:r>
          <w:r>
            <w:instrText xml:space="preserve"> PAGEREF _Toc637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38A65DA9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_Toc11449 </w:instrText>
          </w:r>
          <w:r>
            <w:fldChar w:fldCharType="separate"/>
          </w:r>
          <w:r>
            <w:t>5.5.1 Alignment 的关键取舍</w:t>
          </w:r>
          <w:r>
            <w:tab/>
          </w:r>
          <w:r>
            <w:fldChar w:fldCharType="begin"/>
          </w:r>
          <w:r>
            <w:instrText xml:space="preserve"> PAGEREF _Toc11449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715C89EB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_Toc31361 </w:instrText>
          </w:r>
          <w:r>
            <w:fldChar w:fldCharType="separate"/>
          </w:r>
          <w:r>
            <w:t>5.5.2 最强模型的训练管线</w:t>
          </w:r>
          <w:r>
            <w:tab/>
          </w:r>
          <w:r>
            <w:fldChar w:fldCharType="begin"/>
          </w:r>
          <w:r>
            <w:instrText xml:space="preserve"> PAGEREF _Toc31361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fldChar w:fldCharType="end"/>
          </w:r>
        </w:p>
        <w:p w14:paraId="19D22160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_Toc23839 </w:instrText>
          </w:r>
          <w:r>
            <w:fldChar w:fldCharType="separate"/>
          </w:r>
          <w:r>
            <w:t>6. 第三部分：Evaluation（系统评估）</w:t>
          </w:r>
          <w:r>
            <w:tab/>
          </w:r>
          <w:r>
            <w:fldChar w:fldCharType="begin"/>
          </w:r>
          <w:r>
            <w:instrText xml:space="preserve"> PAGEREF _Toc23839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0766C525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_Toc32016 </w:instrText>
          </w:r>
          <w:r>
            <w:fldChar w:fldCharType="separate"/>
          </w:r>
          <w:r>
            <w:t>6.1 技术概览</w:t>
          </w:r>
          <w:r>
            <w:tab/>
          </w:r>
          <w:r>
            <w:fldChar w:fldCharType="begin"/>
          </w:r>
          <w:r>
            <w:instrText xml:space="preserve"> PAGEREF _Toc32016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7969CFE6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_Toc720 </w:instrText>
          </w:r>
          <w:r>
            <w:fldChar w:fldCharType="separate"/>
          </w:r>
          <w:r>
            <w:t>6.1.1 为什么需要系统评估？</w:t>
          </w:r>
          <w:r>
            <w:tab/>
          </w:r>
          <w:r>
            <w:fldChar w:fldCharType="begin"/>
          </w:r>
          <w:r>
            <w:instrText xml:space="preserve"> PAGEREF _Toc720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64584433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_Toc18958 </w:instrText>
          </w:r>
          <w:r>
            <w:fldChar w:fldCharType="separate"/>
          </w:r>
          <w:r>
            <w:t>6.1.2 评估的八大维度</w:t>
          </w:r>
          <w:r>
            <w:tab/>
          </w:r>
          <w:r>
            <w:fldChar w:fldCharType="begin"/>
          </w:r>
          <w:r>
            <w:instrText xml:space="preserve"> PAGEREF _Toc18958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5754E85C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_Toc3911 </w:instrText>
          </w:r>
          <w:r>
            <w:fldChar w:fldCharType="separate"/>
          </w:r>
          <w:r>
            <w:t>6.1.3 Benchmark 的数学定义</w:t>
          </w:r>
          <w:r>
            <w:tab/>
          </w:r>
          <w:r>
            <w:fldChar w:fldCharType="begin"/>
          </w:r>
          <w:r>
            <w:instrText xml:space="preserve"> PAGEREF _Toc3911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fldChar w:fldCharType="end"/>
          </w:r>
        </w:p>
        <w:p w14:paraId="7BE560B8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_Toc16748 </w:instrText>
          </w:r>
          <w:r>
            <w:fldChar w:fldCharType="separate"/>
          </w:r>
          <w:r>
            <w:t>6.1.4 两种评估模式的数学对比</w:t>
          </w:r>
          <w:r>
            <w:tab/>
          </w:r>
          <w:r>
            <w:fldChar w:fldCharType="begin"/>
          </w:r>
          <w:r>
            <w:instrText xml:space="preserve"> PAGEREF _Toc16748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1CE189F9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_Toc28026 </w:instrText>
          </w:r>
          <w:r>
            <w:fldChar w:fldCharType="separate"/>
          </w:r>
          <w:r>
            <w:t>6.2 核心指标详解</w:t>
          </w:r>
          <w:r>
            <w:tab/>
          </w:r>
          <w:r>
            <w:fldChar w:fldCharType="begin"/>
          </w:r>
          <w:r>
            <w:instrText xml:space="preserve"> PAGEREF _Toc28026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18F6E189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_Toc2573 </w:instrText>
          </w:r>
          <w:r>
            <w:fldChar w:fldCharType="separate"/>
          </w:r>
          <w:r>
            <w:t>6.2.1 分类型指标</w:t>
          </w:r>
          <w:r>
            <w:tab/>
          </w:r>
          <w:r>
            <w:fldChar w:fldCharType="begin"/>
          </w:r>
          <w:r>
            <w:instrText xml:space="preserve"> PAGEREF _Toc2573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451C4F75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_Toc22930 </w:instrText>
          </w:r>
          <w:r>
            <w:fldChar w:fldCharType="separate"/>
          </w:r>
          <w:r>
            <w:t>6.2.2 生成型指标</w:t>
          </w:r>
          <w:r>
            <w:tab/>
          </w:r>
          <w:r>
            <w:fldChar w:fldCharType="begin"/>
          </w:r>
          <w:r>
            <w:instrText xml:space="preserve"> PAGEREF _Toc22930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4125523A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_Toc9462 </w:instrText>
          </w:r>
          <w:r>
            <w:fldChar w:fldCharType="separate"/>
          </w:r>
          <w:r>
            <w:t>6.2.3 代码型指标</w:t>
          </w:r>
          <w:r>
            <w:tab/>
          </w:r>
          <w:r>
            <w:fldChar w:fldCharType="begin"/>
          </w:r>
          <w:r>
            <w:instrText xml:space="preserve"> PAGEREF _Toc9462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fldChar w:fldCharType="end"/>
          </w:r>
        </w:p>
        <w:p w14:paraId="4D313E4F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_Toc22496 </w:instrText>
          </w:r>
          <w:r>
            <w:fldChar w:fldCharType="separate"/>
          </w:r>
          <w:r>
            <w:t>6.2.4 长度归一化（acc_norm）</w:t>
          </w:r>
          <w:r>
            <w:tab/>
          </w:r>
          <w:r>
            <w:fldChar w:fldCharType="begin"/>
          </w:r>
          <w:r>
            <w:instrText xml:space="preserve"> PAGEREF _Toc22496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68C8849E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_Toc30485 </w:instrText>
          </w:r>
          <w:r>
            <w:fldChar w:fldCharType="separate"/>
          </w:r>
          <w:r>
            <w:t>6.3 案例分析：MMLU 多项选择评估</w:t>
          </w:r>
          <w:r>
            <w:tab/>
          </w:r>
          <w:r>
            <w:fldChar w:fldCharType="begin"/>
          </w:r>
          <w:r>
            <w:instrText xml:space="preserve"> PAGEREF _Toc30485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201EB4B5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_Toc19467 </w:instrText>
          </w:r>
          <w:r>
            <w:fldChar w:fldCharType="separate"/>
          </w:r>
          <w:r>
            <w:t>6.3.1 背景</w:t>
          </w:r>
          <w:r>
            <w:tab/>
          </w:r>
          <w:r>
            <w:fldChar w:fldCharType="begin"/>
          </w:r>
          <w:r>
            <w:instrText xml:space="preserve"> PAGEREF _Toc19467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fldChar w:fldCharType="end"/>
          </w:r>
        </w:p>
        <w:p w14:paraId="4E722BFE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_Toc26140 </w:instrText>
          </w:r>
          <w:r>
            <w:fldChar w:fldCharType="separate"/>
          </w:r>
          <w:r>
            <w:t>6.3.2 详细分析</w:t>
          </w:r>
          <w:r>
            <w:tab/>
          </w:r>
          <w:r>
            <w:fldChar w:fldCharType="begin"/>
          </w:r>
          <w:r>
            <w:instrText xml:space="preserve"> PAGEREF _Toc26140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2A652BCD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_Toc31488 </w:instrText>
          </w:r>
          <w:r>
            <w:fldChar w:fldCharType="separate"/>
          </w:r>
          <w:r>
            <w:t>6.3.3 结果解读</w:t>
          </w:r>
          <w:r>
            <w:tab/>
          </w:r>
          <w:r>
            <w:fldChar w:fldCharType="begin"/>
          </w:r>
          <w:r>
            <w:instrText xml:space="preserve"> PAGEREF _Toc31488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fldChar w:fldCharType="end"/>
          </w:r>
        </w:p>
        <w:p w14:paraId="580CECC6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_Toc18750 </w:instrText>
          </w:r>
          <w:r>
            <w:fldChar w:fldCharType="separate"/>
          </w:r>
          <w:r>
            <w:t>6.3.4 分维度分析示例</w:t>
          </w:r>
          <w:r>
            <w:tab/>
          </w:r>
          <w:r>
            <w:fldChar w:fldCharType="begin"/>
          </w:r>
          <w:r>
            <w:instrText xml:space="preserve"> PAGEREF _Toc18750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340A5EE1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_Toc21818 </w:instrText>
          </w:r>
          <w:r>
            <w:fldChar w:fldCharType="separate"/>
          </w:r>
          <w:r>
            <w:t>6.4 案例分析：GSM8K 生成式评估</w:t>
          </w:r>
          <w:r>
            <w:tab/>
          </w:r>
          <w:r>
            <w:fldChar w:fldCharType="begin"/>
          </w:r>
          <w:r>
            <w:instrText xml:space="preserve"> PAGEREF _Toc21818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3A6BC7CF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_Toc13523 </w:instrText>
          </w:r>
          <w:r>
            <w:fldChar w:fldCharType="separate"/>
          </w:r>
          <w:r>
            <w:t>6.4.1 背景</w:t>
          </w:r>
          <w:r>
            <w:tab/>
          </w:r>
          <w:r>
            <w:fldChar w:fldCharType="begin"/>
          </w:r>
          <w:r>
            <w:instrText xml:space="preserve"> PAGEREF _Toc13523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1BDD55B4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_Toc5199 </w:instrText>
          </w:r>
          <w:r>
            <w:fldChar w:fldCharType="separate"/>
          </w:r>
          <w:r>
            <w:t>6.4.2 详细分析</w:t>
          </w:r>
          <w:r>
            <w:tab/>
          </w:r>
          <w:r>
            <w:fldChar w:fldCharType="begin"/>
          </w:r>
          <w:r>
            <w:instrText xml:space="preserve"> PAGEREF _Toc5199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2868A4CD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_Toc8243 </w:instrText>
          </w:r>
          <w:r>
            <w:fldChar w:fldCharType="separate"/>
          </w:r>
          <w:r>
            <w:t>6.4.3 答案提取示例</w:t>
          </w:r>
          <w:r>
            <w:tab/>
          </w:r>
          <w:r>
            <w:fldChar w:fldCharType="begin"/>
          </w:r>
          <w:r>
            <w:instrText xml:space="preserve"> PAGEREF _Toc8243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fldChar w:fldCharType="end"/>
          </w:r>
        </w:p>
        <w:p w14:paraId="160A54AD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_Toc19949 </w:instrText>
          </w:r>
          <w:r>
            <w:fldChar w:fldCharType="separate"/>
          </w:r>
          <w:r>
            <w:t>6.4.4 异常诊断示例</w:t>
          </w:r>
          <w:r>
            <w:tab/>
          </w:r>
          <w:r>
            <w:fldChar w:fldCharType="begin"/>
          </w:r>
          <w:r>
            <w:instrText xml:space="preserve"> PAGEREF _Toc19949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38F1DCA2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_Toc8003 </w:instrText>
          </w:r>
          <w:r>
            <w:fldChar w:fldCharType="separate"/>
          </w:r>
          <w:r>
            <w:t>6.5 统计显著性检验</w:t>
          </w:r>
          <w:r>
            <w:tab/>
          </w:r>
          <w:r>
            <w:fldChar w:fldCharType="begin"/>
          </w:r>
          <w:r>
            <w:instrText xml:space="preserve"> PAGEREF _Toc8003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2FAA61B6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_Toc28579 </w:instrText>
          </w:r>
          <w:r>
            <w:fldChar w:fldCharType="separate"/>
          </w:r>
          <w:r>
            <w:t>6.5.1 McNemar 检验（配对样本比较）</w:t>
          </w:r>
          <w:r>
            <w:tab/>
          </w:r>
          <w:r>
            <w:fldChar w:fldCharType="begin"/>
          </w:r>
          <w:r>
            <w:instrText xml:space="preserve"> PAGEREF _Toc28579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fldChar w:fldCharType="end"/>
          </w:r>
        </w:p>
        <w:p w14:paraId="4C229199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_Toc30088 </w:instrText>
          </w:r>
          <w:r>
            <w:fldChar w:fldCharType="separate"/>
          </w:r>
          <w:r>
            <w:t>6.5.2 Bootstrap 置信区间</w:t>
          </w:r>
          <w:r>
            <w:tab/>
          </w:r>
          <w:r>
            <w:fldChar w:fldCharType="begin"/>
          </w:r>
          <w:r>
            <w:instrText xml:space="preserve"> PAGEREF _Toc30088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12327B80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_Toc29240 </w:instrText>
          </w:r>
          <w:r>
            <w:fldChar w:fldCharType="separate"/>
          </w:r>
          <w:r>
            <w:t>6.6 局限性分析</w:t>
          </w:r>
          <w:r>
            <w:tab/>
          </w:r>
          <w:r>
            <w:fldChar w:fldCharType="begin"/>
          </w:r>
          <w:r>
            <w:instrText xml:space="preserve"> PAGEREF _Toc29240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36334E65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_Toc14016 </w:instrText>
          </w:r>
          <w:r>
            <w:fldChar w:fldCharType="separate"/>
          </w:r>
          <w:r>
            <w:t>6.6.1 Benchmark 污染</w:t>
          </w:r>
          <w:r>
            <w:tab/>
          </w:r>
          <w:r>
            <w:fldChar w:fldCharType="begin"/>
          </w:r>
          <w:r>
            <w:instrText xml:space="preserve"> PAGEREF _Toc14016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77AE4BFB">
          <w:pPr>
            <w:pStyle w:val="9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_Toc18513 </w:instrText>
          </w:r>
          <w:r>
            <w:fldChar w:fldCharType="separate"/>
          </w:r>
          <w:r>
            <w:t>6.6.2 辛普森悖论</w:t>
          </w:r>
          <w:r>
            <w:tab/>
          </w:r>
          <w:r>
            <w:fldChar w:fldCharType="begin"/>
          </w:r>
          <w:r>
            <w:instrText xml:space="preserve"> PAGEREF _Toc18513 \h </w:instrText>
          </w:r>
          <w:r>
            <w:fldChar w:fldCharType="separate"/>
          </w:r>
          <w:r>
            <w:t>44</w:t>
          </w:r>
          <w:r>
            <w:fldChar w:fldCharType="end"/>
          </w:r>
          <w:r>
            <w:fldChar w:fldCharType="end"/>
          </w:r>
        </w:p>
        <w:p w14:paraId="7F211C9D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_Toc2382 </w:instrText>
          </w:r>
          <w:r>
            <w:fldChar w:fldCharType="separate"/>
          </w:r>
          <w:r>
            <w:t>7. 综合案例分析：微调 → 对齐 → 评估 端到端管线</w:t>
          </w:r>
          <w:r>
            <w:tab/>
          </w:r>
          <w:r>
            <w:fldChar w:fldCharType="begin"/>
          </w:r>
          <w:r>
            <w:instrText xml:space="preserve"> PAGEREF _Toc2382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0F373D7C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_Toc27578 </w:instrText>
          </w:r>
          <w:r>
            <w:fldChar w:fldCharType="separate"/>
          </w:r>
          <w:r>
            <w:t>7.1 案例场景</w:t>
          </w:r>
          <w:r>
            <w:tab/>
          </w:r>
          <w:r>
            <w:fldChar w:fldCharType="begin"/>
          </w:r>
          <w:r>
            <w:instrText xml:space="preserve"> PAGEREF _Toc27578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33561E51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_Toc253 </w:instrText>
          </w:r>
          <w:r>
            <w:fldChar w:fldCharType="separate"/>
          </w:r>
          <w:r>
            <w:t>7.2 阶段一：SFT（LoRA 微调）</w:t>
          </w:r>
          <w:r>
            <w:tab/>
          </w:r>
          <w:r>
            <w:fldChar w:fldCharType="begin"/>
          </w:r>
          <w:r>
            <w:instrText xml:space="preserve"> PAGEREF _Toc253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2B70BBCB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_Toc17810 </w:instrText>
          </w:r>
          <w:r>
            <w:fldChar w:fldCharType="separate"/>
          </w:r>
          <w:r>
            <w:t>7.3 阶段二：DPO（偏好对齐）</w:t>
          </w:r>
          <w:r>
            <w:tab/>
          </w:r>
          <w:r>
            <w:fldChar w:fldCharType="begin"/>
          </w:r>
          <w:r>
            <w:instrText xml:space="preserve"> PAGEREF _Toc17810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fldChar w:fldCharType="end"/>
          </w:r>
        </w:p>
        <w:p w14:paraId="6E1F179A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_Toc31973 </w:instrText>
          </w:r>
          <w:r>
            <w:fldChar w:fldCharType="separate"/>
          </w:r>
          <w:r>
            <w:t>7.4 阶段三：GRPO（推理增强，可选）</w:t>
          </w:r>
          <w:r>
            <w:tab/>
          </w:r>
          <w:r>
            <w:fldChar w:fldCharType="begin"/>
          </w:r>
          <w:r>
            <w:instrText xml:space="preserve"> PAGEREF _Toc31973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5B75D07B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_Toc20770 </w:instrText>
          </w:r>
          <w:r>
            <w:fldChar w:fldCharType="separate"/>
          </w:r>
          <w:r>
            <w:t>7.5 阶段四：系统评估</w:t>
          </w:r>
          <w:r>
            <w:tab/>
          </w:r>
          <w:r>
            <w:fldChar w:fldCharType="begin"/>
          </w:r>
          <w:r>
            <w:instrText xml:space="preserve"> PAGEREF _Toc20770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6B39422F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_Toc2428 </w:instrText>
          </w:r>
          <w:r>
            <w:fldChar w:fldCharType="separate"/>
          </w:r>
          <w:r>
            <w:t>7.6 迭代决策树</w:t>
          </w:r>
          <w:r>
            <w:tab/>
          </w:r>
          <w:r>
            <w:fldChar w:fldCharType="begin"/>
          </w:r>
          <w:r>
            <w:instrText xml:space="preserve"> PAGEREF _Toc2428 \h </w:instrText>
          </w:r>
          <w:r>
            <w:fldChar w:fldCharType="separate"/>
          </w:r>
          <w:r>
            <w:t>47</w:t>
          </w:r>
          <w:r>
            <w:fldChar w:fldCharType="end"/>
          </w:r>
          <w:r>
            <w:fldChar w:fldCharType="end"/>
          </w:r>
        </w:p>
        <w:p w14:paraId="612FC73C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_Toc5676 </w:instrText>
          </w:r>
          <w:r>
            <w:fldChar w:fldCharType="separate"/>
          </w:r>
          <w:r>
            <w:t>8. 方法对比与总结</w:t>
          </w:r>
          <w:r>
            <w:tab/>
          </w:r>
          <w:r>
            <w:fldChar w:fldCharType="begin"/>
          </w:r>
          <w:r>
            <w:instrText xml:space="preserve"> PAGEREF _Toc5676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0981B3C2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_Toc4114 </w:instrText>
          </w:r>
          <w:r>
            <w:fldChar w:fldCharType="separate"/>
          </w:r>
          <w:r>
            <w:t>8.1 按目标选型决策树</w:t>
          </w:r>
          <w:r>
            <w:tab/>
          </w:r>
          <w:r>
            <w:fldChar w:fldCharType="begin"/>
          </w:r>
          <w:r>
            <w:instrText xml:space="preserve"> PAGEREF _Toc4114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73C838F6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_Toc16114 </w:instrText>
          </w:r>
          <w:r>
            <w:fldChar w:fldCharType="separate"/>
          </w:r>
          <w:r>
            <w:t>8.2 核心方法一句话总结</w:t>
          </w:r>
          <w:r>
            <w:tab/>
          </w:r>
          <w:r>
            <w:fldChar w:fldCharType="begin"/>
          </w:r>
          <w:r>
            <w:instrText xml:space="preserve"> PAGEREF _Toc16114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2915E7F6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_Toc10057 </w:instrText>
          </w:r>
          <w:r>
            <w:fldChar w:fldCharType="separate"/>
          </w:r>
          <w:r>
            <w:t>8.3 发展趋势</w:t>
          </w:r>
          <w:r>
            <w:tab/>
          </w:r>
          <w:r>
            <w:fldChar w:fldCharType="begin"/>
          </w:r>
          <w:r>
            <w:instrText xml:space="preserve"> PAGEREF _Toc10057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fldChar w:fldCharType="end"/>
          </w:r>
        </w:p>
        <w:p w14:paraId="12F3664C">
          <w:pPr>
            <w:pStyle w:val="11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_Toc28494 </w:instrText>
          </w:r>
          <w:r>
            <w:fldChar w:fldCharType="separate"/>
          </w:r>
          <w:r>
            <w:t>9. 参考文献</w:t>
          </w:r>
          <w:r>
            <w:tab/>
          </w:r>
          <w:r>
            <w:fldChar w:fldCharType="begin"/>
          </w:r>
          <w:r>
            <w:instrText xml:space="preserve"> PAGEREF _Toc28494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3A90DE29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_Toc13393 </w:instrText>
          </w:r>
          <w:r>
            <w:fldChar w:fldCharType="separate"/>
          </w:r>
          <w:r>
            <w:t>核心论文</w:t>
          </w:r>
          <w:r>
            <w:tab/>
          </w:r>
          <w:r>
            <w:fldChar w:fldCharType="begin"/>
          </w:r>
          <w:r>
            <w:instrText xml:space="preserve"> PAGEREF _Toc13393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fldChar w:fldCharType="end"/>
          </w:r>
        </w:p>
        <w:p w14:paraId="2E90F08B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_Toc28035 </w:instrText>
          </w:r>
          <w:r>
            <w:fldChar w:fldCharType="separate"/>
          </w:r>
          <w:r>
            <w:t>核心开源项目</w:t>
          </w:r>
          <w:r>
            <w:tab/>
          </w:r>
          <w:r>
            <w:fldChar w:fldCharType="begin"/>
          </w:r>
          <w:r>
            <w:instrText xml:space="preserve"> PAGEREF _Toc28035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5FF64B29">
          <w:pPr>
            <w:pStyle w:val="13"/>
            <w:keepNext w:val="0"/>
            <w:keepLines w:val="0"/>
            <w:pageBreakBefore w:val="0"/>
            <w:widowControl/>
            <w:tabs>
              <w:tab w:val="right" w:leader="dot" w:pos="9027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exact"/>
            <w:textAlignment w:val="auto"/>
          </w:pPr>
          <w:r>
            <w:fldChar w:fldCharType="begin"/>
          </w:r>
          <w:r>
            <w:instrText xml:space="preserve"> HYPERLINK \l _Toc19176 </w:instrText>
          </w:r>
          <w:r>
            <w:fldChar w:fldCharType="separate"/>
          </w:r>
          <w:r>
            <w:t>本地参考文档</w:t>
          </w:r>
          <w:r>
            <w:tab/>
          </w:r>
          <w:r>
            <w:fldChar w:fldCharType="begin"/>
          </w:r>
          <w:r>
            <w:instrText xml:space="preserve"> PAGEREF _Toc19176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fldChar w:fldCharType="end"/>
          </w:r>
        </w:p>
        <w:p w14:paraId="68BED79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fldChar w:fldCharType="end"/>
          </w:r>
          <w:bookmarkEnd w:id="13"/>
          <w:bookmarkStart w:id="14" w:name="HX2Tc"/>
        </w:p>
      </w:sdtContent>
    </w:sdt>
    <w:p w14:paraId="618237A3">
      <w:pPr>
        <w:bidi w:val="0"/>
        <w:rPr>
          <w:rFonts w:hint="eastAsia"/>
          <w:lang w:val="en-US" w:eastAsia="zh-CN"/>
        </w:rPr>
      </w:pPr>
      <w:bookmarkStart w:id="15" w:name="_Toc16300"/>
    </w:p>
    <w:p w14:paraId="49588EB7">
      <w:pPr>
        <w:bidi w:val="0"/>
        <w:rPr>
          <w:rFonts w:hint="eastAsia"/>
          <w:lang w:val="en-US" w:eastAsia="zh-CN"/>
        </w:rPr>
      </w:pPr>
    </w:p>
    <w:p w14:paraId="48291041">
      <w:pPr>
        <w:bidi w:val="0"/>
        <w:rPr>
          <w:rFonts w:hint="eastAsia"/>
          <w:lang w:val="en-US" w:eastAsia="zh-CN"/>
        </w:rPr>
      </w:pPr>
    </w:p>
    <w:p w14:paraId="01F7BBE0">
      <w:pPr>
        <w:bidi w:val="0"/>
        <w:rPr>
          <w:rFonts w:hint="eastAsia"/>
          <w:lang w:val="en-US" w:eastAsia="zh-CN"/>
        </w:rPr>
      </w:pPr>
    </w:p>
    <w:p w14:paraId="4977D12F">
      <w:pPr>
        <w:bidi w:val="0"/>
        <w:rPr>
          <w:rFonts w:hint="eastAsia"/>
          <w:lang w:val="en-US" w:eastAsia="zh-CN"/>
        </w:rPr>
      </w:pPr>
    </w:p>
    <w:p w14:paraId="09807574">
      <w:pPr>
        <w:bidi w:val="0"/>
        <w:rPr>
          <w:rFonts w:hint="eastAsia"/>
          <w:lang w:val="en-US" w:eastAsia="zh-CN"/>
        </w:rPr>
      </w:pPr>
    </w:p>
    <w:p w14:paraId="79A69B09">
      <w:pPr>
        <w:bidi w:val="0"/>
        <w:rPr>
          <w:rFonts w:hint="eastAsia"/>
          <w:lang w:val="en-US" w:eastAsia="zh-CN"/>
        </w:rPr>
      </w:pPr>
    </w:p>
    <w:p w14:paraId="35BB8AEB">
      <w:pPr>
        <w:bidi w:val="0"/>
        <w:rPr>
          <w:rFonts w:hint="eastAsia"/>
          <w:lang w:val="en-US" w:eastAsia="zh-CN"/>
        </w:rPr>
      </w:pPr>
    </w:p>
    <w:p w14:paraId="41CE2B57">
      <w:pPr>
        <w:bidi w:val="0"/>
        <w:rPr>
          <w:rFonts w:hint="eastAsia"/>
          <w:lang w:val="en-US" w:eastAsia="zh-CN"/>
        </w:rPr>
      </w:pPr>
    </w:p>
    <w:p w14:paraId="44BF77F8">
      <w:pPr>
        <w:bidi w:val="0"/>
        <w:rPr>
          <w:rFonts w:hint="eastAsia"/>
          <w:lang w:val="en-US" w:eastAsia="zh-CN"/>
        </w:rPr>
      </w:pPr>
    </w:p>
    <w:p w14:paraId="26898973">
      <w:pPr>
        <w:bidi w:val="0"/>
        <w:rPr>
          <w:rFonts w:hint="eastAsia"/>
          <w:lang w:val="en-US" w:eastAsia="zh-CN"/>
        </w:rPr>
      </w:pPr>
    </w:p>
    <w:p w14:paraId="5BEE508F">
      <w:pPr>
        <w:bidi w:val="0"/>
        <w:rPr>
          <w:rFonts w:hint="eastAsia"/>
          <w:lang w:val="en-US" w:eastAsia="zh-CN"/>
        </w:rPr>
      </w:pPr>
    </w:p>
    <w:p w14:paraId="3BEB2816">
      <w:pPr>
        <w:pStyle w:val="2"/>
        <w:bidi w:val="0"/>
        <w:ind w:left="0" w:leftChars="0" w:firstLine="0" w:firstLineChars="0"/>
      </w:pPr>
      <w:r>
        <w:t>1. 引言与背景</w:t>
      </w:r>
      <w:bookmarkEnd w:id="15"/>
    </w:p>
    <w:bookmarkEnd w:id="14"/>
    <w:p w14:paraId="7B8DC7E3">
      <w:pPr>
        <w:pStyle w:val="3"/>
        <w:bidi w:val="0"/>
      </w:pPr>
      <w:bookmarkStart w:id="16" w:name="_Toc19622"/>
      <w:bookmarkStart w:id="17" w:name="nnIYE"/>
      <w:r>
        <w:t>1.1 为什么需要 Post-Training？</w:t>
      </w:r>
      <w:bookmarkEnd w:id="16"/>
    </w:p>
    <w:bookmarkEnd w:id="17"/>
    <w:p w14:paraId="7A1640C5">
      <w:pPr>
        <w:bidi w:val="0"/>
      </w:pPr>
      <w:bookmarkStart w:id="18" w:name="u089e0c01"/>
      <w:r>
        <w:t>大语言模型（</w:t>
      </w:r>
      <w:r>
        <w:rPr>
          <w:b/>
          <w:bCs/>
        </w:rPr>
        <w:t>LLM</w:t>
      </w:r>
      <w:r>
        <w:t xml:space="preserve">）本质上是建立在 </w:t>
      </w:r>
      <w:r>
        <w:rPr>
          <w:b/>
          <w:bCs/>
        </w:rPr>
        <w:t>Transformer</w:t>
      </w:r>
      <w:r>
        <w:t xml:space="preserve"> 架构上的概率生成模型。预训练阶段通过</w:t>
      </w:r>
      <w:r>
        <w:rPr>
          <w:b/>
          <w:bCs/>
        </w:rPr>
        <w:t xml:space="preserve"> Next Token Prediction</w:t>
      </w:r>
      <w:r>
        <w:t xml:space="preserve"> 目标在海量文本上训练：</w:t>
      </w:r>
    </w:p>
    <w:bookmarkEnd w:id="18"/>
    <w:p w14:paraId="31871C12">
      <w:pPr>
        <w:spacing w:beforeLines="100" w:after="50" w:line="360" w:lineRule="auto"/>
        <w:ind w:left="0"/>
        <w:jc w:val="center"/>
      </w:pPr>
      <m:oMathPara>
        <m:oMath>
          <w:bookmarkStart w:id="19" w:name="u59db4b9c"/>
          <m:r>
            <m:rPr/>
            <w:rPr>
              <w:rFonts w:hint="default" w:ascii="Cambria Math" w:hAnsi="Cambria Math" w:eastAsia="宋体"/>
              <w:sz w:val="22"/>
            </w:rPr>
            <m:t>P(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x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n+1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|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x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1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,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x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2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,…,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x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n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;θ)=softmax(W⋅</m:t>
          </m:r>
          <m:sSub>
            <m:sSubPr>
              <m:ctrlPr>
                <w:rPr>
                  <w:rFonts w:hint="default" w:ascii="Cambria Math" w:hAnsi="Cambria Math" w:eastAsia="宋体"/>
                  <w:sz w:val="22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  <w:sz w:val="22"/>
                </w:rPr>
                <m:t>h</m:t>
              </m:r>
              <m:ctrlPr>
                <w:rPr>
                  <w:rFonts w:ascii="Cambria Math" w:hAnsi="Cambria Math" w:eastAsia="宋体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  <w:sz w:val="22"/>
                </w:rPr>
                <m:t>n</m:t>
              </m:r>
              <m:ctrlPr>
                <w:rPr>
                  <w:rFonts w:ascii="Cambria Math" w:hAnsi="Cambria Math" w:eastAsia="宋体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宋体"/>
              <w:sz w:val="22"/>
            </w:rPr>
            <m:t>)</m:t>
          </m:r>
        </m:oMath>
      </m:oMathPara>
    </w:p>
    <w:bookmarkEnd w:id="19"/>
    <w:p w14:paraId="34001643">
      <w:pPr>
        <w:bidi w:val="0"/>
        <w:ind w:firstLine="843"/>
      </w:pPr>
      <w:bookmarkStart w:id="20" w:name="u93aba3b6"/>
      <w:r>
        <w:t xml:space="preserve">其中 </w:t>
      </w:r>
      <m:oMath>
        <m:r>
          <m:rPr>
            <m:sty m:val="p"/>
          </m:rPr>
          <w:rPr>
            <w:rFonts w:hint="default" w:ascii="Cambria Math" w:hAnsi="Cambria Math"/>
          </w:rPr>
          <m:t>θ</m:t>
        </m:r>
      </m:oMath>
      <w:r>
        <w:t xml:space="preserve"> 代表数百亿甚至数千亿的参数，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h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t xml:space="preserve"> 是最后一层隐藏状态。这种自回归训练范式虽然赋予了模型强大的语言生成能力，但也带来了一个根本性矛盾：</w:t>
      </w:r>
    </w:p>
    <w:bookmarkEnd w:id="20"/>
    <w:p w14:paraId="12F5F7B6">
      <w:pPr>
        <w:bidi w:val="0"/>
        <w:ind w:firstLine="843"/>
      </w:pPr>
      <w:bookmarkStart w:id="21" w:name="u8d02d53d"/>
      <w:r>
        <w:t>预训练目标与用户期望之间的行为鸿沟（</w:t>
      </w:r>
      <w:r>
        <w:rPr>
          <w:b/>
          <w:bCs/>
        </w:rPr>
        <w:t>Behavior Gap</w:t>
      </w:r>
      <w:r>
        <w:t>）：</w:t>
      </w:r>
    </w:p>
    <w:tbl>
      <w:tblPr>
        <w:tblStyle w:val="16"/>
        <w:tblW w:w="9243" w:type="dxa"/>
        <w:tblInd w:w="6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399"/>
        <w:gridCol w:w="4590"/>
        <w:gridCol w:w="3254"/>
      </w:tblGrid>
      <w:tr w14:paraId="5BE877F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39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562F1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bCs/>
              </w:rPr>
              <w:t>维度</w:t>
            </w:r>
          </w:p>
        </w:tc>
        <w:tc>
          <w:tcPr>
            <w:tcW w:w="459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32E4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bCs/>
              </w:rPr>
              <w:t>预训练模型的行为</w:t>
            </w:r>
          </w:p>
        </w:tc>
        <w:tc>
          <w:tcPr>
            <w:tcW w:w="325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A167C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b/>
                <w:sz w:val="24"/>
                <w:szCs w:val="22"/>
                <w:lang w:val="en-US" w:eastAsia="en-US" w:bidi="ar-SA"/>
              </w:rPr>
            </w:pPr>
            <w:r>
              <w:rPr>
                <w:b/>
                <w:bCs/>
              </w:rPr>
              <w:t>用户期望的行为</w:t>
            </w:r>
          </w:p>
        </w:tc>
      </w:tr>
      <w:tr w14:paraId="56A0BC9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39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9775E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t>交互格式</w:t>
            </w:r>
          </w:p>
        </w:tc>
        <w:tc>
          <w:tcPr>
            <w:tcW w:w="459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3BA97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t>自由文本续写（"今天天气" → "很好，她走出门..."）</w:t>
            </w:r>
          </w:p>
        </w:tc>
        <w:tc>
          <w:tcPr>
            <w:tcW w:w="325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4A88B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t>对话式交互（用户问 → 模型答）</w:t>
            </w:r>
          </w:p>
        </w:tc>
      </w:tr>
      <w:tr w14:paraId="67BE05F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F9988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t>指令理解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7321A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t>不理解任务约束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FBE4B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t>精确遵循指令要求</w:t>
            </w:r>
          </w:p>
        </w:tc>
      </w:tr>
      <w:tr w14:paraId="26A62BE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33771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t>输出控制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C919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t>无格式约束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4E9F3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t>输出 JSON、Markdown、指定风格</w:t>
            </w:r>
          </w:p>
        </w:tc>
      </w:tr>
      <w:tr w14:paraId="1857272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A91D4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t>知识边界</w:t>
            </w: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F6CA9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t>倾向于编造"看起来合理"的内容</w:t>
            </w:r>
          </w:p>
        </w:tc>
        <w:tc>
          <w:tcPr>
            <w:tcW w:w="325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CA1B9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t>诚实地说"我不知道"</w:t>
            </w:r>
          </w:p>
        </w:tc>
      </w:tr>
      <w:tr w14:paraId="267CC1F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39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E87E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t>安全性</w:t>
            </w:r>
          </w:p>
        </w:tc>
        <w:tc>
          <w:tcPr>
            <w:tcW w:w="459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2F68A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t>无差别生成</w:t>
            </w:r>
          </w:p>
        </w:tc>
        <w:tc>
          <w:tcPr>
            <w:tcW w:w="325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C7D8F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Times New Roman" w:hAnsi="Times New Roman" w:eastAsia="宋体" w:cstheme="minorBidi"/>
                <w:sz w:val="24"/>
                <w:szCs w:val="22"/>
                <w:lang w:val="en-US" w:eastAsia="en-US" w:bidi="ar-SA"/>
              </w:rPr>
            </w:pPr>
            <w:r>
              <w:t>拒绝有害请求</w:t>
            </w:r>
          </w:p>
        </w:tc>
      </w:tr>
      <w:bookmarkEnd w:id="21"/>
    </w:tbl>
    <w:p w14:paraId="4929A311">
      <w:pPr>
        <w:bidi w:val="0"/>
        <w:ind w:firstLine="843"/>
      </w:pPr>
      <w:bookmarkStart w:id="22" w:name="uf8b618e8"/>
      <w:r>
        <w:t>Post-Training 正是为了弥合这一鸿沟而设计的一系列技术方法的统称，主要包括：</w:t>
      </w:r>
    </w:p>
    <w:bookmarkEnd w:id="22"/>
    <w:p w14:paraId="483E740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bookmarkStart w:id="23" w:name="uc4a9dae4"/>
      <w:r>
        <w:t>Fine-tuning（指令微调 / SFT）——教会模型"回答问题"</w:t>
      </w:r>
    </w:p>
    <w:bookmarkEnd w:id="23"/>
    <w:p w14:paraId="42D7F21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bookmarkStart w:id="24" w:name="ua294fc9f"/>
      <w:r>
        <w:t>Alignment（对齐）——让模型输出符合人类偏好</w:t>
      </w:r>
    </w:p>
    <w:bookmarkEnd w:id="24"/>
    <w:p w14:paraId="5F54CA52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bookmarkStart w:id="25" w:name="u399a500c"/>
      <w:r>
        <w:t>Evaluation（系统评估）——衡量模型在各维度的表现，指导迭代方向</w:t>
      </w:r>
      <w:bookmarkEnd w:id="25"/>
      <w:bookmarkStart w:id="26" w:name="u71260350"/>
    </w:p>
    <w:p w14:paraId="71E2B20E">
      <w:pPr>
        <w:bidi w:val="0"/>
        <w:ind w:firstLine="843"/>
      </w:pPr>
      <w:r>
        <w:t xml:space="preserve">🔗 详见《Evaluation Harness 技术深度解析》第 1 节：模型的 loss 下降不一定意味着推理能力提升——这被称为"loss 与能力之间的脱钩"。形式化地：若存在两个模型 </w:t>
      </w:r>
      <w:bookmarkStart w:id="27" w:name="XgZn7"/>
      <w:r>
        <w:t>A</w:t>
      </w:r>
      <w:bookmarkEnd w:id="27"/>
      <w:r>
        <w:t xml:space="preserve"> 和 </w:t>
      </w:r>
      <w:bookmarkStart w:id="28" w:name="DLYWM"/>
      <w:r>
        <w:t>B</w:t>
      </w:r>
      <w:bookmarkEnd w:id="28"/>
      <w:r>
        <w:t>，其训练损失</w:t>
      </w:r>
      <m:oMath>
        <m:r>
          <m:rPr>
            <m:scr m:val="script"/>
          </m:rPr>
          <w:rPr>
            <w:rFonts w:hint="default" w:ascii="Cambria Math" w:hAnsi="Cambria Math" w:eastAsia="MS Mincho"/>
            <w:sz w:val="24"/>
          </w:rPr>
          <m:t>ℒ</m:t>
        </m:r>
        <m:r>
          <m:rPr/>
          <w:rPr>
            <w:rFonts w:hint="default" w:ascii="Cambria Math" w:hAnsi="Cambria Math"/>
            <w:sz w:val="24"/>
          </w:rPr>
          <m:t>(A)gt;</m:t>
        </m:r>
        <m:r>
          <m:rPr>
            <m:scr m:val="script"/>
          </m:rPr>
          <w:rPr>
            <w:rFonts w:hint="default" w:ascii="Cambria Math" w:hAnsi="Cambria Math" w:eastAsia="MS Mincho"/>
            <w:sz w:val="24"/>
          </w:rPr>
          <m:t>ℒ</m:t>
        </m:r>
        <m:r>
          <m:rPr/>
          <w:rPr>
            <w:rFonts w:hint="default" w:ascii="Cambria Math" w:hAnsi="Cambria Math"/>
            <w:sz w:val="24"/>
          </w:rPr>
          <m:t>(B)</m:t>
        </m:r>
      </m:oMath>
      <w:r>
        <w:t xml:space="preserve">，但在某个下游任务 </w:t>
      </w:r>
      <w:bookmarkStart w:id="29" w:name="fW9PN"/>
      <w:r>
        <w:t>T</w:t>
      </w:r>
      <w:bookmarkEnd w:id="29"/>
      <w:r>
        <w:t xml:space="preserve"> 上 </w:t>
      </w:r>
      <w:bookmarkStart w:id="30" w:name="FVOS1"/>
      <w:r>
        <w:t>A</w:t>
      </w:r>
      <w:bookmarkEnd w:id="30"/>
      <w:r>
        <w:t xml:space="preserve"> 显著优于 </w:t>
      </w:r>
      <w:bookmarkStart w:id="31" w:name="RhUis"/>
      <w:r>
        <w:t>B</w:t>
      </w:r>
      <w:bookmarkEnd w:id="31"/>
      <w:r>
        <w:t>，则损失函数不足以作为能力的完备代理指标。</w:t>
      </w:r>
    </w:p>
    <w:bookmarkEnd w:id="26"/>
    <w:p w14:paraId="6701D721">
      <w:pPr>
        <w:pStyle w:val="3"/>
        <w:bidi w:val="0"/>
      </w:pPr>
      <w:bookmarkStart w:id="32" w:name="_Toc19142"/>
      <w:bookmarkStart w:id="33" w:name="RLayZ"/>
      <w:r>
        <w:t>1.2 Post-Training 三阶段管线</w:t>
      </w:r>
      <w:bookmarkEnd w:id="32"/>
    </w:p>
    <w:bookmarkEnd w:id="33"/>
    <w:p w14:paraId="0538C884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34" w:name="CAK14"/>
      <w:r>
        <w:rPr>
          <w:rFonts w:ascii="宋体" w:hAnsi="Courier New" w:eastAsia="宋体"/>
          <w:color w:val="000000"/>
          <w:sz w:val="20"/>
        </w:rPr>
        <w:t>预训练基座模型 (Base Model)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▼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┌───────────────────────────────────────────────┐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第一阶段：Fine-tuning (SFT)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────────────────────────  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目标：教会模型遵循指令、适应特定领域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数据：指令-回复对 (ChatML / Alpaca / ShareGPT)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方法：Full FT / LoRA / QLoRA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数学：最小化交叉熵损失（仅计算回复部分）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产出：指令模型 (Instruct Model)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└───────────────────┬───────────────────────────┘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    ▼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┌───────────────────────────────────────────────┐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第二阶段：Alignment (对齐) 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────────────────────────  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目标：让输出符合人类偏好（有用、无害、诚实）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数据：偏好对 (chosen vs rejected)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方法：RLHF (PPO) / DPO / GRPO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数学：最大化奖励 + KL 约束 / 偏好分类损失 / 组内比较│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产出：对齐模型 (Aligned Model)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└───────────────────┬───────────────────────────┘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    ▼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┌───────────────────────────────────────────────┐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第三阶段：Evaluation (系统评估)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────────────────────────  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目标：系统衡量模型在各维度的能力边界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数据：标准化 Benchmark (MMLU/GSM8K/等)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方法：lm-evaluation-harness / LLM-as-Judge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数学：Log-likelihood / 生成式匹配 / 统计检验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产出：评估报告 → 微调/对齐的迭代方向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└───────────────────────────────────────────────┘</w:t>
      </w:r>
    </w:p>
    <w:bookmarkEnd w:id="34"/>
    <w:p w14:paraId="24DB7031">
      <w:pPr>
        <w:bidi w:val="0"/>
      </w:pPr>
      <w:bookmarkStart w:id="35" w:name="ELkRc"/>
      <w:r>
        <w:rPr>
          <w:rFonts w:hint="eastAsia"/>
        </w:rPr>
        <w:t>💡 核心认知：这三个阶段不是一次性的流水线，而是一个迭代循环——评估结果反馈到微调和对齐的数据和策略选择中。最强的模型（如 ChatGPT、Claude、DeepSeek-R1）都经过了多轮这样的迭代。</w:t>
      </w:r>
    </w:p>
    <w:p w14:paraId="3C68CDD2">
      <w:pPr>
        <w:pStyle w:val="3"/>
        <w:bidi w:val="0"/>
      </w:pPr>
      <w:bookmarkStart w:id="36" w:name="_Toc14505"/>
      <w:r>
        <w:t>1.3 本报告的组织方式</w:t>
      </w:r>
      <w:bookmarkEnd w:id="36"/>
    </w:p>
    <w:bookmarkEnd w:id="35"/>
    <w:p w14:paraId="1632F997">
      <w:pPr>
        <w:bidi w:val="0"/>
      </w:pPr>
      <w:bookmarkStart w:id="37" w:name="uab5d8ed7"/>
      <w:r>
        <w:t>每个方法/案例都按以下框架展开：</w:t>
      </w:r>
    </w:p>
    <w:bookmarkEnd w:id="37"/>
    <w:p w14:paraId="7271246C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38" w:name="fkoqc"/>
      <w:r>
        <w:rPr>
          <w:rFonts w:ascii="宋体" w:hAnsi="Courier New" w:eastAsia="宋体"/>
          <w:color w:val="000000"/>
          <w:sz w:val="20"/>
        </w:rPr>
        <w:t>┌─────────────────────────────────────────────┐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① 解决什么问题  —— 动机与定位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② 输入数据      —— 数据格式、来源、规模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③ 输出结果      —— 产出什么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④ 数学原理      —— 优化目标 + 关键公式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⑤ 基本流程      —— 关键步骤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⑥ 优点          —— 核心优势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⑦ 局限性        —— 主要缺点和挑战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⑧ Post-training 位置 —— 在管线中的定位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└─────────────────────────────────────────────┘</w:t>
      </w:r>
    </w:p>
    <w:bookmarkEnd w:id="38"/>
    <w:p w14:paraId="707041FE">
      <w:pPr>
        <w:spacing w:beforeLines="100" w:after="50" w:line="360" w:lineRule="auto"/>
        <w:ind w:left="0"/>
      </w:pPr>
      <w:bookmarkStart w:id="39" w:name="SwYp4"/>
    </w:p>
    <w:p w14:paraId="553E03C6">
      <w:pPr>
        <w:spacing w:beforeLines="100" w:after="50" w:line="360" w:lineRule="auto"/>
        <w:ind w:left="0"/>
      </w:pPr>
    </w:p>
    <w:p w14:paraId="29B71F49">
      <w:pPr>
        <w:spacing w:beforeLines="100" w:after="50" w:line="360" w:lineRule="auto"/>
        <w:ind w:left="0"/>
      </w:pPr>
    </w:p>
    <w:p w14:paraId="0B3A417F">
      <w:pPr>
        <w:spacing w:beforeLines="100" w:after="50" w:line="360" w:lineRule="auto"/>
        <w:ind w:left="0"/>
      </w:pPr>
    </w:p>
    <w:p w14:paraId="7FED9091">
      <w:pPr>
        <w:spacing w:beforeLines="100" w:after="50" w:line="360" w:lineRule="auto"/>
        <w:ind w:left="0"/>
      </w:pPr>
    </w:p>
    <w:p w14:paraId="5161BBD5">
      <w:pPr>
        <w:spacing w:beforeLines="100" w:after="50" w:line="360" w:lineRule="auto"/>
        <w:ind w:left="0"/>
      </w:pPr>
    </w:p>
    <w:p w14:paraId="0A0F93A5">
      <w:pPr>
        <w:spacing w:beforeLines="100" w:after="50" w:line="360" w:lineRule="auto"/>
        <w:ind w:left="0"/>
      </w:pPr>
    </w:p>
    <w:p w14:paraId="6920BB70">
      <w:pPr>
        <w:spacing w:beforeLines="100" w:after="50" w:line="360" w:lineRule="auto"/>
        <w:ind w:left="0"/>
      </w:pPr>
    </w:p>
    <w:bookmarkEnd w:id="39"/>
    <w:p w14:paraId="0AAA884A">
      <w:pPr>
        <w:pStyle w:val="2"/>
        <w:bidi w:val="0"/>
      </w:pPr>
      <w:bookmarkStart w:id="40" w:name="_Toc28649"/>
      <w:bookmarkStart w:id="41" w:name="wh3qq"/>
      <w:r>
        <w:t>2. 小组分工</w:t>
      </w:r>
      <w:bookmarkEnd w:id="40"/>
    </w:p>
    <w:bookmarkEnd w:id="41"/>
    <w:p w14:paraId="712688F1">
      <w:pPr>
        <w:bidi w:val="0"/>
      </w:pPr>
      <w:bookmarkStart w:id="42" w:name="udc48f003"/>
      <w:r>
        <w:t>本调研报告由以下小组成员协作完成：</w:t>
      </w:r>
    </w:p>
    <w:tbl>
      <w:tblPr>
        <w:tblStyle w:val="16"/>
        <w:tblW w:w="9243" w:type="dxa"/>
        <w:tblInd w:w="115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45"/>
        <w:gridCol w:w="1845"/>
        <w:gridCol w:w="5653"/>
      </w:tblGrid>
      <w:tr w14:paraId="3F14323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493AF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成员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4D76B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角色</w:t>
            </w:r>
          </w:p>
        </w:tc>
        <w:tc>
          <w:tcPr>
            <w:tcW w:w="565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83DF8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负责内容</w:t>
            </w:r>
          </w:p>
        </w:tc>
      </w:tr>
      <w:tr w14:paraId="48F2648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A6C54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胡亚鑫2023214974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31BE2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组长 / Fine-tuning 负责人</w:t>
            </w:r>
          </w:p>
        </w:tc>
        <w:tc>
          <w:tcPr>
            <w:tcW w:w="565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94070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Fine-tuning 技术调研与报告撰写；② SFT / LoRA / QLoRA 案例分析与数学推导；③ Alpaca 案例研究；④ 数据格式与超参数字节</w:t>
            </w:r>
          </w:p>
        </w:tc>
      </w:tr>
      <w:tr w14:paraId="63160CB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A07E8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胡亚鑫2023214974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95D79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Alignment 负责人</w:t>
            </w:r>
          </w:p>
        </w:tc>
        <w:tc>
          <w:tcPr>
            <w:tcW w:w="56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1229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Alignment 技术调研与报告撰写；② RLHF / DPO / GRPO 案例分析与公式推导；③ 方法对比与选型指南；④ 偏好数据集调研</w:t>
            </w:r>
          </w:p>
        </w:tc>
      </w:tr>
      <w:tr w14:paraId="746A488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C3D2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胡亚鑫2023214974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6DA0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Evaluation 负责人</w:t>
            </w:r>
          </w:p>
        </w:tc>
        <w:tc>
          <w:tcPr>
            <w:tcW w:w="565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8B3D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Evaluation 技术调研与报告撰写；② lm-eval 工具使用与命令示例；③ Benchmark 体系整理与对比；④ 统计检验与异常诊断</w:t>
            </w:r>
          </w:p>
        </w:tc>
      </w:tr>
      <w:tr w14:paraId="2CA526D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74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E131D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rPr>
                <w:rFonts w:hint="eastAsia"/>
                <w:lang w:val="en-US" w:eastAsia="zh-CN"/>
              </w:rPr>
              <w:t>胡亚鑫2023214974</w:t>
            </w:r>
          </w:p>
        </w:tc>
        <w:tc>
          <w:tcPr>
            <w:tcW w:w="184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F46B6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综合与整合</w:t>
            </w:r>
          </w:p>
        </w:tc>
        <w:tc>
          <w:tcPr>
            <w:tcW w:w="565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4DF1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报告统稿与格式校对；② 参考文献整理；③ 端到端管线案例分析；④ GitHub 仓库管理与提交</w:t>
            </w:r>
          </w:p>
        </w:tc>
      </w:tr>
      <w:bookmarkEnd w:id="42"/>
    </w:tbl>
    <w:p w14:paraId="3B02A207">
      <w:pPr>
        <w:bidi w:val="0"/>
        <w:rPr>
          <w:b/>
          <w:bCs/>
        </w:rPr>
      </w:pPr>
      <w:bookmarkStart w:id="43" w:name="u8efebcf7"/>
      <w:r>
        <w:rPr>
          <w:b/>
          <w:bCs/>
        </w:rPr>
        <w:t>协作流程：</w:t>
      </w:r>
    </w:p>
    <w:bookmarkEnd w:id="43"/>
    <w:p w14:paraId="5557E734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44" w:name="keBlA"/>
      <w:r>
        <w:rPr>
          <w:rFonts w:ascii="宋体" w:hAnsi="Courier New" w:eastAsia="宋体"/>
          <w:color w:val="000000"/>
          <w:sz w:val="20"/>
        </w:rPr>
        <w:t>A (Fine-tuning) ──┬── 写 SFT/LoRA/QLoRA 章节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B (Alignment)  ──┼── 写 RLHF/DPO/GRPO 章节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C (Evaluation) ──┼── 写 Benchmark/lm-eval 章节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D (整合) ────────┴── 统稿 + 对比总结 + 参考文献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        ▼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  终稿提交 GitHub + 小雅平台</w:t>
      </w:r>
    </w:p>
    <w:bookmarkEnd w:id="44"/>
    <w:p w14:paraId="033C57E1">
      <w:pPr>
        <w:spacing w:beforeLines="100" w:after="50" w:line="360" w:lineRule="auto"/>
        <w:ind w:left="0" w:leftChars="0" w:firstLine="0" w:firstLineChars="0"/>
      </w:pPr>
      <w:bookmarkStart w:id="45" w:name="zFwKc"/>
    </w:p>
    <w:p w14:paraId="71292362">
      <w:pPr>
        <w:spacing w:beforeLines="100" w:after="50" w:line="360" w:lineRule="auto"/>
        <w:ind w:left="0" w:leftChars="0" w:firstLine="0" w:firstLineChars="0"/>
      </w:pPr>
    </w:p>
    <w:bookmarkEnd w:id="45"/>
    <w:p w14:paraId="73AB692E">
      <w:pPr>
        <w:pStyle w:val="2"/>
        <w:bidi w:val="0"/>
      </w:pPr>
      <w:bookmarkStart w:id="46" w:name="_Toc23138"/>
      <w:bookmarkStart w:id="47" w:name="PEKYM"/>
      <w:r>
        <w:t>3. Post-Training 概述</w:t>
      </w:r>
      <w:bookmarkEnd w:id="46"/>
    </w:p>
    <w:bookmarkEnd w:id="47"/>
    <w:p w14:paraId="780268EA">
      <w:pPr>
        <w:pStyle w:val="3"/>
        <w:bidi w:val="0"/>
      </w:pPr>
      <w:bookmarkStart w:id="48" w:name="_Toc29055"/>
      <w:bookmarkStart w:id="49" w:name="gIcoB"/>
      <w:r>
        <w:t>3.1 什么是 Post-Training</w:t>
      </w:r>
      <w:bookmarkEnd w:id="48"/>
    </w:p>
    <w:bookmarkEnd w:id="49"/>
    <w:p w14:paraId="0D706659">
      <w:pPr>
        <w:bidi w:val="0"/>
      </w:pPr>
      <w:bookmarkStart w:id="50" w:name="u7a1793df"/>
      <w:r>
        <w:t>Post-Training（训练后优化）是指在预训练完成后，对模型进行的一系列针对性的优化步骤。它在概念上区别于预训练（Pre-training）的两个关键点：</w:t>
      </w:r>
    </w:p>
    <w:tbl>
      <w:tblPr>
        <w:tblStyle w:val="16"/>
        <w:tblW w:w="9243" w:type="dxa"/>
        <w:tblInd w:w="6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76"/>
        <w:gridCol w:w="3976"/>
        <w:gridCol w:w="3991"/>
      </w:tblGrid>
      <w:tr w14:paraId="3917623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27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078415">
            <w:pPr>
              <w:bidi w:val="0"/>
              <w:snapToGrid w:val="0"/>
              <w:ind w:left="0" w:leftChars="0" w:firstLine="0" w:firstLineChars="0"/>
              <w:jc w:val="center"/>
              <w:rPr>
                <w:lang w:val="en-US" w:eastAsia="en-US"/>
              </w:rPr>
            </w:pPr>
            <w:r>
              <w:t>对比维度</w:t>
            </w:r>
          </w:p>
        </w:tc>
        <w:tc>
          <w:tcPr>
            <w:tcW w:w="397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CDA65">
            <w:pPr>
              <w:bidi w:val="0"/>
              <w:snapToGrid w:val="0"/>
              <w:ind w:firstLine="843"/>
              <w:jc w:val="center"/>
              <w:rPr>
                <w:lang w:val="en-US" w:eastAsia="en-US"/>
              </w:rPr>
            </w:pPr>
            <w:r>
              <w:t>Pre-training</w:t>
            </w:r>
          </w:p>
        </w:tc>
        <w:tc>
          <w:tcPr>
            <w:tcW w:w="399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22059">
            <w:pPr>
              <w:bidi w:val="0"/>
              <w:snapToGrid w:val="0"/>
              <w:ind w:firstLine="843"/>
              <w:jc w:val="center"/>
              <w:rPr>
                <w:lang w:val="en-US" w:eastAsia="en-US"/>
              </w:rPr>
            </w:pPr>
            <w:r>
              <w:t>Post-Training</w:t>
            </w:r>
          </w:p>
        </w:tc>
      </w:tr>
      <w:tr w14:paraId="49ADD65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27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5ECED">
            <w:pPr>
              <w:bidi w:val="0"/>
              <w:snapToGrid w:val="0"/>
              <w:ind w:left="0" w:leftChars="0" w:firstLine="0" w:firstLineChars="0"/>
              <w:jc w:val="both"/>
              <w:rPr>
                <w:lang w:val="en-US" w:eastAsia="en-US"/>
              </w:rPr>
            </w:pPr>
            <w:bookmarkStart w:id="51" w:name="uf14f32e5"/>
            <w:r>
              <w:t>数据</w:t>
            </w:r>
          </w:p>
        </w:tc>
        <w:tc>
          <w:tcPr>
            <w:tcW w:w="397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DDEA26">
            <w:pPr>
              <w:bidi w:val="0"/>
              <w:snapToGrid w:val="0"/>
              <w:ind w:left="0" w:leftChars="0" w:firstLine="0" w:firstLineChars="0"/>
              <w:jc w:val="both"/>
              <w:rPr>
                <w:lang w:val="en-US" w:eastAsia="en-US"/>
              </w:rPr>
            </w:pPr>
            <w:r>
              <w:t>TB 级无标注文本（CommonCrawl, Wikipedia, 书籍）</w:t>
            </w:r>
          </w:p>
        </w:tc>
        <w:tc>
          <w:tcPr>
            <w:tcW w:w="399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CEC3F2">
            <w:pPr>
              <w:bidi w:val="0"/>
              <w:snapToGrid w:val="0"/>
              <w:ind w:left="0" w:leftChars="0" w:firstLine="0" w:firstLineChars="0"/>
              <w:jc w:val="both"/>
              <w:rPr>
                <w:lang w:val="en-US" w:eastAsia="en-US"/>
              </w:rPr>
            </w:pPr>
            <w:r>
              <w:t>标注数据（指令-回复对 / 偏好对 / Benchmark）</w:t>
            </w:r>
          </w:p>
        </w:tc>
      </w:tr>
      <w:tr w14:paraId="159AAB4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4C57D">
            <w:pPr>
              <w:bidi w:val="0"/>
              <w:snapToGrid w:val="0"/>
              <w:ind w:left="0" w:leftChars="0" w:firstLine="0" w:firstLineChars="0"/>
              <w:jc w:val="both"/>
              <w:rPr>
                <w:lang w:val="en-US" w:eastAsia="en-US"/>
              </w:rPr>
            </w:pPr>
            <w:r>
              <w:t>目标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18A926">
            <w:pPr>
              <w:bidi w:val="0"/>
              <w:snapToGrid w:val="0"/>
              <w:ind w:left="0" w:leftChars="0" w:firstLine="0" w:firstLineChars="0"/>
              <w:jc w:val="both"/>
              <w:rPr>
                <w:lang w:val="en-US" w:eastAsia="en-US"/>
              </w:rPr>
            </w:pPr>
            <w:r>
              <w:t xml:space="preserve">学习通用语言分布 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P(text)</m:t>
              </m:r>
            </m:oMath>
          </w:p>
        </w:tc>
        <w:tc>
          <w:tcPr>
            <w:tcW w:w="399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3B84ED">
            <w:pPr>
              <w:bidi w:val="0"/>
              <w:snapToGrid w:val="0"/>
              <w:ind w:left="0" w:leftChars="0" w:firstLine="0" w:firstLineChars="0"/>
              <w:jc w:val="both"/>
              <w:rPr>
                <w:lang w:val="en-US" w:eastAsia="en-US"/>
              </w:rPr>
            </w:pPr>
            <w:r>
              <w:t>校准条件分布 P(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response∣instruction</m:t>
              </m:r>
            </m:oMath>
            <w:r>
              <w:t>)</w:t>
            </w:r>
          </w:p>
        </w:tc>
      </w:tr>
      <w:tr w14:paraId="49FCD86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AAA88B">
            <w:pPr>
              <w:bidi w:val="0"/>
              <w:snapToGrid w:val="0"/>
              <w:ind w:left="0" w:leftChars="0" w:firstLine="0" w:firstLineChars="0"/>
              <w:jc w:val="both"/>
              <w:rPr>
                <w:lang w:val="en-US" w:eastAsia="en-US"/>
              </w:rPr>
            </w:pPr>
            <w:r>
              <w:t>参数更新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4064A">
            <w:pPr>
              <w:bidi w:val="0"/>
              <w:snapToGrid w:val="0"/>
              <w:ind w:left="0" w:leftChars="0" w:firstLine="0" w:firstLineChars="0"/>
              <w:jc w:val="both"/>
              <w:rPr>
                <w:lang w:val="en-US" w:eastAsia="en-US"/>
              </w:rPr>
            </w:pPr>
            <w:r>
              <w:t>从随机初始化开始</w:t>
            </w:r>
          </w:p>
        </w:tc>
        <w:tc>
          <w:tcPr>
            <w:tcW w:w="399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8E5A68">
            <w:pPr>
              <w:bidi w:val="0"/>
              <w:snapToGrid w:val="0"/>
              <w:ind w:left="0" w:leftChars="0" w:firstLine="0" w:firstLineChars="0"/>
              <w:jc w:val="both"/>
              <w:rPr>
                <w:lang w:val="en-US" w:eastAsia="en-US"/>
              </w:rPr>
            </w:pPr>
            <w:r>
              <w:t xml:space="preserve">从预训练权重 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θ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0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</m:oMath>
            <w:r>
              <w:t xml:space="preserve"> 开始</w:t>
            </w:r>
          </w:p>
        </w:tc>
      </w:tr>
      <w:tr w14:paraId="09663AA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1095" w:hRule="atLeast"/>
          <w:tblHeader/>
        </w:trPr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463435">
            <w:pPr>
              <w:bidi w:val="0"/>
              <w:snapToGrid w:val="0"/>
              <w:ind w:left="0" w:leftChars="0" w:firstLine="0" w:firstLineChars="0"/>
              <w:jc w:val="both"/>
              <w:rPr>
                <w:lang w:val="en-US" w:eastAsia="en-US"/>
              </w:rPr>
            </w:pPr>
            <w:r>
              <w:t>所需资源</w:t>
            </w:r>
          </w:p>
        </w:tc>
        <w:tc>
          <w:tcPr>
            <w:tcW w:w="39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915FF3">
            <w:pPr>
              <w:bidi w:val="0"/>
              <w:snapToGrid w:val="0"/>
              <w:ind w:left="0" w:leftChars="0" w:firstLine="0" w:firstLineChars="0"/>
              <w:jc w:val="both"/>
              <w:rPr>
                <w:lang w:val="en-US" w:eastAsia="en-US"/>
              </w:rPr>
            </w:pPr>
            <w:r>
              <w:t>数千 GPU 天，数百万美元</w:t>
            </w:r>
          </w:p>
        </w:tc>
        <w:tc>
          <w:tcPr>
            <w:tcW w:w="399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C4A09">
            <w:pPr>
              <w:bidi w:val="0"/>
              <w:snapToGrid w:val="0"/>
              <w:ind w:left="0" w:leftChars="0" w:firstLine="0" w:firstLineChars="0"/>
              <w:jc w:val="both"/>
              <w:rPr>
                <w:lang w:val="en-US" w:eastAsia="en-US"/>
              </w:rPr>
            </w:pPr>
            <w:r>
              <w:t>数 GPU 天到数 GPU 周，100 ~ 10,000</w:t>
            </w:r>
          </w:p>
        </w:tc>
      </w:tr>
      <w:tr w14:paraId="276D977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127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7117B3">
            <w:pPr>
              <w:bidi w:val="0"/>
              <w:snapToGrid w:val="0"/>
              <w:ind w:left="0" w:leftChars="0" w:firstLine="0" w:firstLineChars="0"/>
              <w:jc w:val="both"/>
              <w:rPr>
                <w:lang w:val="en-US" w:eastAsia="en-US"/>
              </w:rPr>
            </w:pPr>
            <w:r>
              <w:t>核心挑战</w:t>
            </w:r>
          </w:p>
        </w:tc>
        <w:tc>
          <w:tcPr>
            <w:tcW w:w="397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EA321B">
            <w:pPr>
              <w:bidi w:val="0"/>
              <w:snapToGrid w:val="0"/>
              <w:ind w:left="0" w:leftChars="0" w:firstLine="0" w:firstLineChars="0"/>
              <w:jc w:val="both"/>
              <w:rPr>
                <w:lang w:val="en-US" w:eastAsia="en-US"/>
              </w:rPr>
            </w:pPr>
            <w:r>
              <w:t>训练稳定性、数据质量、规模扩展</w:t>
            </w:r>
          </w:p>
        </w:tc>
        <w:tc>
          <w:tcPr>
            <w:tcW w:w="399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27178">
            <w:pPr>
              <w:bidi w:val="0"/>
              <w:snapToGrid w:val="0"/>
              <w:ind w:left="0" w:leftChars="0" w:firstLine="0" w:firstLineChars="0"/>
              <w:jc w:val="both"/>
              <w:rPr>
                <w:lang w:val="en-US" w:eastAsia="en-US"/>
              </w:rPr>
            </w:pPr>
            <w:r>
              <w:t>数据效率、灾难性遗忘、偏好对齐</w:t>
            </w:r>
          </w:p>
        </w:tc>
      </w:tr>
      <w:bookmarkEnd w:id="50"/>
      <w:bookmarkEnd w:id="51"/>
    </w:tbl>
    <w:p w14:paraId="06639D3A">
      <w:pPr>
        <w:bidi w:val="0"/>
        <w:ind w:firstLine="843"/>
      </w:pPr>
      <w:bookmarkStart w:id="52" w:name="u667a9a29"/>
      <w:r>
        <w:t>数学统一视角：所有 Post-Training 方法都可以看作是在调整条件分布：</w:t>
      </w:r>
    </w:p>
    <w:bookmarkEnd w:id="52"/>
    <w:p w14:paraId="4D286754">
      <w:pPr>
        <w:bidi w:val="0"/>
        <w:ind w:firstLine="843"/>
      </w:pPr>
      <w:bookmarkStart w:id="53" w:name="u0b1a382e"/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P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post−train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(response∣instruction;θ)</m:t>
          </m:r>
        </m:oMath>
      </m:oMathPara>
    </w:p>
    <w:bookmarkEnd w:id="53"/>
    <w:p w14:paraId="7180068B">
      <w:pPr>
        <w:bidi w:val="0"/>
        <w:ind w:firstLine="843"/>
      </w:pPr>
      <w:bookmarkStart w:id="54" w:name="u11211d7a"/>
      <w:r>
        <w:t xml:space="preserve">使得它从预训练的"自由文本续写分布"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P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PT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(text∣prefix)</m:t>
        </m:r>
      </m:oMath>
      <w:r>
        <w:t xml:space="preserve">逐渐逼近"理想的助手分布"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P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ideal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(response∣instruction)</m:t>
        </m:r>
      </m:oMath>
      <w:r>
        <w:t>。</w:t>
      </w:r>
    </w:p>
    <w:bookmarkEnd w:id="54"/>
    <w:p w14:paraId="45343183">
      <w:pPr>
        <w:pStyle w:val="3"/>
        <w:bidi w:val="0"/>
      </w:pPr>
      <w:bookmarkStart w:id="55" w:name="_Toc21248"/>
      <w:bookmarkStart w:id="56" w:name="f2MbG"/>
      <w:r>
        <w:t>3.2 为什么不能只做 SFT？</w:t>
      </w:r>
      <w:bookmarkEnd w:id="55"/>
    </w:p>
    <w:bookmarkEnd w:id="56"/>
    <w:p w14:paraId="270A1AEF">
      <w:pPr>
        <w:bidi w:val="0"/>
        <w:ind w:firstLine="843"/>
      </w:pPr>
      <w:bookmarkStart w:id="57" w:name="uf0bc3aed"/>
      <w:r>
        <w:t>SFT 虽然教会了模型"回答问题"，但它有一个致命弱点：</w:t>
      </w:r>
    </w:p>
    <w:bookmarkEnd w:id="57"/>
    <w:p w14:paraId="53B1B655">
      <w:pPr>
        <w:bidi w:val="0"/>
        <w:ind w:firstLine="843"/>
      </w:pPr>
      <w:bookmarkStart w:id="58" w:name="ude3be954"/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ℒ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SFT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=−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4"/>
                </w:rPr>
                <m:t>E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(x,</m:t>
              </m:r>
              <m:sSup>
                <m:s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∗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4"/>
                </w:rPr>
                <m:t>)∼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SFT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[</m:t>
          </m:r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log</m:t>
              </m:r>
              <m:ctrlPr>
                <w:rPr>
                  <w:rFonts w:hint="default" w:ascii="Cambria Math" w:hAnsi="Cambria Math"/>
                  <w:sz w:val="24"/>
                </w:rPr>
              </m:ctrlPr>
            </m:fName>
            <m:e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π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SFT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</w:rPr>
            <m:t>(</m:t>
          </m:r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</w:rPr>
                <m:t>y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∗</m:t>
              </m:r>
              <m:ctrlPr>
                <w:rPr>
                  <w:rFonts w:hint="default" w:ascii="Cambria Math" w:hAnsi="Cambria Math"/>
                  <w:sz w:val="24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</w:rPr>
            <m:t>|x)]</m:t>
          </m:r>
        </m:oMath>
      </m:oMathPara>
    </w:p>
    <w:bookmarkEnd w:id="58"/>
    <w:p w14:paraId="5C85DA5E">
      <w:pPr>
        <w:bidi w:val="0"/>
        <w:ind w:firstLine="843"/>
      </w:pPr>
      <w:bookmarkStart w:id="59" w:name="u4b463c0b"/>
      <w:r>
        <w:t xml:space="preserve">这个目标函数对所有"非参考答案"的惩罚是均等的——无论一个错误的回答是"略微不准确"还是"极其危险"，在 SFT 的损失函数中都只是"不是 </w:t>
      </w:r>
      <m:oMath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y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∗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t>"：</w:t>
      </w:r>
    </w:p>
    <w:bookmarkEnd w:id="59"/>
    <w:p w14:paraId="213F8146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60" w:name="eU4Zh"/>
      <w:r>
        <w:rPr>
          <w:rFonts w:ascii="宋体" w:hAnsi="Courier New" w:eastAsia="宋体"/>
          <w:color w:val="000000"/>
          <w:sz w:val="20"/>
        </w:rPr>
        <w:t>损失函数视角下的"SFT 盲区"：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SFT loss = -log P("这是一个好问题" | prompt)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= -log P("这是一个坏问题" | prompt)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= -log P("我来教你如何制作炸弹" | prompt)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三者 loss 一样大！SFT 无法区分"不好的回答"和"危险的回答"！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60"/>
    <w:p w14:paraId="046737D5">
      <w:pPr>
        <w:bidi w:val="0"/>
      </w:pPr>
      <w:bookmarkStart w:id="61" w:name="u43d6d569"/>
      <w:r>
        <w:t>这就是为什么 SFT 之后必须做 Alignment——Alignment 教会模型"怎么做好"和"什么不能做"。</w:t>
      </w:r>
    </w:p>
    <w:bookmarkEnd w:id="61"/>
    <w:p w14:paraId="5238036E">
      <w:pPr>
        <w:bidi w:val="0"/>
      </w:pPr>
      <w:bookmarkStart w:id="62" w:name="WFWto"/>
      <w:r>
        <w:rPr>
          <w:rFonts w:hint="eastAsia"/>
        </w:rPr>
        <w:t>🔗 详见《Alignment 技术笔记》第 1.3 节：SFT 的局限包括不懂拒绝、不懂"不知道"、不懂偏好、不懂分寸、分布外脆弱。</w:t>
      </w:r>
    </w:p>
    <w:p w14:paraId="01A89AFE">
      <w:pPr>
        <w:pStyle w:val="3"/>
        <w:bidi w:val="0"/>
      </w:pPr>
      <w:bookmarkStart w:id="63" w:name="_Toc31395"/>
      <w:r>
        <w:t>3.3 评估的必要性</w:t>
      </w:r>
      <w:bookmarkEnd w:id="63"/>
    </w:p>
    <w:bookmarkEnd w:id="62"/>
    <w:p w14:paraId="6598A146">
      <w:pPr>
        <w:bidi w:val="0"/>
      </w:pPr>
      <w:bookmarkStart w:id="64" w:name="uc416264e"/>
      <w:r>
        <w:t>没有任何单一指标可以覆盖所有评估维度。核心矛盾：</w:t>
      </w:r>
    </w:p>
    <w:p w14:paraId="5024DC77">
      <w:pPr>
        <w:bidi w:val="0"/>
      </w:pPr>
      <w:r>
        <w:rPr>
          <w:rFonts w:hint="eastAsia"/>
        </w:rPr>
        <w:t>不存在一个静态指标能预言模型在未知任务上的表现。</w:t>
      </w:r>
    </w:p>
    <w:bookmarkEnd w:id="64"/>
    <w:p w14:paraId="409F4CF2">
      <w:pPr>
        <w:bidi w:val="0"/>
      </w:pPr>
      <w:bookmarkStart w:id="65" w:name="uafabde14"/>
      <w:r>
        <w:t xml:space="preserve">形式化地，定义一个评估维度集合 </w:t>
      </w:r>
      <m:oMath>
        <m:r>
          <m:rPr>
            <m:scr m:val="script"/>
          </m:rPr>
          <w:rPr>
            <w:rFonts w:hint="default" w:ascii="Cambria Math" w:hAnsi="Cambria Math" w:eastAsia="MS Mincho"/>
            <w:sz w:val="24"/>
          </w:rPr>
          <m:t>T</m:t>
        </m:r>
        <m:r>
          <m:rPr/>
          <w:rPr>
            <w:rFonts w:hint="default" w:ascii="Cambria Math" w:hAnsi="Cambria Math"/>
            <w:sz w:val="24"/>
          </w:rPr>
          <m:t>={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,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,...,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k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}</m:t>
        </m:r>
      </m:oMath>
      <w:r>
        <w:t>，我们需要：</w:t>
      </w:r>
    </w:p>
    <w:bookmarkEnd w:id="65"/>
    <w:p w14:paraId="5DBE6DA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bookmarkStart w:id="66" w:name="u4d5d625f"/>
      <w:r>
        <w:t xml:space="preserve">对于每个维度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t xml:space="preserve">，定义适当的 </w:t>
      </w:r>
      <m:oMath>
        <m:r>
          <m:rPr/>
          <w:rPr>
            <w:rFonts w:hint="default" w:ascii="Cambria Math" w:hAnsi="Cambria Math"/>
            <w:sz w:val="24"/>
          </w:rPr>
          <m:t>metric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M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</w:p>
    <w:bookmarkEnd w:id="66"/>
    <w:p w14:paraId="2E72341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bookmarkStart w:id="67" w:name="ud96a0224"/>
      <w:r>
        <w:t>选择合适的评估方式（Log-likelihood 或生成式）</w:t>
      </w:r>
    </w:p>
    <w:bookmarkEnd w:id="67"/>
    <w:p w14:paraId="0F4741C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bookmarkStart w:id="68" w:name="u0e5658e7"/>
      <w:r>
        <w:t>确保评估结果可复现（固定 seed、prompt 模板、解码策略）</w:t>
      </w:r>
    </w:p>
    <w:p w14:paraId="68ED5391">
      <w:pPr>
        <w:bidi w:val="0"/>
      </w:pPr>
      <w:r>
        <w:rPr>
          <w:rFonts w:hint="eastAsia"/>
        </w:rPr>
        <w:t>🔗 详见《Evaluation Harness 技术深度解析》第 1.2 节：评估的八个核心维度（知识、数学、代码、文本理解、安全、指令遵循、Agent、多语言）。</w:t>
      </w:r>
      <w:bookmarkEnd w:id="68"/>
      <w:bookmarkStart w:id="69" w:name="J8abK"/>
    </w:p>
    <w:bookmarkEnd w:id="69"/>
    <w:p w14:paraId="03B2B9FF">
      <w:pPr>
        <w:pStyle w:val="2"/>
        <w:bidi w:val="0"/>
      </w:pPr>
      <w:bookmarkStart w:id="70" w:name="_Toc7476"/>
      <w:bookmarkStart w:id="71" w:name="s0BSt"/>
      <w:r>
        <w:t>4. 第一部分：Fine-tuning（指令微调）</w:t>
      </w:r>
      <w:bookmarkEnd w:id="70"/>
    </w:p>
    <w:bookmarkEnd w:id="71"/>
    <w:p w14:paraId="7E154275">
      <w:pPr>
        <w:pStyle w:val="3"/>
        <w:bidi w:val="0"/>
      </w:pPr>
      <w:bookmarkStart w:id="72" w:name="_Toc12095"/>
      <w:bookmarkStart w:id="73" w:name="rzTml"/>
      <w:r>
        <w:t>4.1 技术概览</w:t>
      </w:r>
      <w:bookmarkEnd w:id="72"/>
    </w:p>
    <w:bookmarkEnd w:id="73"/>
    <w:p w14:paraId="3223787B">
      <w:pPr>
        <w:pStyle w:val="4"/>
        <w:bidi w:val="0"/>
      </w:pPr>
      <w:bookmarkStart w:id="74" w:name="_Toc31065"/>
      <w:bookmarkStart w:id="75" w:name="YUxUM"/>
      <w:r>
        <w:t>4.1.1 定义与数学形式</w:t>
      </w:r>
      <w:bookmarkEnd w:id="74"/>
    </w:p>
    <w:bookmarkEnd w:id="75"/>
    <w:p w14:paraId="5FAABE8A">
      <w:pPr>
        <w:bidi w:val="0"/>
      </w:pPr>
      <w:bookmarkStart w:id="76" w:name="u99c65206"/>
      <w:r>
        <w:t xml:space="preserve">Fine-tuning 是指在预训练模型参数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θ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t xml:space="preserve"> 的基础上，使用特定任务的标注数据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24"/>
              </w:rPr>
              <m:t>D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FT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={(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x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,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y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)</m:t>
        </m:r>
        <m:sSubSup>
          <m:sSubSupPr>
            <m:ctrlPr>
              <w:rPr>
                <w:rFonts w:hint="default" w:ascii="Cambria Math" w:hAnsi="Cambria Math"/>
                <w:sz w:val="24"/>
              </w:rPr>
            </m:ctrlPr>
          </m:sSubSupPr>
          <m:e>
            <m:r>
              <m:rPr/>
              <w:rPr>
                <w:rFonts w:hint="default" w:ascii="Cambria Math" w:hAnsi="Cambria Math"/>
                <w:sz w:val="24"/>
              </w:rPr>
              <m:t>}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i=1</m:t>
            </m:r>
            <m:ctrlPr>
              <w:rPr>
                <w:rFonts w:ascii="Cambria Math" w:hAnsi="Cambria Math"/>
                <w:sz w:val="24"/>
              </w:rPr>
            </m:ctrlPr>
          </m:sub>
          <m:sup>
            <m:r>
              <m:rPr/>
              <w:rPr>
                <w:rFonts w:hint="default"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sz w:val="24"/>
              </w:rPr>
            </m:ctrlPr>
          </m:sup>
        </m:sSubSup>
      </m:oMath>
      <w:r>
        <w:t xml:space="preserve"> 继续训练：</w:t>
      </w:r>
    </w:p>
    <w:bookmarkEnd w:id="76"/>
    <w:p w14:paraId="166C0812">
      <w:pPr>
        <w:bidi w:val="0"/>
      </w:pPr>
      <m:oMathPara>
        <m:oMath>
          <m:sSup>
            <w:bookmarkStart w:id="77" w:name="ue8d357d3"/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</w:rPr>
                <m:t>θ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∗</m:t>
              </m:r>
              <m:ctrlPr>
                <w:rPr>
                  <w:rFonts w:ascii="Cambria Math" w:hAnsi="Cambria Math"/>
                  <w:sz w:val="24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</w:rPr>
            <m:t>=</m:t>
          </m:r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arg</m:t>
              </m:r>
              <m:ctrlPr>
                <w:rPr>
                  <w:rFonts w:ascii="Cambria Math" w:hAnsi="Cambria Math"/>
                  <w:sz w:val="24"/>
                </w:rPr>
              </m:ctrlPr>
            </m:fName>
            <m:e>
              <m:func>
                <m:funcPr>
                  <m:ctrlPr>
                    <w:rPr>
                      <w:rFonts w:hint="default" w:ascii="Cambria Math" w:hAnsi="Cambria Math"/>
                      <w:sz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lim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/>
                      <w:sz w:val="24"/>
                    </w:rPr>
                  </m:ctrlPr>
                </m:fName>
                <m:e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func>
              <m:ctrlPr>
                <w:rPr>
                  <w:rFonts w:hint="default" w:ascii="Cambria Math" w:hAnsi="Cambria Math"/>
                  <w:sz w:val="24"/>
                </w:rPr>
              </m:ctrlPr>
            </m:e>
          </m:func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ℒ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FT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(θ;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D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FT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), 初始化θ=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θ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0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</m:oMath>
      </m:oMathPara>
    </w:p>
    <w:bookmarkEnd w:id="77"/>
    <w:p w14:paraId="38FE42EA">
      <w:pPr>
        <w:bidi w:val="0"/>
      </w:pPr>
      <w:bookmarkStart w:id="78" w:name="u101861cd"/>
      <w:r>
        <w:t xml:space="preserve">核心思想：迁移学习——预训练阶段学到的通用语言知识（语法、语义、推理能力）已经编码在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θ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t xml:space="preserve"> 中，微调只需在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θ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t xml:space="preserve"> 附近做局部优化，找到适应下游任务的方向。</w:t>
      </w:r>
    </w:p>
    <w:bookmarkEnd w:id="78"/>
    <w:p w14:paraId="44EB2F93">
      <w:pPr>
        <w:pStyle w:val="4"/>
        <w:bidi w:val="0"/>
      </w:pPr>
      <w:bookmarkStart w:id="79" w:name="_Toc4619"/>
      <w:bookmarkStart w:id="80" w:name="n883i"/>
      <w:r>
        <w:t>4.1.2 SFT 的损失函数详解</w:t>
      </w:r>
      <w:bookmarkEnd w:id="79"/>
    </w:p>
    <w:bookmarkEnd w:id="80"/>
    <w:p w14:paraId="018D45D6">
      <w:pPr>
        <w:bidi w:val="0"/>
      </w:pPr>
      <w:bookmarkStart w:id="81" w:name="u5d5c0315"/>
      <w:r>
        <w:t>对于生成式任务（LLM 微调），训练目标与预训练相同——Next Token Prediction，但数据分布从通用文本变为指令-回复对：</w:t>
      </w:r>
    </w:p>
    <w:bookmarkEnd w:id="81"/>
    <w:p w14:paraId="46AA0595">
      <w:pPr>
        <w:bidi w:val="0"/>
      </w:pPr>
      <m:oMathPara>
        <m:oMath>
          <m:sSub>
            <w:bookmarkStart w:id="82" w:name="u3eba6ec0"/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ℒ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SFT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=−</m:t>
          </m:r>
          <m:f>
            <m:fPr>
              <m:ctrlPr>
                <w:rPr>
                  <w:rFonts w:hint="default" w:ascii="Cambria Math" w:hAnsi="Cambria Math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N</m:t>
              </m:r>
              <m:ctrlPr>
                <w:rPr>
                  <w:rFonts w:ascii="Cambria Math" w:hAnsi="Cambria Math"/>
                  <w:sz w:val="24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4"/>
                </w:rPr>
                <m:t>i=1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N</m:t>
              </m:r>
              <m:ctrlPr>
                <w:rPr>
                  <w:rFonts w:ascii="Cambria Math" w:hAnsi="Cambria Math"/>
                  <w:sz w:val="24"/>
                </w:rPr>
              </m:ctrlPr>
            </m:sup>
            <m:e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t=1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  <m:sup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4"/>
                    </w:rPr>
                  </m:ctrlPr>
                </m:sup>
                <m:e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nary>
              <m:ctrlPr>
                <w:rPr>
                  <w:rFonts w:hint="default" w:ascii="Cambria Math" w:hAnsi="Cambria Math"/>
                  <w:sz w:val="24"/>
                </w:rPr>
              </m:ctrlPr>
            </m:e>
          </m:nary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log</m:t>
              </m:r>
              <m:ctrlPr>
                <w:rPr>
                  <w:rFonts w:hint="default" w:ascii="Cambria Math" w:hAnsi="Cambria Math"/>
                  <w:sz w:val="24"/>
                </w:rPr>
              </m:ctrlPr>
            </m:fName>
            <m:e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θ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y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i,t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|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x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,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y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i,&lt;t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)</m:t>
          </m:r>
        </m:oMath>
      </m:oMathPara>
    </w:p>
    <w:bookmarkEnd w:id="82"/>
    <w:p w14:paraId="1733F3C6">
      <w:pPr>
        <w:bidi w:val="0"/>
      </w:pPr>
      <w:bookmarkStart w:id="83" w:name="uba13d578"/>
      <w:r>
        <w:t>关键细节——Loss Masking：</w:t>
      </w:r>
    </w:p>
    <w:bookmarkEnd w:id="83"/>
    <w:p w14:paraId="0733599B">
      <w:pPr>
        <w:bidi w:val="0"/>
      </w:pPr>
      <w:bookmarkStart w:id="84" w:name="u4c282dde"/>
      <w:r>
        <w:t>在实际实现中，仅计算 assistant 回复部分的损失，user 指令部分被 mask 掉：</w:t>
      </w:r>
    </w:p>
    <w:bookmarkEnd w:id="84"/>
    <w:p w14:paraId="15EDC557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85" w:name="rOX02"/>
      <w:r>
        <w:rPr>
          <w:rFonts w:ascii="宋体" w:hAnsi="Courier New" w:eastAsia="宋体"/>
          <w:color w:val="000000"/>
          <w:sz w:val="20"/>
        </w:rPr>
        <w:t>[Prompt]: "User: 什么是机器学习？\nAssistant: 机器学习是人工智能的一个分支..."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^^^^^^^^^^^^^^^^^^^^^^^^^  ^^^^^^^^^^^^^^^^^^^^^^^^^^^^^^^^^^^^^^^^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     mask (不计算loss)          计算loss (仅这部分)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85"/>
    <w:p w14:paraId="38EDD943">
      <w:pPr>
        <w:bidi w:val="0"/>
      </w:pPr>
      <w:bookmarkStart w:id="86" w:name="u8be0dbd6"/>
      <w:r>
        <w:t>数学上，loss mask 的实现为：</w:t>
      </w:r>
    </w:p>
    <w:bookmarkEnd w:id="86"/>
    <w:p w14:paraId="2DB1B9BB">
      <w:pPr>
        <w:bidi w:val="0"/>
      </w:pPr>
      <m:oMathPara>
        <m:oMath>
          <m:sSub>
            <w:bookmarkStart w:id="87" w:name="u550e366b"/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ℒ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SFT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=−</m:t>
          </m:r>
          <m:f>
            <m:fPr>
              <m:ctrlPr>
                <w:rPr>
                  <w:rFonts w:hint="default" w:ascii="Cambria Math" w:hAnsi="Cambria Math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hint="default" w:ascii="Cambria Math" w:hAnsi="Cambria Math"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  <m:sup>
                  <m:ctrlPr>
                    <w:rPr>
                      <w:rFonts w:ascii="Cambria Math" w:hAnsi="Cambria Math"/>
                      <w:sz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nary>
              <m:ctrlPr>
                <w:rPr>
                  <w:rFonts w:hint="default" w:ascii="Cambria Math" w:hAnsi="Cambria Math"/>
                  <w:sz w:val="24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4"/>
                </w:rPr>
                <m:t>i=1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N</m:t>
              </m:r>
              <m:ctrlPr>
                <w:rPr>
                  <w:rFonts w:hint="default" w:ascii="Cambria Math" w:hAnsi="Cambria Math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M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</w:rPr>
            <m:t>⋅</m:t>
          </m:r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log</m:t>
              </m:r>
              <m:ctrlPr>
                <w:rPr>
                  <w:rFonts w:hint="default" w:ascii="Cambria Math" w:hAnsi="Cambria Math"/>
                  <w:sz w:val="24"/>
                </w:rPr>
              </m:ctrlPr>
            </m:fName>
            <m:e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θ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y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|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x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&lt;i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)</m:t>
          </m:r>
        </m:oMath>
      </m:oMathPara>
    </w:p>
    <w:bookmarkEnd w:id="87"/>
    <w:p w14:paraId="6BB8F396">
      <w:pPr>
        <w:bidi w:val="0"/>
      </w:pPr>
      <w:bookmarkStart w:id="88" w:name="u3758b9be"/>
      <w:r>
        <w:t xml:space="preserve">其中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M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∈{0,1}</m:t>
        </m:r>
      </m:oMath>
      <w:r>
        <w:t xml:space="preserve"> 是 mask 向量，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M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=1</m:t>
        </m:r>
      </m:oMath>
      <w:r>
        <w:t xml:space="preserve"> 当且仅当位置 </w:t>
      </w:r>
      <w:bookmarkStart w:id="89" w:name="Rf8OM"/>
      <w:r>
        <w:t>i</w:t>
      </w:r>
      <w:bookmarkEnd w:id="89"/>
      <w:r>
        <w:t xml:space="preserve"> 属于 assistant 回复。</w:t>
      </w:r>
    </w:p>
    <w:bookmarkEnd w:id="88"/>
    <w:p w14:paraId="1DBD44AA">
      <w:pPr>
        <w:pStyle w:val="4"/>
        <w:bidi w:val="0"/>
      </w:pPr>
      <w:bookmarkStart w:id="90" w:name="_Toc15329"/>
      <w:bookmarkStart w:id="91" w:name="GTFMH"/>
      <w:r>
        <w:t>4.1.3 三种训练范式的数学对比</w:t>
      </w:r>
      <w:bookmarkEnd w:id="90"/>
    </w:p>
    <w:tbl>
      <w:tblPr>
        <w:tblStyle w:val="16"/>
        <w:tblW w:w="9243" w:type="dxa"/>
        <w:tblInd w:w="6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18"/>
        <w:gridCol w:w="5669"/>
        <w:gridCol w:w="1856"/>
      </w:tblGrid>
      <w:tr w14:paraId="1CD5BA6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0634F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范式</w:t>
            </w:r>
          </w:p>
        </w:tc>
        <w:tc>
          <w:tcPr>
            <w:tcW w:w="566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0DF0B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损失函数</w:t>
            </w:r>
          </w:p>
        </w:tc>
        <w:tc>
          <w:tcPr>
            <w:tcW w:w="185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61C5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特点</w:t>
            </w:r>
          </w:p>
        </w:tc>
      </w:tr>
      <w:tr w14:paraId="0046D98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A3A8E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92" w:name="u12ed69f9"/>
            <w:r>
              <w:t>自回归 LM（GPT）</w:t>
            </w:r>
          </w:p>
        </w:tc>
        <w:tc>
          <w:tcPr>
            <w:tcW w:w="566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68CC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hint="default" w:ascii="Cambria Math" w:hAnsi="Cambria Math" w:eastAsia="MS Mincho"/>
                        <w:sz w:val="24"/>
                      </w:rPr>
                      <m:t>ℒ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AR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=−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t=1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T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p>
                  <m:e>
                    <m:func>
                      <m:funcPr>
                        <m:ctrlPr>
                          <w:rPr>
                            <w:rFonts w:hint="default" w:ascii="Cambria Math" w:hAnsi="Cambria Math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Name>
                      <m:e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θ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t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∣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lt;t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)</m:t>
                </m:r>
              </m:oMath>
            </m:oMathPara>
          </w:p>
        </w:tc>
        <w:tc>
          <w:tcPr>
            <w:tcW w:w="185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9B24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单向上下文，天然生成</w:t>
            </w:r>
          </w:p>
        </w:tc>
      </w:tr>
      <w:tr w14:paraId="0874B61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8F485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掩码 LM（BERT）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215A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hint="default" w:ascii="Cambria Math" w:hAnsi="Cambria Math" w:eastAsia="MS Mincho"/>
                        <w:sz w:val="24"/>
                      </w:rPr>
                      <m:t>ℒ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MLM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=−</m:t>
                </m:r>
                <m:nary>
                  <m:naryPr>
                    <m:chr m:val="∑"/>
                    <m:limLoc m:val="subSup"/>
                    <m:supHide m:val="1"/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i∈</m:t>
                    </m:r>
                    <m:r>
                      <m:rPr>
                        <m:scr m:val="script"/>
                      </m:rPr>
                      <w:rPr>
                        <w:rFonts w:hint="default" w:ascii="Cambria Math" w:hAnsi="Cambria Math" w:eastAsia="MS Mincho"/>
                        <w:sz w:val="24"/>
                      </w:rPr>
                      <m:t>ℳ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sz w:val="24"/>
                      </w:rPr>
                    </m:ctrlPr>
                  </m:sup>
                  <m:e>
                    <m:func>
                      <m:funcPr>
                        <m:ctrlPr>
                          <w:rPr>
                            <w:rFonts w:hint="default" w:ascii="Cambria Math" w:hAnsi="Cambria Math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Name>
                      <m:e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θ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i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∣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\</m:t>
                    </m:r>
                    <m:r>
                      <m:rPr>
                        <m:scr m:val="script"/>
                      </m:rPr>
                      <w:rPr>
                        <w:rFonts w:hint="default" w:ascii="Cambria Math" w:hAnsi="Cambria Math" w:eastAsia="MS Mincho"/>
                        <w:sz w:val="24"/>
                      </w:rPr>
                      <m:t>ℳ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)</m:t>
                </m:r>
              </m:oMath>
            </m:oMathPara>
          </w:p>
        </w:tc>
        <w:tc>
          <w:tcPr>
            <w:tcW w:w="185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508D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双向上下文，天然理解</w:t>
            </w:r>
          </w:p>
        </w:tc>
      </w:tr>
      <w:tr w14:paraId="51047EA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</w:trPr>
        <w:tc>
          <w:tcPr>
            <w:tcW w:w="171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31517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前缀 LM（T5）</w:t>
            </w:r>
          </w:p>
        </w:tc>
        <w:tc>
          <w:tcPr>
            <w:tcW w:w="566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356DD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Cambria Math" w:hAnsi="Cambria Math" w:cstheme="minorBidi"/>
                <w:sz w:val="24"/>
                <w:szCs w:val="22"/>
                <w:lang w:val="en-US" w:bidi="ar-SA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hint="default" w:ascii="Cambria Math" w:hAnsi="Cambria Math" w:eastAsia="MS Mincho"/>
                        <w:sz w:val="24"/>
                      </w:rPr>
                      <m:t>ℒ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Prefix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=−</m:t>
                </m:r>
                <m:nary>
                  <m:naryPr>
                    <m:chr m:val="∑"/>
                    <m:limLoc m:val="subSup"/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naryPr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t=|</m:t>
                    </m:r>
                    <m:r>
                      <m:rPr>
                        <m:sty m:val="b"/>
                      </m:rPr>
                      <w:rPr>
                        <w:rFonts w:hint="default" w:ascii="Cambria Math" w:hAnsi="Cambria Math"/>
                        <w:sz w:val="24"/>
                      </w:rPr>
                      <m:t>p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|+1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  <m:sup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|</m:t>
                    </m:r>
                    <m:r>
                      <m:rPr>
                        <m:sty m:val="b"/>
                      </m:rPr>
                      <w:rPr>
                        <w:rFonts w:hint="default" w:ascii="Cambria Math" w:hAnsi="Cambria Math"/>
                        <w:sz w:val="24"/>
                      </w:rPr>
                      <m:t>p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|+|</m:t>
                    </m:r>
                    <m:r>
                      <m:rPr>
                        <m:sty m:val="b"/>
                      </m:rPr>
                      <w:rPr>
                        <w:rFonts w:hint="default" w:ascii="Cambria Math" w:hAnsi="Cambria Math"/>
                        <w:sz w:val="24"/>
                      </w:rPr>
                      <m:t>t</m:t>
                    </m:r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|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p>
                  <m:e>
                    <m:func>
                      <m:funcPr>
                        <m:ctrlPr>
                          <w:rPr>
                            <w:rFonts w:hint="default" w:ascii="Cambria Math" w:hAnsi="Cambria Math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/>
                            <w:sz w:val="24"/>
                          </w:rPr>
                          <m:t>log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fName>
                      <m:e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</m:func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e>
                </m:nary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P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θ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t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∣</m:t>
                </m:r>
                <m:r>
                  <m:rPr>
                    <m:sty m:val="b"/>
                  </m:rPr>
                  <w:rPr>
                    <w:rFonts w:hint="default" w:ascii="Cambria Math" w:hAnsi="Cambria Math"/>
                    <w:sz w:val="24"/>
                  </w:rPr>
                  <m:t>p</m:t>
                </m:r>
                <m:r>
                  <m:rPr/>
                  <w:rPr>
                    <w:rFonts w:hint="default" w:ascii="Cambria Math" w:hAnsi="Cambria Math"/>
                    <w:sz w:val="24"/>
                  </w:rPr>
                  <m:t>,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x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&lt;t</m:t>
                    </m: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)</m:t>
                </m:r>
              </m:oMath>
            </m:oMathPara>
          </w:p>
          <w:p w14:paraId="0DB4A88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</w:p>
        </w:tc>
        <w:tc>
          <w:tcPr>
            <w:tcW w:w="185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2526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双向编码 + 自回归生成</w:t>
            </w:r>
          </w:p>
        </w:tc>
      </w:tr>
      <w:bookmarkEnd w:id="92"/>
    </w:tbl>
    <w:p w14:paraId="152E6F0D">
      <w:pPr>
        <w:bidi w:val="0"/>
      </w:pPr>
      <w:r>
        <w:rPr>
          <w:rFonts w:hint="eastAsia"/>
        </w:rPr>
        <w:t>🔗 详见《Fine-tuning 技术笔记》第 1.2 节和第 3.3 节：预训练目标函数对比及 Fine-tuning 的数学定义。</w:t>
      </w:r>
    </w:p>
    <w:bookmarkEnd w:id="91"/>
    <w:p w14:paraId="2811790C">
      <w:pPr>
        <w:pStyle w:val="3"/>
        <w:bidi w:val="0"/>
      </w:pPr>
      <w:bookmarkStart w:id="93" w:name="_Toc6094"/>
      <w:bookmarkStart w:id="94" w:name="GyKNZ"/>
      <w:r>
        <w:t>4.2 Full Fine-tuning vs PEFT</w:t>
      </w:r>
      <w:bookmarkEnd w:id="93"/>
    </w:p>
    <w:bookmarkEnd w:id="94"/>
    <w:p w14:paraId="25145E89">
      <w:pPr>
        <w:pStyle w:val="4"/>
        <w:bidi w:val="0"/>
      </w:pPr>
      <w:bookmarkStart w:id="95" w:name="_Toc6190"/>
      <w:bookmarkStart w:id="96" w:name="cffR3"/>
      <w:r>
        <w:t>4.2.1 Full FT 的显存消耗精确分析</w:t>
      </w:r>
      <w:bookmarkEnd w:id="95"/>
    </w:p>
    <w:bookmarkEnd w:id="96"/>
    <w:p w14:paraId="6F4CEF6E">
      <w:pPr>
        <w:bidi w:val="0"/>
        <w:ind w:left="0" w:leftChars="0" w:firstLine="0" w:firstLineChars="0"/>
      </w:pPr>
      <w:bookmarkStart w:id="97" w:name="uf766e1d0"/>
      <w:r>
        <w:t>Full FT 的显存开销由四部分组成，这是理解为什么需要 PEFT 的关键：</w:t>
      </w:r>
    </w:p>
    <w:bookmarkEnd w:id="97"/>
    <w:p w14:paraId="2039D9D8">
      <w:pPr>
        <w:bidi w:val="0"/>
      </w:pPr>
      <w:bookmarkStart w:id="98" w:name="uae5f76f1"/>
      <m:oMathPara>
        <m:oMath>
          <m:r>
            <m:rPr/>
            <w:rPr>
              <w:rFonts w:hint="default" w:ascii="Cambria Math" w:hAnsi="Cambria Math"/>
              <w:sz w:val="24"/>
            </w:rPr>
            <m:t>TotalMemory≈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groupChr>
                <m:groupChrPr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groupChr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模型参数</m:t>
              </m:r>
              <m:ctrlPr>
                <w:rPr>
                  <w:rFonts w:hint="default" w:ascii="Cambria Math" w:hAnsi="Cambria Math"/>
                  <w:i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groupChr>
                <m:groupChrPr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groupChr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梯度</m:t>
              </m:r>
              <m:ctrlPr>
                <w:rPr>
                  <w:rFonts w:hint="default" w:ascii="Cambria Math" w:hAnsi="Cambria Math"/>
                  <w:i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groupChr>
                <m:groupChrPr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groupChr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2P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Adam优化器状态</m:t>
              </m:r>
              <m:ctrlPr>
                <w:rPr>
                  <w:rFonts w:hint="default" w:ascii="Cambria Math" w:hAnsi="Cambria Math"/>
                  <w:i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groupChr>
                <m:groupChrPr>
                  <m:ctrlPr>
                    <w:rPr>
                      <w:rFonts w:hint="default" w:ascii="Cambria Math" w:hAnsi="Cambria Math"/>
                      <w:i/>
                      <w:sz w:val="24"/>
                    </w:rPr>
                  </m:ctrlPr>
                </m:groupChr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激活值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groupChr>
              <m:ctrlPr>
                <w:rPr>
                  <w:rFonts w:hint="default" w:ascii="Cambria Math" w:hAnsi="Cambria Math"/>
                  <w:i/>
                  <w:sz w:val="24"/>
                </w:rPr>
              </m:ctrlPr>
            </m:e>
            <m:sub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O</m:t>
              </m:r>
              <m:r>
                <m:rPr/>
                <w:rPr>
                  <w:rFonts w:hint="default" w:ascii="Cambria Math" w:hAnsi="Cambria Math"/>
                  <w:sz w:val="24"/>
                </w:rPr>
                <m:t>(B⋅L⋅d⋅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layers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</m:oMath>
      </m:oMathPara>
    </w:p>
    <w:bookmarkEnd w:id="98"/>
    <w:p w14:paraId="5DE1C8F5">
      <w:pPr>
        <w:bidi w:val="0"/>
        <w:ind w:left="0" w:leftChars="0" w:firstLine="0" w:firstLineChars="0"/>
        <w:rPr>
          <w:b/>
          <w:bCs/>
        </w:rPr>
      </w:pPr>
      <w:bookmarkStart w:id="99" w:name="ubb209aad"/>
      <w:r>
        <w:rPr>
          <w:b/>
          <w:bCs/>
        </w:rPr>
        <w:t>Adam 优化器为什么需要额外 2P 参数？</w:t>
      </w:r>
    </w:p>
    <w:bookmarkEnd w:id="99"/>
    <w:p w14:paraId="6B2C5ED2">
      <w:pPr>
        <w:bidi w:val="0"/>
      </w:pPr>
      <w:bookmarkStart w:id="100" w:name="u85e24f7a"/>
      <w:r>
        <w:t>Adam 的更新规则需要维护两个额外的状态变量：</w:t>
      </w:r>
    </w:p>
    <w:bookmarkEnd w:id="100"/>
    <w:p w14:paraId="0244E829">
      <w:pPr>
        <w:bidi w:val="0"/>
      </w:pPr>
      <w:bookmarkStart w:id="101" w:name="ua746b615"/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m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t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β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m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t−1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+(1−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β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)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g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t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 （一阶矩估计，FP32）</m:t>
          </m:r>
        </m:oMath>
      </m:oMathPara>
    </w:p>
    <w:bookmarkEnd w:id="101"/>
    <w:p w14:paraId="464FA65C">
      <w:pPr>
        <w:bidi w:val="0"/>
      </w:pPr>
      <w:bookmarkStart w:id="102" w:name="u20b247f6"/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v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t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β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v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t−1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+(1−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β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)</m:t>
          </m:r>
          <m:sSubSup>
            <m:sSubSupPr>
              <m:ctrlPr>
                <w:rPr>
                  <w:rFonts w:hint="default" w:ascii="Cambria Math" w:hAnsi="Cambria Math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4"/>
                </w:rPr>
                <m:t>g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t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sz w:val="24"/>
                </w:rPr>
              </m:ctrlPr>
            </m:sup>
          </m:sSubSup>
          <m:r>
            <m:rPr/>
            <w:rPr>
              <w:rFonts w:hint="default" w:ascii="Cambria Math" w:hAnsi="Cambria Math"/>
              <w:sz w:val="24"/>
            </w:rPr>
            <m:t> （二阶矩估计，FP32）</m:t>
          </m:r>
        </m:oMath>
      </m:oMathPara>
    </w:p>
    <w:bookmarkEnd w:id="102"/>
    <w:p w14:paraId="11A7DF05">
      <w:pPr>
        <w:bidi w:val="0"/>
        <w:ind w:left="0" w:leftChars="0" w:firstLine="0" w:firstLineChars="0"/>
      </w:pPr>
      <w:bookmarkStart w:id="103" w:name="u64ed36ac"/>
      <w:r>
        <w:t>完整显存分解（7B 模型）：</w:t>
      </w:r>
    </w:p>
    <w:tbl>
      <w:tblPr>
        <w:tblStyle w:val="16"/>
        <w:tblW w:w="9237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729"/>
        <w:gridCol w:w="1516"/>
        <w:gridCol w:w="1761"/>
        <w:gridCol w:w="2231"/>
      </w:tblGrid>
      <w:tr w14:paraId="1D96846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384F8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组件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F7D37C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精度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B7FB8F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大小</w:t>
            </w:r>
          </w:p>
        </w:tc>
        <w:tc>
          <w:tcPr>
            <w:tcW w:w="223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181600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说明</w:t>
            </w:r>
          </w:p>
        </w:tc>
      </w:tr>
      <w:tr w14:paraId="3B3980C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8F2AD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104" w:name="uc6d71949"/>
            <w:r>
              <w:t xml:space="preserve">模型参数 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θ</m:t>
              </m:r>
            </m:oMath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C9BC23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FP16/BF16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16D7D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~14 GB</w:t>
            </w:r>
          </w:p>
        </w:tc>
        <w:tc>
          <w:tcPr>
            <w:tcW w:w="223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93231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前向和反向传播</w:t>
            </w:r>
          </w:p>
        </w:tc>
      </w:tr>
      <w:tr w14:paraId="12538BE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2EBE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 xml:space="preserve">梯度 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∇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θ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ℒ</m:t>
              </m:r>
            </m:oMath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B55060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FP16/BF16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B5695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~14 GB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329F2C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反向传播产生</w:t>
            </w:r>
          </w:p>
        </w:tc>
      </w:tr>
      <w:tr w14:paraId="1551334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990322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Adam m_t（FP32 主副本）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3703FD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FP32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E05B4B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~28 GB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550E7E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一阶矩</w:t>
            </w:r>
          </w:p>
        </w:tc>
      </w:tr>
      <w:tr w14:paraId="36E6B4E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CB5A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Adam v_t（FP32 主副本）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77EDEA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FP32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2120A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~28 GB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74C593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二阶矩</w:t>
            </w:r>
          </w:p>
        </w:tc>
      </w:tr>
      <w:tr w14:paraId="6F72B65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B9647D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激活值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C542B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FP16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5E57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~28-56 GB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D89343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取决于 batch size</w:t>
            </w:r>
          </w:p>
        </w:tc>
      </w:tr>
      <w:tr w14:paraId="33413D5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030641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合计（不含激活值）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63167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lang w:val="en-US" w:eastAsia="en-US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280F52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lang w:val="en-US" w:eastAsia="en-US"/>
              </w:rPr>
            </w:pPr>
            <w:r>
              <w:rPr>
                <w:b/>
              </w:rPr>
              <w:t>~84 GB</w:t>
            </w:r>
          </w:p>
        </w:tc>
        <w:tc>
          <w:tcPr>
            <w:tcW w:w="22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A4EC2D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lang w:val="en-US" w:eastAsia="en-US"/>
              </w:rPr>
            </w:pPr>
          </w:p>
        </w:tc>
      </w:tr>
      <w:tr w14:paraId="65940B0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72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746EA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合计（含激活值）</w:t>
            </w:r>
          </w:p>
        </w:tc>
        <w:tc>
          <w:tcPr>
            <w:tcW w:w="151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4236D8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lang w:val="en-US" w:eastAsia="en-US"/>
              </w:rPr>
            </w:pPr>
          </w:p>
        </w:tc>
        <w:tc>
          <w:tcPr>
            <w:tcW w:w="176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B41D3E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lang w:val="en-US" w:eastAsia="en-US"/>
              </w:rPr>
            </w:pPr>
            <w:r>
              <w:rPr>
                <w:b/>
              </w:rPr>
              <w:t>~112-140 GB</w:t>
            </w:r>
          </w:p>
        </w:tc>
        <w:tc>
          <w:tcPr>
            <w:tcW w:w="223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9F4C6E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  <w:lang w:val="en-US" w:eastAsia="en-US"/>
              </w:rPr>
            </w:pPr>
          </w:p>
        </w:tc>
      </w:tr>
      <w:bookmarkEnd w:id="103"/>
      <w:bookmarkEnd w:id="104"/>
    </w:tbl>
    <w:p w14:paraId="5C605046">
      <w:pPr>
        <w:bidi w:val="0"/>
        <w:ind w:left="0" w:leftChars="0" w:firstLine="0" w:firstLineChars="0"/>
      </w:pPr>
      <w:bookmarkStart w:id="105" w:name="u9d5238da"/>
      <w:r>
        <w:t xml:space="preserve">这就是 </w:t>
      </w:r>
      <w:bookmarkStart w:id="106" w:name="ZVVf6"/>
      <w:r>
        <w:t>7\text{B} \times 16 \text{ bytes} \approx 112 \text{ GB}</w:t>
      </w:r>
      <w:bookmarkEnd w:id="106"/>
      <w:r>
        <w:t xml:space="preserve"> 经验公式的来源。</w:t>
      </w:r>
    </w:p>
    <w:bookmarkEnd w:id="105"/>
    <w:p w14:paraId="149EF198">
      <w:pPr>
        <w:pStyle w:val="4"/>
        <w:bidi w:val="0"/>
      </w:pPr>
      <w:bookmarkStart w:id="107" w:name="_Toc14661"/>
      <w:bookmarkStart w:id="108" w:name="QvXtm"/>
      <w:r>
        <w:t>4.2.2 PEFT 的数学定义</w:t>
      </w:r>
      <w:bookmarkEnd w:id="107"/>
    </w:p>
    <w:bookmarkEnd w:id="108"/>
    <w:p w14:paraId="3776AE0B">
      <w:pPr>
        <w:bidi w:val="0"/>
      </w:pPr>
      <w:bookmarkStart w:id="109" w:name="u8da0b556"/>
      <w:r>
        <w:t xml:space="preserve">PEFT（Parameter-Efficient Fine-tuning） 的核心思想是冻结绝大多数预训练参数，仅优化极少量的额外参数 </w:t>
      </w:r>
      <m:oMath>
        <m:r>
          <m:rPr/>
          <w:rPr>
            <w:rFonts w:hint="default" w:ascii="Cambria Math" w:hAnsi="Cambria Math"/>
            <w:sz w:val="24"/>
          </w:rPr>
          <m:t>ϕ</m:t>
        </m:r>
      </m:oMath>
      <w:r>
        <w:t>：</w:t>
      </w:r>
    </w:p>
    <w:bookmarkEnd w:id="109"/>
    <w:p w14:paraId="61D77606">
      <w:pPr>
        <w:bidi w:val="0"/>
      </w:pPr>
      <m:oMathPara>
        <m:oMath>
          <m:sSub>
            <w:bookmarkStart w:id="110" w:name="u2f780d77"/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θ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FT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θ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0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∪</m:t>
          </m:r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</w:rPr>
                <m:t>ϕ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∗</m:t>
              </m:r>
              <m:ctrlPr>
                <w:rPr>
                  <w:rFonts w:ascii="Cambria Math" w:hAnsi="Cambria Math"/>
                  <w:sz w:val="24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</w:rPr>
            <m:t>, </m:t>
          </m:r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</w:rPr>
                <m:t>ϕ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∗</m:t>
              </m:r>
              <m:ctrlPr>
                <w:rPr>
                  <w:rFonts w:ascii="Cambria Math" w:hAnsi="Cambria Math"/>
                  <w:sz w:val="24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</w:rPr>
            <m:t>=</m:t>
          </m:r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arg</m:t>
              </m:r>
              <m:ctrlPr>
                <w:rPr>
                  <w:rFonts w:ascii="Cambria Math" w:hAnsi="Cambria Math"/>
                  <w:sz w:val="24"/>
                </w:rPr>
              </m:ctrlPr>
            </m:fName>
            <m:e>
              <m:func>
                <m:funcPr>
                  <m:ctrlPr>
                    <w:rPr>
                      <w:rFonts w:hint="default" w:ascii="Cambria Math" w:hAnsi="Cambria Math"/>
                      <w:sz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lim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ϕ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/>
                      <w:sz w:val="24"/>
                    </w:rPr>
                  </m:ctrlPr>
                </m:fName>
                <m:e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func>
              <m:ctrlPr>
                <w:rPr>
                  <w:rFonts w:hint="default" w:ascii="Cambria Math" w:hAnsi="Cambria Math"/>
                  <w:sz w:val="24"/>
                </w:rPr>
              </m:ctrlPr>
            </m:e>
          </m:func>
          <m:r>
            <m:rPr>
              <m:scr m:val="script"/>
            </m:rPr>
            <w:rPr>
              <w:rFonts w:hint="default" w:ascii="Cambria Math" w:hAnsi="Cambria Math" w:eastAsia="MS Mincho"/>
              <w:sz w:val="24"/>
            </w:rPr>
            <m:t>ℒ</m:t>
          </m:r>
          <m:r>
            <m:rPr/>
            <w:rPr>
              <w:rFonts w:hint="default" w:ascii="Cambria Math" w:hAnsi="Cambria Math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θ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0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,ϕ;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D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FT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)</m:t>
          </m:r>
        </m:oMath>
      </m:oMathPara>
    </w:p>
    <w:bookmarkEnd w:id="110"/>
    <w:p w14:paraId="7F371B34">
      <w:pPr>
        <w:bidi w:val="0"/>
      </w:pPr>
      <w:bookmarkStart w:id="111" w:name="u2afe6a94"/>
      <w:r>
        <w:t xml:space="preserve">其中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θ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t xml:space="preserve"> 冻结不变，</w:t>
      </w:r>
      <w:bookmarkStart w:id="112" w:name="B2uAw"/>
      <w:r>
        <w:t>\phi</w:t>
      </w:r>
      <w:bookmarkEnd w:id="112"/>
      <w:r>
        <w:t xml:space="preserve"> 为可训练的新参数，</w:t>
      </w:r>
      <m:oMath>
        <m:r>
          <m:rPr/>
          <w:rPr>
            <w:rFonts w:hint="default" w:ascii="Cambria Math" w:hAnsi="Cambria Math"/>
            <w:sz w:val="24"/>
          </w:rPr>
          <m:t>|ϕ|≪|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θ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|</m:t>
        </m:r>
      </m:oMath>
      <w:r>
        <w:t>。</w:t>
      </w:r>
    </w:p>
    <w:bookmarkEnd w:id="111"/>
    <w:p w14:paraId="4F2CF006">
      <w:pPr>
        <w:bidi w:val="0"/>
      </w:pPr>
      <w:bookmarkStart w:id="113" w:name="u19f7c3bb"/>
      <w:r>
        <w:t>从优化视角看，PEFT 将搜索限制在低维子流形上：</w:t>
      </w:r>
    </w:p>
    <w:bookmarkEnd w:id="113"/>
    <w:p w14:paraId="38F80ED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bookmarkStart w:id="114" w:name="u10d3e0ca"/>
      <w:r>
        <w:t xml:space="preserve">Full FT：在 </w:t>
      </w:r>
      <m:oMath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4"/>
              </w:rPr>
              <m:t>ℝ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|θ|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t xml:space="preserve"> 中搜索（高维，灵活但易过拟合）</w:t>
      </w:r>
    </w:p>
    <w:bookmarkEnd w:id="114"/>
    <w:p w14:paraId="3A5DF94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bookmarkStart w:id="115" w:name="u7ad880c0"/>
      <w:r>
        <w:t xml:space="preserve">PEFT：在 </w:t>
      </w:r>
      <m:oMath>
        <m:r>
          <m:rPr/>
          <w:rPr>
            <w:rFonts w:hint="default" w:ascii="Cambria Math" w:hAnsi="Cambria Math"/>
            <w:sz w:val="24"/>
          </w:rPr>
          <m:t>{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θ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+Δθ(ϕ)}</m:t>
        </m:r>
      </m:oMath>
      <w:r>
        <w:t xml:space="preserve"> 上搜索的结构约束（低维，正则化）</w:t>
      </w:r>
    </w:p>
    <w:bookmarkEnd w:id="115"/>
    <w:p w14:paraId="60D2AF26">
      <w:pPr>
        <w:numPr>
          <w:numId w:val="0"/>
        </w:numPr>
        <w:bidi w:val="0"/>
      </w:pPr>
      <w:bookmarkStart w:id="116" w:name="ua5c3d2a8"/>
      <w:r>
        <w:t>这解释了为什么 PEFT 在小数据集上不容易过拟合——低维搜索空间天然具有正则化效应。</w:t>
      </w:r>
    </w:p>
    <w:bookmarkEnd w:id="116"/>
    <w:p w14:paraId="12E126E7">
      <w:pPr>
        <w:pStyle w:val="4"/>
        <w:bidi w:val="0"/>
      </w:pPr>
      <w:bookmarkStart w:id="117" w:name="_Toc4935"/>
      <w:bookmarkStart w:id="118" w:name="eoLlH"/>
      <w:r>
        <w:t>4.2.3 四种主流 PEFT 方法的数学本质</w:t>
      </w:r>
      <w:bookmarkEnd w:id="117"/>
    </w:p>
    <w:tbl>
      <w:tblPr>
        <w:tblStyle w:val="16"/>
        <w:tblW w:w="92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18"/>
        <w:gridCol w:w="4623"/>
        <w:gridCol w:w="2086"/>
        <w:gridCol w:w="1416"/>
      </w:tblGrid>
      <w:tr w14:paraId="7F9E596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EF670B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方法</w:t>
            </w:r>
          </w:p>
        </w:tc>
        <w:tc>
          <w:tcPr>
            <w:tcW w:w="462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BF13D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参数化方式</w:t>
            </w:r>
          </w:p>
        </w:tc>
        <w:tc>
          <w:tcPr>
            <w:tcW w:w="208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E00930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可训练参数占比</w:t>
            </w:r>
          </w:p>
        </w:tc>
        <w:tc>
          <w:tcPr>
            <w:tcW w:w="141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49180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推理开销</w:t>
            </w:r>
          </w:p>
        </w:tc>
      </w:tr>
      <w:tr w14:paraId="5514551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3C5B29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119" w:name="u46720b1b"/>
            <w:r>
              <w:t>Adapter</w:t>
            </w:r>
          </w:p>
        </w:tc>
        <w:tc>
          <w:tcPr>
            <w:tcW w:w="462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C930A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/>
                        <w:sz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out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/>
                        <w:sz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in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f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act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(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/>
                        <w:sz w:val="24"/>
                      </w:rPr>
                      <m:t>h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in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W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down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)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W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up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</m:oMath>
            </m:oMathPara>
          </w:p>
        </w:tc>
        <w:tc>
          <w:tcPr>
            <w:tcW w:w="208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623DD9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~2%-5%</w:t>
            </w:r>
          </w:p>
        </w:tc>
        <w:tc>
          <w:tcPr>
            <w:tcW w:w="141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41954E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有（串行瓶颈层）</w:t>
            </w:r>
          </w:p>
        </w:tc>
      </w:tr>
      <w:tr w14:paraId="3910911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E40D42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Prefix Tuning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770D17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/>
                        <w:sz w:val="24"/>
                      </w:rPr>
                      <m:t>K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aug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=[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/>
                        <w:sz w:val="24"/>
                      </w:rPr>
                      <m:t>P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K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;</m:t>
                </m:r>
                <m:r>
                  <m:rPr>
                    <m:sty m:val="b"/>
                  </m:rPr>
                  <w:rPr>
                    <w:rFonts w:hint="default" w:ascii="Cambria Math" w:hAnsi="Cambria Math"/>
                    <w:sz w:val="24"/>
                  </w:rPr>
                  <m:t>K</m:t>
                </m:r>
                <m:r>
                  <m:rPr/>
                  <w:rPr>
                    <w:rFonts w:hint="default" w:ascii="Cambria Math" w:hAnsi="Cambria Math"/>
                    <w:sz w:val="24"/>
                  </w:rPr>
                  <m:t>],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/>
                        <w:sz w:val="24"/>
                      </w:rPr>
                      <m:t>V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aug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=[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/>
                        <w:sz w:val="24"/>
                      </w:rPr>
                      <m:t>P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V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;</m:t>
                </m:r>
                <m:r>
                  <m:rPr>
                    <m:sty m:val="b"/>
                  </m:rPr>
                  <w:rPr>
                    <w:rFonts w:hint="default" w:ascii="Cambria Math" w:hAnsi="Cambria Math"/>
                    <w:sz w:val="24"/>
                  </w:rPr>
                  <m:t>V</m:t>
                </m:r>
                <m:r>
                  <m:rPr/>
                  <w:rPr>
                    <w:rFonts w:hint="default" w:ascii="Cambria Math" w:hAnsi="Cambria Math"/>
                    <w:sz w:val="24"/>
                  </w:rPr>
                  <m:t>]</m:t>
                </m:r>
              </m:oMath>
            </m:oMathPara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EB618F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~0.1%-1%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60CF2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有（KV cache 增长）</w:t>
            </w:r>
          </w:p>
        </w:tc>
      </w:tr>
      <w:tr w14:paraId="673C38A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71D0F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Prompt Tuning</w:t>
            </w:r>
          </w:p>
        </w:tc>
        <w:tc>
          <w:tcPr>
            <w:tcW w:w="462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60E514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ty m:val="b"/>
                      </m:rPr>
                      <w:rPr>
                        <w:rFonts w:hint="default" w:ascii="Cambria Math" w:hAnsi="Cambria Math"/>
                        <w:sz w:val="24"/>
                      </w:rPr>
                      <m:t>E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aug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=[</m:t>
                </m:r>
                <m:r>
                  <m:rPr>
                    <m:sty m:val="b"/>
                  </m:rPr>
                  <w:rPr>
                    <w:rFonts w:hint="default" w:ascii="Cambria Math" w:hAnsi="Cambria Math"/>
                    <w:sz w:val="24"/>
                  </w:rPr>
                  <m:t>P</m:t>
                </m:r>
                <m:r>
                  <m:rPr/>
                  <w:rPr>
                    <w:rFonts w:hint="default" w:ascii="Cambria Math" w:hAnsi="Cambria Math"/>
                    <w:sz w:val="24"/>
                  </w:rPr>
                  <m:t>;</m:t>
                </m:r>
                <m:r>
                  <m:rPr>
                    <m:sty m:val="b"/>
                  </m:rPr>
                  <w:rPr>
                    <w:rFonts w:hint="default" w:ascii="Cambria Math" w:hAnsi="Cambria Math"/>
                    <w:sz w:val="24"/>
                  </w:rPr>
                  <m:t>E</m:t>
                </m:r>
                <m:r>
                  <m:rPr/>
                  <w:rPr>
                    <w:rFonts w:hint="default" w:ascii="Cambria Math" w:hAnsi="Cambria Math"/>
                    <w:sz w:val="24"/>
                  </w:rPr>
                  <m:t>(x)]</m:t>
                </m:r>
              </m:oMath>
            </m:oMathPara>
          </w:p>
        </w:tc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DFBED8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~0.001%-0.01%</w:t>
            </w:r>
          </w:p>
        </w:tc>
        <w:tc>
          <w:tcPr>
            <w:tcW w:w="14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206E4A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无</w:t>
            </w:r>
          </w:p>
        </w:tc>
      </w:tr>
      <w:tr w14:paraId="76D1895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1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15100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LoRA</w:t>
            </w:r>
          </w:p>
        </w:tc>
        <w:tc>
          <w:tcPr>
            <w:tcW w:w="462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A5C7C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sz w:val="24"/>
                  </w:rPr>
                  <m:t>h=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W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x+</m:t>
                </m:r>
                <m:f>
                  <m:f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α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num>
                  <m:den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r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den>
                </m:f>
                <m:r>
                  <m:rPr/>
                  <w:rPr>
                    <w:rFonts w:hint="default" w:ascii="Cambria Math" w:hAnsi="Cambria Math"/>
                    <w:sz w:val="24"/>
                  </w:rPr>
                  <m:t>BAx</m:t>
                </m:r>
              </m:oMath>
            </m:oMathPara>
          </w:p>
        </w:tc>
        <w:tc>
          <w:tcPr>
            <w:tcW w:w="208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C5113D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~0.1%-1%</w:t>
            </w:r>
          </w:p>
        </w:tc>
        <w:tc>
          <w:tcPr>
            <w:tcW w:w="141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B830A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无（可合并）</w:t>
            </w:r>
          </w:p>
        </w:tc>
      </w:tr>
      <w:bookmarkEnd w:id="119"/>
    </w:tbl>
    <w:p w14:paraId="2CB73B31">
      <w:r>
        <w:rPr>
          <w:rFonts w:hint="eastAsia"/>
        </w:rPr>
        <w:t>🔗 详见《Fine-tuning 技术笔记》第 4 节：完整对比表格和每种方法的详细分析。</w:t>
      </w:r>
      <w:bookmarkEnd w:id="118"/>
      <w:bookmarkStart w:id="120" w:name="H7IPp"/>
    </w:p>
    <w:bookmarkEnd w:id="120"/>
    <w:p w14:paraId="67E1A64E">
      <w:pPr>
        <w:pStyle w:val="3"/>
        <w:bidi w:val="0"/>
      </w:pPr>
      <w:bookmarkStart w:id="121" w:name="_Toc8604"/>
      <w:bookmarkStart w:id="122" w:name="W6ALj"/>
      <w:r>
        <w:t>4.3 案例分析：Alpaca（Self-Instruct 指令微调）</w:t>
      </w:r>
      <w:bookmarkEnd w:id="121"/>
    </w:p>
    <w:bookmarkEnd w:id="122"/>
    <w:p w14:paraId="35254962">
      <w:pPr>
        <w:pStyle w:val="4"/>
        <w:bidi w:val="0"/>
      </w:pPr>
      <w:bookmarkStart w:id="123" w:name="_Toc25855"/>
      <w:bookmarkStart w:id="124" w:name="MmQfn"/>
      <w:r>
        <w:t>4.3.1 动机与背景</w:t>
      </w:r>
      <w:bookmarkEnd w:id="123"/>
    </w:p>
    <w:bookmarkEnd w:id="124"/>
    <w:p w14:paraId="7725167A">
      <w:pPr>
        <w:bidi w:val="0"/>
      </w:pPr>
      <w:bookmarkStart w:id="125" w:name="ud3a086c5"/>
      <w:r>
        <w:t>Stanford Alpaca（2023 年 3 月）是首个以极低成本（~$100）复现 GPT-3.5 级别指令跟随能力的开源模型。它的核心创新是用 模型生成训练数据（Self-Instruct），解决了高质量指令数据的瓶颈问题。</w:t>
      </w:r>
    </w:p>
    <w:bookmarkEnd w:id="125"/>
    <w:p w14:paraId="43C3E892">
      <w:pPr>
        <w:pStyle w:val="4"/>
        <w:bidi w:val="0"/>
      </w:pPr>
      <w:bookmarkStart w:id="126" w:name="_Toc17761"/>
      <w:bookmarkStart w:id="127" w:name="UEzKS"/>
      <w:r>
        <w:t>4.3.2 详细分析</w:t>
      </w:r>
      <w:bookmarkEnd w:id="126"/>
    </w:p>
    <w:tbl>
      <w:tblPr>
        <w:tblStyle w:val="16"/>
        <w:tblW w:w="92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41"/>
        <w:gridCol w:w="8102"/>
      </w:tblGrid>
      <w:tr w14:paraId="6EE9A78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C9C6E8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维度</w:t>
            </w:r>
          </w:p>
        </w:tc>
        <w:tc>
          <w:tcPr>
            <w:tcW w:w="810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0B0ACC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说明</w:t>
            </w:r>
          </w:p>
        </w:tc>
      </w:tr>
      <w:tr w14:paraId="60B0107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515E0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128" w:name="u15c25cb9"/>
            <w:r>
              <w:t>解决什么问题</w:t>
            </w:r>
          </w:p>
        </w:tc>
        <w:tc>
          <w:tcPr>
            <w:tcW w:w="810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B7A82B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高质量指令数据稀缺且昂贵（人工标注一条指令-回复对约 $1-5）。Alpaca 证明：用强大模型自动生成指令数据 + 在开源基座模型上微调，可以以极低成本获得接近 GPT-3.5 的指令跟随能力</w:t>
            </w:r>
          </w:p>
        </w:tc>
      </w:tr>
      <w:tr w14:paraId="3650862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AC2178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输入数据</w:t>
            </w:r>
          </w:p>
        </w:tc>
        <w:tc>
          <w:tcPr>
            <w:tcW w:w="81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92F0E7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52K 条 instruction-input-output 三元组。通过 Self-Instruct 管线生成：175 条种子指令 → 调用 text-davinci-003 扩增 → ROUGE-L 去重 → 质量过滤</w:t>
            </w:r>
          </w:p>
        </w:tc>
      </w:tr>
      <w:tr w14:paraId="28E6BC8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44A1C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输出结果</w:t>
            </w:r>
          </w:p>
        </w:tc>
        <w:tc>
          <w:tcPr>
            <w:tcW w:w="81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D10FA1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Alpaca 7B 指令模型。全量微调 LLaMA 7B，3 epochs，8×A100 80GB，~3 小时完成</w:t>
            </w:r>
          </w:p>
        </w:tc>
      </w:tr>
      <w:tr w14:paraId="3DB6C9D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F18BE4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数学原理</w:t>
            </w:r>
          </w:p>
        </w:tc>
        <w:tc>
          <w:tcPr>
            <w:tcW w:w="81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EC9DA3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 xml:space="preserve">Self-Instruct 是一种数据增强——在语义空间做扩展而非特征空间变换：教师模型 M_T（GPT-3.5）基于种子分布 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seed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</m:oMath>
            <w:r>
              <w:t xml:space="preserve"> 生成 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synth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={(x,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M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(x))∣x∼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expansion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P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seed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)}</m:t>
              </m:r>
            </m:oMath>
            <w:r>
              <w:t xml:space="preserve">。学生模型 </w:t>
            </w:r>
            <m:oMath>
              <m:r>
                <m:rPr>
                  <m:sty m:val="p"/>
                </m:rPr>
                <w:rPr>
                  <w:rFonts w:ascii="Cambria Math" w:hAnsi="Cambria Math" w:cstheme="minorBidi"/>
                  <w:sz w:val="24"/>
                  <w:szCs w:val="22"/>
                  <w:lang w:val="en-US" w:bidi="ar-SA"/>
                </w:rPr>
                <m:t>M_S（LLaMA 7B）</m:t>
              </m:r>
            </m:oMath>
            <w:r>
              <w:t xml:space="preserve">在合成数据上做监督学习，目标是最小化 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24"/>
                    </w:rPr>
                    <m:t>ℒ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SFT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=−</m:t>
              </m:r>
              <m:nary>
                <m:naryPr>
                  <m:chr m:val="∑"/>
                  <m:limLoc m:val="subSup"/>
                  <m:subHide m:val="1"/>
                  <m:supHide m:val="1"/>
                  <m:ctrlPr>
                    <w:rPr>
                      <w:rFonts w:hint="default" w:ascii="Cambria Math" w:hAnsi="Cambria Math"/>
                      <w:sz w:val="24"/>
                    </w:rPr>
                  </m:ctrlPr>
                </m:naryPr>
                <m:sub>
                  <m:ctrlPr>
                    <w:rPr>
                      <w:rFonts w:ascii="Cambria Math" w:hAnsi="Cambria Math"/>
                      <w:sz w:val="24"/>
                    </w:rPr>
                  </m:ctrlPr>
                </m:sub>
                <m:sup>
                  <m:ctrlPr>
                    <w:rPr>
                      <w:rFonts w:ascii="Cambria Math" w:hAnsi="Cambria Math"/>
                      <w:sz w:val="24"/>
                    </w:rPr>
                  </m:ctrlPr>
                </m:sup>
                <m:e>
                  <m:func>
                    <m:func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Name>
                    <m:e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nary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P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  <m:sub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(y∣x)</m:t>
              </m:r>
            </m:oMath>
          </w:p>
        </w:tc>
      </w:tr>
      <w:tr w14:paraId="7D5EF94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8035C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基本流程</w:t>
            </w:r>
          </w:p>
        </w:tc>
        <w:tc>
          <w:tcPr>
            <w:tcW w:w="81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65BCB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人工编写 175 条种子指令（覆盖写作、编程、问答等）；② 将种子任务作为 few-shot 示例，调用 text-davinci-003（GPT-3.5）生成新指令；③ 判断是否为分类任务——是则先生成类别，再生成 input；④ 调用 GPT-3.5 为每条指令生成 output；⑤ 过滤（去重、质量检查），得到 52K 条数据；⑥ 用标准 SFT 损失微调 LLaMA 7B</w:t>
            </w:r>
          </w:p>
        </w:tc>
      </w:tr>
      <w:tr w14:paraId="04CF540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10D6BA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优点</w:t>
            </w:r>
          </w:p>
        </w:tc>
        <w:tc>
          <w:tcPr>
            <w:tcW w:w="81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C3772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成本极低（$100 + 3 小时），大幅降低指令微调门槛；② 数据质量压倒数量（过滤后的 52K 效果远超更大但更嘈杂的数据集）；③ 验证了"教师模型蒸馏"的可行性——GPT-3.5 的 RLHF 对齐风格通过蒸馏传递给了 Alpaca</w:t>
            </w:r>
          </w:p>
        </w:tc>
      </w:tr>
      <w:tr w14:paraId="3A61987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668FF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局限性</w:t>
            </w:r>
          </w:p>
        </w:tc>
        <w:tc>
          <w:tcPr>
            <w:tcW w:w="81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0E338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LLaMA 非商用协议限制实际应用；② 蒸馏争议（OpenAI 服务条款禁止用 API 输出训练竞争模型）；③ 未经 RLHF，幻觉率显著高于 ChatGPT；④ 安全未对齐，易被诱导生成有害内容；⑤ 种子指令覆盖面有限（偏重英语、编程、常识）</w:t>
            </w:r>
          </w:p>
        </w:tc>
      </w:tr>
      <w:tr w14:paraId="0CBE9CC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34B4D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Post-training 位置</w:t>
            </w:r>
          </w:p>
        </w:tc>
        <w:tc>
          <w:tcPr>
            <w:tcW w:w="810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AF9A3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指令微调（SFT） 的代表性案例，展示了用 Self-Instruct 解决数据瓶颈——属于 Fine-tuning 阶段的核心实践</w:t>
            </w:r>
          </w:p>
        </w:tc>
      </w:tr>
      <w:bookmarkEnd w:id="127"/>
      <w:bookmarkEnd w:id="128"/>
    </w:tbl>
    <w:p w14:paraId="04273939">
      <w:pPr>
        <w:pStyle w:val="4"/>
        <w:bidi w:val="0"/>
        <w:ind w:left="0" w:leftChars="0" w:firstLine="0" w:firstLineChars="0"/>
      </w:pPr>
      <w:bookmarkStart w:id="129" w:name="_Toc905"/>
      <w:bookmarkStart w:id="130" w:name="jXor2"/>
      <w:r>
        <w:t>4.3.3 三种数据格式详解</w:t>
      </w:r>
      <w:bookmarkEnd w:id="129"/>
    </w:p>
    <w:bookmarkEnd w:id="130"/>
    <w:p w14:paraId="799880D2">
      <w:pPr>
        <w:bidi w:val="0"/>
      </w:pPr>
      <w:bookmarkStart w:id="131" w:name="u51e0055e"/>
      <w:r>
        <w:t>微调数据的格式直接影响模型的行为。以下是三种主流格式：</w:t>
      </w:r>
    </w:p>
    <w:bookmarkEnd w:id="131"/>
    <w:p w14:paraId="3FB36493">
      <w:pPr>
        <w:bidi w:val="0"/>
        <w:rPr>
          <w:b/>
          <w:bCs/>
        </w:rPr>
      </w:pPr>
      <w:bookmarkStart w:id="132" w:name="u1782ad37"/>
      <w:r>
        <w:rPr>
          <w:b/>
          <w:bCs/>
        </w:rPr>
        <w:t>Alpaca 格式（单轮指令）：</w:t>
      </w:r>
    </w:p>
    <w:bookmarkEnd w:id="132"/>
    <w:p w14:paraId="54EC2A72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133" w:name="mLHYH"/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"instruction": "将以下句子翻译成英文。",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"input": "今天天气真好。",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"output": "The weather is really nice today."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133"/>
    <w:p w14:paraId="63861857">
      <w:pPr>
        <w:bidi w:val="0"/>
        <w:rPr>
          <w:b/>
          <w:bCs/>
        </w:rPr>
      </w:pPr>
      <w:bookmarkStart w:id="134" w:name="ufc3a92ac"/>
      <w:r>
        <w:rPr>
          <w:b/>
          <w:bCs/>
        </w:rPr>
        <w:t>ShareGPT 格式（多轮对话）：</w:t>
      </w:r>
    </w:p>
    <w:bookmarkEnd w:id="134"/>
    <w:p w14:paraId="1D798CE1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135" w:name="iJ4QO"/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"conversations":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{"from": "human", "value": "你好，请帮我写一个快速排序。"},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{"from": "gpt", "value": "当然，以下是 Python 实现的快速排序：\n```python\ndef quicksort(arr):\n    ...```"},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{"from": "human", "value": "能加上注释吗？"},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{"from": "gpt", "value": "好的，这是带注释的版本：\n```python\ndef quicksort(arr):\n    # 递归终止条件\n    ...```"}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]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135"/>
    <w:p w14:paraId="450A57F3">
      <w:pPr>
        <w:bidi w:val="0"/>
        <w:rPr>
          <w:b/>
          <w:bCs/>
        </w:rPr>
      </w:pPr>
      <w:bookmarkStart w:id="136" w:name="u73dcca2e"/>
      <w:r>
        <w:rPr>
          <w:b/>
          <w:bCs/>
        </w:rPr>
        <w:t>ChatML 格式（业界标准，推荐）：</w:t>
      </w:r>
    </w:p>
    <w:bookmarkEnd w:id="136"/>
    <w:p w14:paraId="3A4A39A3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137" w:name="NDCoP"/>
      <w:r>
        <w:rPr>
          <w:rFonts w:ascii="宋体" w:hAnsi="Courier New" w:eastAsia="宋体"/>
          <w:color w:val="000000"/>
          <w:sz w:val="20"/>
        </w:rPr>
        <w:t>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"messages": [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{"role": "system", "content": "你是一个有帮助的AI助手。"},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{"role": "user", "content": "什么是快速排序？"},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{"role": "assistant", "content": "快速排序是一种分治排序算法，其核心思想是..."}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]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137"/>
    <w:p w14:paraId="243206F8">
      <w:pPr>
        <w:bidi w:val="0"/>
      </w:pPr>
      <w:bookmarkStart w:id="138" w:name="SznJJ"/>
      <w:r>
        <w:rPr>
          <w:rFonts w:hint="eastAsia"/>
        </w:rPr>
        <w:t>🔗 详见《Fine-tuning 技术笔记》第 8 节：三种数据格式的详细对比和选择建议。</w:t>
      </w:r>
    </w:p>
    <w:bookmarkEnd w:id="138"/>
    <w:p w14:paraId="1BC99C71">
      <w:pPr>
        <w:pStyle w:val="3"/>
        <w:bidi w:val="0"/>
      </w:pPr>
      <w:bookmarkStart w:id="139" w:name="_Toc20054"/>
      <w:bookmarkStart w:id="140" w:name="XfdZC"/>
      <w:r>
        <w:t>4.4 案例分析：LoRA（低秩适配微调）</w:t>
      </w:r>
      <w:bookmarkEnd w:id="139"/>
    </w:p>
    <w:bookmarkEnd w:id="140"/>
    <w:p w14:paraId="0F319A2C">
      <w:pPr>
        <w:pStyle w:val="4"/>
        <w:bidi w:val="0"/>
      </w:pPr>
      <w:bookmarkStart w:id="141" w:name="_Toc13463"/>
      <w:bookmarkStart w:id="142" w:name="OmsTy"/>
      <w:r>
        <w:t>4.4.1 理论动机：本征维度假说</w:t>
      </w:r>
      <w:bookmarkEnd w:id="141"/>
    </w:p>
    <w:bookmarkEnd w:id="142"/>
    <w:p w14:paraId="4D600076">
      <w:pPr>
        <w:bidi w:val="0"/>
      </w:pPr>
      <w:bookmarkStart w:id="143" w:name="ub6e9131e"/>
      <w:r>
        <w:t>LoRA 的设计深受 本征维度（Intrinsic Dimension） 研究启发。Aghajanyan et al. (2020) 发现：</w:t>
      </w:r>
    </w:p>
    <w:p w14:paraId="2E92BB4D">
      <w:pPr>
        <w:bidi w:val="0"/>
      </w:pPr>
      <w:r>
        <w:rPr>
          <w:rFonts w:hint="eastAsia"/>
        </w:rPr>
        <w:t>即使模型有数十亿参数，其参数更新的有效自由度（即本征维度）远小于参数总量。对于大多数下游任务，在一个仅几百维的随机子空间中优化就足以达到全参数微调 90% 以上的效果。</w:t>
      </w:r>
    </w:p>
    <w:bookmarkEnd w:id="143"/>
    <w:p w14:paraId="7891BD54">
      <w:pPr>
        <w:bidi w:val="0"/>
      </w:pPr>
      <w:bookmarkStart w:id="144" w:name="u98a4511c"/>
      <w:r>
        <w:t>这暗示一个关键性质：</w:t>
      </w:r>
      <m:oMath>
        <m:r>
          <m:rPr/>
          <w:rPr>
            <w:rFonts w:hint="default" w:ascii="Cambria Math" w:hAnsi="Cambria Math"/>
            <w:sz w:val="24"/>
          </w:rPr>
          <m:t>rank(ΔW)≪</m:t>
        </m:r>
        <m:func>
          <m:funcPr>
            <m:ctrlPr>
              <w:rPr>
                <w:rFonts w:hint="default" w:ascii="Cambria Math" w:hAnsi="Cambria Math"/>
                <w:sz w:val="24"/>
              </w:rPr>
            </m:ctrlPr>
          </m:funcPr>
          <m:fName>
            <m:limLow>
              <m:limLowPr>
                <m:ctrlPr>
                  <w:rPr>
                    <w:rFonts w:hint="default" w:ascii="Cambria Math" w:hAnsi="Cambria Math"/>
                    <w:sz w:val="24"/>
                  </w:rPr>
                </m:ctrlPr>
              </m:limLowPr>
              <m:e>
                <m:r>
                  <m:rPr>
                    <m:sty m:val="p"/>
                  </m:rPr>
                  <w:rPr>
                    <w:rFonts w:hint="default" w:ascii="Cambria Math" w:hAnsi="Cambria Math"/>
                    <w:sz w:val="24"/>
                  </w:rPr>
                  <m:t>min</m:t>
                </m:r>
                <m:ctrlPr>
                  <w:rPr>
                    <w:rFonts w:ascii="Cambria Math" w:hAnsi="Cambria Math"/>
                    <w:sz w:val="24"/>
                  </w:rPr>
                </m:ctrlPr>
              </m:e>
              <m:lim>
                <m:ctrlPr>
                  <w:rPr>
                    <w:rFonts w:ascii="Cambria Math" w:hAnsi="Cambria Math"/>
                    <w:sz w:val="24"/>
                  </w:rPr>
                </m:ctrlPr>
              </m:lim>
            </m:limLow>
            <m:ctrlPr>
              <w:rPr>
                <w:rFonts w:hint="default" w:ascii="Cambria Math" w:hAnsi="Cambria Math"/>
                <w:sz w:val="24"/>
              </w:rPr>
            </m:ctrlPr>
          </m:fName>
          <m:e>
            <m:r>
              <m:rPr/>
              <w:rPr>
                <w:rFonts w:hint="default" w:ascii="Cambria Math" w:hAnsi="Cambria Math"/>
                <w:sz w:val="24"/>
              </w:rPr>
              <m:t>(</m:t>
            </m:r>
            <m:ctrlPr>
              <w:rPr>
                <w:rFonts w:hint="default" w:ascii="Cambria Math" w:hAnsi="Cambria Math"/>
                <w:sz w:val="24"/>
              </w:rPr>
            </m:ctrlPr>
          </m:e>
        </m:func>
        <m:r>
          <m:rPr/>
          <w:rPr>
            <w:rFonts w:hint="default" w:ascii="Cambria Math" w:hAnsi="Cambria Math"/>
            <w:sz w:val="24"/>
          </w:rPr>
          <m:t>d,k)</m:t>
        </m:r>
      </m:oMath>
    </w:p>
    <w:bookmarkEnd w:id="144"/>
    <w:p w14:paraId="47AAF42E">
      <w:pPr>
        <w:bidi w:val="0"/>
      </w:pPr>
      <w:bookmarkStart w:id="145" w:name="u7afd5cf6"/>
      <w:r>
        <w:t xml:space="preserve">其中 </w:t>
      </w:r>
      <m:oMath>
        <m:r>
          <m:rPr/>
          <w:rPr>
            <w:rFonts w:hint="default" w:ascii="Cambria Math" w:hAnsi="Cambria Math"/>
            <w:sz w:val="24"/>
          </w:rPr>
          <m:t>ΔW</m:t>
        </m:r>
      </m:oMath>
      <w:r>
        <w:t xml:space="preserve"> 是微调带来的权重变化量。LoRA 正是利用这一洞察，显式地将 </w:t>
      </w:r>
      <m:oMath>
        <m:r>
          <m:rPr/>
          <w:rPr>
            <w:rFonts w:hint="default" w:ascii="Cambria Math" w:hAnsi="Cambria Math"/>
            <w:sz w:val="24"/>
          </w:rPr>
          <m:t>ΔW</m:t>
        </m:r>
      </m:oMath>
      <w:r>
        <w:t xml:space="preserve"> 建模为两个低秩矩阵的乘积。</w:t>
      </w:r>
    </w:p>
    <w:bookmarkEnd w:id="145"/>
    <w:p w14:paraId="660B27ED">
      <w:pPr>
        <w:pStyle w:val="5"/>
        <w:tabs>
          <w:tab w:val="left" w:pos="3404"/>
        </w:tabs>
        <w:spacing w:beforeLines="100" w:after="50" w:line="360" w:lineRule="auto"/>
        <w:ind w:left="0"/>
        <w:jc w:val="left"/>
        <w:rPr>
          <w:rFonts w:ascii="宋体" w:hAnsi="Times New Roman" w:eastAsia="宋体"/>
        </w:rPr>
      </w:pPr>
      <w:bookmarkStart w:id="146" w:name="GvsCw"/>
      <w:r>
        <w:rPr>
          <w:rFonts w:ascii="宋体" w:hAnsi="Times New Roman" w:eastAsia="宋体"/>
        </w:rPr>
        <w:t>4.4.2 详细分析</w:t>
      </w:r>
    </w:p>
    <w:tbl>
      <w:tblPr>
        <w:tblStyle w:val="16"/>
        <w:tblW w:w="92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67"/>
        <w:gridCol w:w="8076"/>
      </w:tblGrid>
      <w:tr w14:paraId="06A860D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A49F9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b/>
              </w:rPr>
              <w:t>维度</w:t>
            </w:r>
          </w:p>
        </w:tc>
        <w:tc>
          <w:tcPr>
            <w:tcW w:w="807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F84BE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b/>
                <w:lang w:val="en-US" w:eastAsia="zh-CN"/>
              </w:rPr>
            </w:pPr>
            <w:r>
              <w:rPr>
                <w:b/>
              </w:rPr>
              <w:t>说明</w:t>
            </w:r>
          </w:p>
        </w:tc>
      </w:tr>
      <w:tr w14:paraId="341A70F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A5653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bookmarkStart w:id="147" w:name="u02002fa7"/>
            <w:r>
              <w:t>解决什么问题</w:t>
            </w:r>
          </w:p>
        </w:tc>
        <w:tc>
          <w:tcPr>
            <w:tcW w:w="807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E45C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>Full FT 的显存和存储成本过高（7B 模型需 ~112 GB，每任务需保存完整 ~14GB 模型）。LoRA 将可训练参数量降低到 0.1-1%，同时保持效果接近 Full FT</w:t>
            </w:r>
          </w:p>
        </w:tc>
      </w:tr>
      <w:tr w14:paraId="0A67908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EE5F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t>输入数据</w:t>
            </w:r>
          </w:p>
        </w:tc>
        <w:tc>
          <w:tcPr>
            <w:tcW w:w="80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784C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>与 Full FT 相同的指令-回复对。LoRA 对数据量不敏感——500-10K 条均可，且由于低秩约束提供天然正则化，小数据场景比 Full FT 更鲁棒</w:t>
            </w:r>
          </w:p>
        </w:tc>
      </w:tr>
      <w:tr w14:paraId="72A0DC1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276A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t>输出结果</w:t>
            </w:r>
          </w:p>
        </w:tc>
        <w:tc>
          <w:tcPr>
            <w:tcW w:w="80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2016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>一套低秩适配器权重 A, B（~16 MB for 7B model）。可合并回原始权重实现零额外开销推理，也可热插拔用于多任务切换</w:t>
            </w:r>
          </w:p>
        </w:tc>
      </w:tr>
      <w:tr w14:paraId="4A91CA1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8805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t>数学原理</w:t>
            </w:r>
          </w:p>
        </w:tc>
        <w:tc>
          <w:tcPr>
            <w:tcW w:w="80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081E2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>核心公式：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h=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W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0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x+</m:t>
              </m:r>
              <m:f>
                <m:fPr>
                  <m:ctrlPr>
                    <w:rPr>
                      <w:rFonts w:hint="default" w:ascii="Cambria Math" w:hAnsi="Cambria Math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4"/>
                    </w:rPr>
                    <m:t>α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4"/>
                </w:rPr>
                <m:t>BAx</m:t>
              </m:r>
            </m:oMath>
            <w:r>
              <w:t xml:space="preserve">。其中 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W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0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∈</m:t>
              </m:r>
              <m:sSup>
                <m:s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Cambria Math" w:hAnsi="Cambria Math" w:eastAsia="MS Mincho"/>
                      <w:sz w:val="24"/>
                    </w:rPr>
                    <m:t>ℝ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d×k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</m:oMath>
            <w:r>
              <w:t xml:space="preserve"> 冻结，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B∈</m:t>
              </m:r>
              <m:sSup>
                <m:s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Cambria Math" w:hAnsi="Cambria Math" w:eastAsia="MS Mincho"/>
                      <w:sz w:val="24"/>
                    </w:rPr>
                    <m:t>ℝ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d×r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</m:oMath>
            <w:r>
              <w:t xml:space="preserve"> 和 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A∈</m:t>
              </m:r>
              <m:sSup>
                <m:s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hint="default" w:ascii="Cambria Math" w:hAnsi="Cambria Math" w:eastAsia="MS Mincho"/>
                      <w:sz w:val="24"/>
                    </w:rPr>
                    <m:t>ℝ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r×k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</m:oMath>
            <w:r>
              <w:t xml:space="preserve"> 可训练，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r≪</m:t>
              </m:r>
              <m:func>
                <m:funcPr>
                  <m:ctrlPr>
                    <w:rPr>
                      <w:rFonts w:hint="default" w:ascii="Cambria Math" w:hAnsi="Cambria Math"/>
                      <w:sz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lim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/>
                      <w:sz w:val="24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(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4"/>
                </w:rPr>
                <m:t>d,k)</m:t>
              </m:r>
            </m:oMath>
            <w:r>
              <w:t xml:space="preserve">。初始化为 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A∼</m:t>
              </m:r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N</m:t>
              </m:r>
              <m:r>
                <m:rPr/>
                <w:rPr>
                  <w:rFonts w:hint="default" w:ascii="Cambria Math" w:hAnsi="Cambria Math"/>
                  <w:sz w:val="24"/>
                </w:rPr>
                <m:t>(0,</m:t>
              </m:r>
              <m:sSup>
                <m:s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σ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4"/>
                </w:rPr>
                <m:t>)（Kaiming），B=0</m:t>
              </m:r>
            </m:oMath>
            <w:r>
              <w:t xml:space="preserve">（保证训练开始时 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ΔW=0</m:t>
              </m:r>
            </m:oMath>
            <w:r>
              <w:t>）。推理时合并：W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merged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W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0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+</m:t>
              </m:r>
              <m:f>
                <m:fPr>
                  <m:ctrlPr>
                    <w:rPr>
                      <w:rFonts w:hint="default" w:ascii="Cambria Math" w:hAnsi="Cambria Math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4"/>
                    </w:rPr>
                    <m:t>α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4"/>
                </w:rPr>
                <m:t>BA</m:t>
              </m:r>
            </m:oMath>
          </w:p>
        </w:tc>
      </w:tr>
      <w:tr w14:paraId="7BFFD96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7AB5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t>优化目标</w:t>
            </w:r>
          </w:p>
        </w:tc>
        <w:tc>
          <w:tcPr>
            <w:tcW w:w="80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10BD9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 xml:space="preserve">与 SFT 相同——交叉熵损失 </w:t>
            </w:r>
            <m:oMath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ℒ</m:t>
              </m:r>
              <m:r>
                <m:rPr/>
                <w:rPr>
                  <w:rFonts w:hint="default" w:ascii="Cambria Math" w:hAnsi="Cambria Math"/>
                  <w:sz w:val="24"/>
                </w:rPr>
                <m:t>=−</m:t>
              </m:r>
              <m:nary>
                <m:naryPr>
                  <m:chr m:val="∑"/>
                  <m:limLoc m:val="subSup"/>
                  <m:subHide m:val="1"/>
                  <m:supHide m:val="1"/>
                  <m:ctrlPr>
                    <w:rPr>
                      <w:rFonts w:hint="default" w:ascii="Cambria Math" w:hAnsi="Cambria Math"/>
                      <w:sz w:val="24"/>
                    </w:rPr>
                  </m:ctrlPr>
                </m:naryPr>
                <m:sub>
                  <m:ctrlPr>
                    <w:rPr>
                      <w:rFonts w:ascii="Cambria Math" w:hAnsi="Cambria Math"/>
                      <w:sz w:val="24"/>
                    </w:rPr>
                  </m:ctrlPr>
                </m:sub>
                <m:sup>
                  <m:ctrlPr>
                    <w:rPr>
                      <w:rFonts w:ascii="Cambria Math" w:hAnsi="Cambria Math"/>
                      <w:sz w:val="24"/>
                    </w:rPr>
                  </m:ctrlPr>
                </m:sup>
                <m:e>
                  <m:func>
                    <m:func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Name>
                    <m:e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nary>
              <m:r>
                <m:rPr/>
                <w:rPr>
                  <w:rFonts w:hint="default" w:ascii="Cambria Math" w:hAnsi="Cambria Math"/>
                  <w:sz w:val="24"/>
                </w:rPr>
                <m:t>P(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y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t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∣x,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y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lt;t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;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W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0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,A,B)</m:t>
              </m:r>
            </m:oMath>
            <w:r>
              <w:t xml:space="preserve">。但仅优化 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A,B，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W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0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</m:oMath>
            <w:r>
              <w:t xml:space="preserve"> 保持冻结</w:t>
            </w:r>
          </w:p>
        </w:tc>
      </w:tr>
      <w:tr w14:paraId="3ED13BA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C8205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t>基本流程</w:t>
            </w:r>
          </w:p>
        </w:tc>
        <w:tc>
          <w:tcPr>
            <w:tcW w:w="80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7853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 xml:space="preserve">① 冻结预训练权重 </w:t>
            </w:r>
            <m:oMath>
              <m:r>
                <m:rPr>
                  <m:sty m:val="p"/>
                </m:rPr>
                <w:rPr>
                  <w:rFonts w:ascii="Cambria Math" w:hAnsi="Cambria Math" w:cstheme="minorBidi"/>
                  <w:sz w:val="24"/>
                  <w:szCs w:val="22"/>
                  <w:lang w:val="en-US" w:bidi="ar-SA"/>
                </w:rPr>
                <m:t>W_0</m:t>
              </m:r>
            </m:oMath>
            <w:r>
              <w:t>；② 在目标层（通常为 Attention 投影矩阵）插入低秩矩阵 B, A；③ 仅优化 A, B；④ 保存时仅存储 A, B；⑤ 推理时合并或保持双分支计算</w:t>
            </w:r>
          </w:p>
        </w:tc>
      </w:tr>
      <w:tr w14:paraId="7D3DA32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3DC0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t>优点</w:t>
            </w:r>
          </w:p>
        </w:tc>
        <w:tc>
          <w:tcPr>
            <w:tcW w:w="80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BECA2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>① 显存降低 7×（7B: 16GB vs Full FT ~112GB）；② 存储极轻量（16MB vs ~14GB）；③ 推理零额外开销（可合并）；④ 可热插拔多任务切换；⑤ 低秩约束提供隐式正则化；⑥ 多种改进变体（DoRA, LoRA+, PiSSA）进一步提升效果</w:t>
            </w:r>
          </w:p>
        </w:tc>
      </w:tr>
      <w:tr w14:paraId="3AF08CB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A7D3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t>局限性</w:t>
            </w:r>
          </w:p>
        </w:tc>
        <w:tc>
          <w:tcPr>
            <w:tcW w:w="80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383F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>① 复杂任务效果上限略低于 Full FT（通常 &lt; 3%）；② 需选择 target_modules 和秩 r，有调参成本；③ 训练时仍需加载完整基座模型</w:t>
            </w:r>
          </w:p>
        </w:tc>
      </w:tr>
      <w:tr w14:paraId="5D24444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FABEF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  <w:r>
              <w:t>Post-training 位置</w:t>
            </w:r>
          </w:p>
        </w:tc>
        <w:tc>
          <w:tcPr>
            <w:tcW w:w="807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9FB2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/>
                <w:lang w:val="en-US" w:eastAsia="zh-CN"/>
              </w:rPr>
            </w:pPr>
            <w:r>
              <w:t>参数高效微调（PEFT）的核心方法，广泛应用于 Fine-tuning 阶段的指令微调和领域适应任务</w:t>
            </w:r>
          </w:p>
        </w:tc>
      </w:tr>
      <w:bookmarkEnd w:id="146"/>
      <w:bookmarkEnd w:id="147"/>
    </w:tbl>
    <w:p w14:paraId="35B62C92">
      <w:pPr>
        <w:pStyle w:val="4"/>
        <w:bidi w:val="0"/>
        <w:ind w:left="0" w:leftChars="0" w:firstLine="341" w:firstLineChars="100"/>
      </w:pPr>
      <w:bookmarkStart w:id="148" w:name="_Toc27277"/>
      <w:bookmarkStart w:id="149" w:name="YqNbq"/>
      <w:r>
        <w:t>4.4.3 低秩分解的 SVD 视角</w:t>
      </w:r>
      <w:bookmarkEnd w:id="148"/>
    </w:p>
    <w:bookmarkEnd w:id="149"/>
    <w:p w14:paraId="604BAED4">
      <w:pPr>
        <w:bidi w:val="0"/>
      </w:pPr>
      <w:bookmarkStart w:id="150" w:name="u5364b081"/>
      <w:r>
        <w:t xml:space="preserve">任意矩阵 </w:t>
      </w:r>
      <m:oMath>
        <m:r>
          <m:rPr/>
          <w:rPr>
            <w:rFonts w:hint="default" w:ascii="Cambria Math" w:hAnsi="Cambria Math"/>
            <w:sz w:val="24"/>
          </w:rPr>
          <m:t>M∈</m:t>
        </m:r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4"/>
              </w:rPr>
              <m:t>ℝ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d×k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t xml:space="preserve"> 的奇异值分解：</w:t>
      </w:r>
    </w:p>
    <w:bookmarkEnd w:id="150"/>
    <w:p w14:paraId="5783B5CB">
      <w:pPr>
        <w:bidi w:val="0"/>
      </w:pPr>
      <w:bookmarkStart w:id="151" w:name="ucfa3da7c"/>
      <m:oMathPara>
        <m:oMath>
          <m:r>
            <m:rPr/>
            <w:rPr>
              <w:rFonts w:hint="default" w:ascii="Cambria Math" w:hAnsi="Cambria Math"/>
              <w:sz w:val="24"/>
            </w:rPr>
            <m:t>M=UΣ</m:t>
          </m:r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</w:rPr>
                <m:t>V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T</m:t>
              </m:r>
              <m:ctrlPr>
                <w:rPr>
                  <w:rFonts w:ascii="Cambria Math" w:hAnsi="Cambria Math"/>
                  <w:sz w:val="24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</w:rPr>
            <m:t>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4"/>
                </w:rPr>
                <m:t>i=1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func>
                <m:funcPr>
                  <m:ctrlPr>
                    <w:rPr>
                      <w:rFonts w:hint="default" w:ascii="Cambria Math" w:hAnsi="Cambria Math"/>
                      <w:sz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lim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/>
                      <w:sz w:val="24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(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4"/>
                </w:rPr>
                <m:t>d,k)</m:t>
              </m:r>
              <m:ctrlPr>
                <w:rPr>
                  <w:rFonts w:hint="default" w:ascii="Cambria Math" w:hAnsi="Cambria Math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σ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e>
          </m:nary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/>
                  <w:sz w:val="24"/>
                </w:rPr>
                <m:t>u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/>
                  <w:sz w:val="24"/>
                </w:rPr>
              </m:ctrlPr>
            </m:sSubSupPr>
            <m:e>
              <m:r>
                <m:rPr>
                  <m:sty m:val="b"/>
                </m:rPr>
                <w:rPr>
                  <w:rFonts w:hint="default" w:ascii="Cambria Math" w:hAnsi="Cambria Math"/>
                  <w:sz w:val="24"/>
                </w:rPr>
                <m:t>v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T</m:t>
              </m:r>
              <m:ctrlPr>
                <w:rPr>
                  <w:rFonts w:hint="default" w:ascii="Cambria Math" w:hAnsi="Cambria Math"/>
                  <w:sz w:val="24"/>
                </w:rPr>
              </m:ctrlPr>
            </m:sup>
          </m:sSubSup>
        </m:oMath>
      </m:oMathPara>
    </w:p>
    <w:bookmarkEnd w:id="151"/>
    <w:p w14:paraId="46910320">
      <w:pPr>
        <w:bidi w:val="0"/>
      </w:pPr>
      <w:bookmarkStart w:id="152" w:name="u57a46a6c"/>
      <w:r>
        <w:t xml:space="preserve">其中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σ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1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≥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σ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≥…≥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σ</m:t>
            </m:r>
            <m:ctrlPr>
              <w:rPr>
                <w:rFonts w:ascii="Cambria Math" w:hAnsi="Cambria Math"/>
                <w:sz w:val="24"/>
              </w:rPr>
            </m:ctrlPr>
          </m:e>
          <m:sub>
            <m:func>
              <m:funcPr>
                <m:ctrlPr>
                  <w:rPr>
                    <w:rFonts w:hint="default" w:ascii="Cambria Math" w:hAnsi="Cambria Math"/>
                    <w:sz w:val="24"/>
                  </w:rPr>
                </m:ctrlPr>
              </m:funcPr>
              <m:fName>
                <m:limLow>
                  <m:limLow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</w:rPr>
                      <m:t>min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lim>
                    <m:ctrlPr>
                      <w:rPr>
                        <w:rFonts w:ascii="Cambria Math" w:hAnsi="Cambria Math"/>
                        <w:sz w:val="24"/>
                      </w:rPr>
                    </m:ctrlPr>
                  </m:lim>
                </m:limLow>
                <m:ctrlPr>
                  <w:rPr>
                    <w:rFonts w:hint="default" w:ascii="Cambria Math" w:hAnsi="Cambria Math"/>
                    <w:sz w:val="24"/>
                  </w:rPr>
                </m:ctrlPr>
              </m:fName>
              <m:e>
                <m:r>
                  <m:rPr/>
                  <w:rPr>
                    <w:rFonts w:hint="default" w:ascii="Cambria Math" w:hAnsi="Cambria Math"/>
                    <w:sz w:val="24"/>
                  </w:rPr>
                  <m:t>(</m:t>
                </m:r>
                <m:ctrlPr>
                  <w:rPr>
                    <w:rFonts w:hint="default" w:ascii="Cambria Math" w:hAnsi="Cambria Math"/>
                    <w:sz w:val="24"/>
                  </w:rPr>
                </m:ctrlPr>
              </m:e>
            </m:func>
            <m:r>
              <m:rPr/>
              <w:rPr>
                <w:rFonts w:hint="default" w:ascii="Cambria Math" w:hAnsi="Cambria Math"/>
                <w:sz w:val="24"/>
              </w:rPr>
              <m:t>d,k)</m:t>
            </m:r>
            <m:ctrlPr>
              <w:rPr>
                <w:rFonts w:hint="default"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≥0</m:t>
        </m:r>
      </m:oMath>
      <w:r>
        <w:t xml:space="preserve"> 为奇异值。如果大多数奇异值接近于 0，则可以用前 </w:t>
      </w:r>
      <w:bookmarkStart w:id="153" w:name="EeF3D"/>
      <w:r>
        <w:t>r</w:t>
      </w:r>
      <w:bookmarkEnd w:id="153"/>
      <w:r>
        <w:t xml:space="preserve"> 个最大的奇异值近似：</w:t>
      </w:r>
    </w:p>
    <w:bookmarkEnd w:id="152"/>
    <w:p w14:paraId="53C4542F">
      <w:pPr>
        <w:bidi w:val="0"/>
      </w:pPr>
      <m:oMathPara>
        <m:oMath>
          <w:bookmarkStart w:id="154" w:name="u1db013af"/>
          <m:r>
            <m:rPr/>
            <w:rPr>
              <w:rFonts w:hint="default" w:ascii="Cambria Math" w:hAnsi="Cambria Math"/>
              <w:sz w:val="24"/>
            </w:rPr>
            <m:t>M≈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4"/>
                </w:rPr>
                <m:t>i=1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r</m:t>
              </m:r>
              <m:ctrlPr>
                <w:rPr>
                  <w:rFonts w:ascii="Cambria Math" w:hAnsi="Cambria Math"/>
                  <w:sz w:val="24"/>
                </w:rPr>
              </m:ctrlPr>
            </m:sup>
            <m:e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σ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e>
          </m:nary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>
                  <m:sty m:val="b"/>
                </m:rPr>
                <w:rPr>
                  <w:rFonts w:hint="default" w:ascii="Cambria Math" w:hAnsi="Cambria Math"/>
                  <w:sz w:val="24"/>
                </w:rPr>
                <m:t>u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/>
                  <w:sz w:val="24"/>
                </w:rPr>
              </m:ctrlPr>
            </m:sSubSupPr>
            <m:e>
              <m:r>
                <m:rPr>
                  <m:sty m:val="b"/>
                </m:rPr>
                <w:rPr>
                  <w:rFonts w:hint="default" w:ascii="Cambria Math" w:hAnsi="Cambria Math"/>
                  <w:sz w:val="24"/>
                </w:rPr>
                <m:t>v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T</m:t>
              </m:r>
              <m:ctrlPr>
                <w:rPr>
                  <w:rFonts w:hint="default" w:ascii="Cambria Math" w:hAnsi="Cambria Math"/>
                  <w:sz w:val="24"/>
                </w:rPr>
              </m:ctrlPr>
            </m:sup>
          </m:sSubSup>
        </m:oMath>
      </m:oMathPara>
    </w:p>
    <w:bookmarkEnd w:id="154"/>
    <w:p w14:paraId="7CD8A433">
      <w:pPr>
        <w:bidi w:val="0"/>
      </w:pPr>
      <w:bookmarkStart w:id="155" w:name="ueaf84bc1"/>
      <w:r>
        <w:t>近似误差由 Eckart-Young-Mirsky 定理 给出：</w:t>
      </w:r>
    </w:p>
    <w:bookmarkEnd w:id="155"/>
    <w:p w14:paraId="308997AB">
      <w:pPr>
        <w:bidi w:val="0"/>
      </w:pPr>
      <w:bookmarkStart w:id="156" w:name="uba4b0684"/>
      <m:oMathPara>
        <m:oMath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</w:rPr>
                    <m:t>min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/>
                      <w:sz w:val="24"/>
                    </w:rPr>
                    <m:t>rank(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M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</w:rPr>
                    <m:t>)≤r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lim>
              </m:limLow>
              <m:ctrlPr>
                <w:rPr>
                  <w:rFonts w:hint="default" w:ascii="Cambria Math" w:hAnsi="Cambria Math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4"/>
                </w:rPr>
                <m:t>‖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</w:rPr>
            <m:t>M−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M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r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‖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F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sz w:val="24"/>
                </w:rPr>
              </m:ctrlPr>
            </m:radPr>
            <m:deg>
              <m:ctrlPr>
                <w:rPr>
                  <w:rFonts w:hint="default" w:ascii="Cambria Math" w:hAnsi="Cambria Math"/>
                  <w:sz w:val="24"/>
                </w:rPr>
              </m:ctrlPr>
            </m:deg>
            <m:e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i=r+1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  <m:sup>
                  <m:func>
                    <m:func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</w:rPr>
                            <m:t>min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lim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lim>
                      </m:limLow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(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e>
                  </m:func>
                  <m:r>
                    <m:rPr/>
                    <w:rPr>
                      <w:rFonts w:hint="default" w:ascii="Cambria Math" w:hAnsi="Cambria Math"/>
                      <w:sz w:val="24"/>
                    </w:rPr>
                    <m:t>d,k)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sup>
                <m:e>
                  <m:sSubSup>
                    <m:sSubSup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Sup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σ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i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2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up>
                  </m:sSubSup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nary>
              <m:ctrlPr>
                <w:rPr>
                  <w:rFonts w:hint="default" w:ascii="Cambria Math" w:hAnsi="Cambria Math"/>
                  <w:sz w:val="24"/>
                </w:rPr>
              </m:ctrlPr>
            </m:e>
          </m:rad>
        </m:oMath>
      </m:oMathPara>
    </w:p>
    <w:bookmarkEnd w:id="156"/>
    <w:p w14:paraId="4067DC4A">
      <w:pPr>
        <w:bidi w:val="0"/>
      </w:pPr>
      <w:bookmarkStart w:id="157" w:name="u646341e5"/>
      <w:r>
        <w:t>LoRA 的洞见：微调中的权重更新</w:t>
      </w:r>
      <m:oMath>
        <m:r>
          <m:rPr/>
          <w:rPr>
            <w:rFonts w:hint="default" w:ascii="Cambria Math" w:hAnsi="Cambria Math"/>
            <w:sz w:val="24"/>
          </w:rPr>
          <m:t>ΔW</m:t>
        </m:r>
      </m:oMath>
      <w:r>
        <w:t xml:space="preserve"> 恰好具有这种低秩性质，因此可以直接用 </w:t>
      </w:r>
      <w:bookmarkStart w:id="158" w:name="y8JpX"/>
      <w:r>
        <w:t>BA</w:t>
      </w:r>
      <w:bookmarkEnd w:id="158"/>
      <w:r>
        <w:t xml:space="preserve"> 来参数化。</w:t>
      </w:r>
    </w:p>
    <w:bookmarkEnd w:id="157"/>
    <w:p w14:paraId="25825BBD">
      <w:pPr>
        <w:pStyle w:val="4"/>
        <w:bidi w:val="0"/>
      </w:pPr>
      <w:bookmarkStart w:id="159" w:name="_Toc6252"/>
      <w:bookmarkStart w:id="160" w:name="ntaev"/>
      <w:r>
        <w:t>4.4.4 参数量计算示例</w:t>
      </w:r>
      <w:bookmarkEnd w:id="159"/>
    </w:p>
    <w:bookmarkEnd w:id="160"/>
    <w:p w14:paraId="562DE66A">
      <w:pPr>
        <w:bidi w:val="0"/>
      </w:pPr>
      <w:bookmarkStart w:id="161" w:name="ubb1a2892"/>
      <w:r>
        <w:t xml:space="preserve">对于 Transformer 中的一个线性层 </w:t>
      </w:r>
      <m:oMath>
        <m:r>
          <m:rPr/>
          <w:rPr>
            <w:rFonts w:hint="default" w:ascii="Cambria Math" w:hAnsi="Cambria Math"/>
            <w:sz w:val="24"/>
          </w:rPr>
          <m:t>W∈</m:t>
        </m:r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>
                <m:scr m:val="double-struck"/>
              </m:rPr>
              <w:rPr>
                <w:rFonts w:hint="default" w:ascii="Cambria Math" w:hAnsi="Cambria Math" w:eastAsia="MS Mincho"/>
                <w:sz w:val="24"/>
              </w:rPr>
              <m:t>ℝ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d×k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t xml:space="preserve">（如 </w:t>
      </w:r>
      <w:bookmarkStart w:id="162" w:name="DFvwA"/>
      <w:r>
        <w:t>d = k = 4096</w:t>
      </w:r>
      <w:bookmarkEnd w:id="162"/>
      <w:r>
        <w:t>）：</w:t>
      </w:r>
    </w:p>
    <w:bookmarkEnd w:id="161"/>
    <w:p w14:paraId="1C78C978">
      <w:pPr>
        <w:bidi w:val="0"/>
      </w:pPr>
      <w:bookmarkStart w:id="163" w:name="u013dccb7"/>
      <w:r>
        <w:t>原始参数量：</w:t>
      </w:r>
      <m:oMath>
        <m:r>
          <m:rPr/>
          <w:rPr>
            <w:rFonts w:hint="default" w:ascii="Cambria Math" w:hAnsi="Cambria Math"/>
            <w:sz w:val="24"/>
          </w:rPr>
          <m:t>d×k=409</m:t>
        </m:r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6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p>
        </m:sSup>
        <m:r>
          <m:rPr/>
          <w:rPr>
            <w:rFonts w:hint="default" w:ascii="Cambria Math" w:hAnsi="Cambria Math"/>
            <w:sz w:val="24"/>
          </w:rPr>
          <m:t>≈16.8M</m:t>
        </m:r>
      </m:oMath>
    </w:p>
    <w:bookmarkEnd w:id="163"/>
    <w:p w14:paraId="5A159F25">
      <w:pPr>
        <w:bidi w:val="0"/>
      </w:pPr>
      <w:bookmarkStart w:id="164" w:name="udbe05c84"/>
      <w:r>
        <w:t>LoRA 参数量（</w:t>
      </w:r>
      <w:bookmarkStart w:id="165" w:name="RwFgu"/>
      <w:r>
        <w:t>r=8</w:t>
      </w:r>
      <w:bookmarkEnd w:id="165"/>
      <w:r>
        <w:t>）：</w:t>
      </w:r>
      <m:oMath>
        <m:r>
          <m:rPr/>
          <w:rPr>
            <w:rFonts w:hint="default" w:ascii="Cambria Math" w:hAnsi="Cambria Math"/>
            <w:sz w:val="24"/>
          </w:rPr>
          <m:t>d×r+r×k=4096×8+8×4096=65,536≈0.066M</m:t>
        </m:r>
      </m:oMath>
    </w:p>
    <w:bookmarkEnd w:id="164"/>
    <w:p w14:paraId="4F0FBFF0">
      <w:pPr>
        <w:bidi w:val="0"/>
      </w:pPr>
      <w:bookmarkStart w:id="166" w:name="u687b5d7e"/>
      <w:r>
        <w:t>占比：</w:t>
      </w:r>
      <m:oMath>
        <m:r>
          <m:rPr/>
          <w:rPr>
            <w:rFonts w:hint="default" w:ascii="Cambria Math" w:hAnsi="Cambria Math"/>
            <w:sz w:val="24"/>
          </w:rPr>
          <m:t>65,536/16,777,216≈0.39%</m:t>
        </m:r>
      </m:oMath>
    </w:p>
    <w:bookmarkEnd w:id="166"/>
    <w:p w14:paraId="1E91B920">
      <w:pPr>
        <w:bidi w:val="0"/>
      </w:pPr>
      <w:bookmarkStart w:id="167" w:name="u7c05359c"/>
      <w:r>
        <w:t>对于 LLaMA-7B（~6.7B 参数，32 层，每层 4 个 Attention 投影矩阵）：</w:t>
      </w:r>
    </w:p>
    <w:bookmarkEnd w:id="167"/>
    <w:p w14:paraId="0DD7423D">
      <w:pPr>
        <w:bidi w:val="0"/>
      </w:pPr>
      <w:bookmarkStart w:id="168" w:name="u788bdab2"/>
      <w:r>
        <w:t>全量参数：~6.7B</w:t>
      </w:r>
    </w:p>
    <w:bookmarkEnd w:id="168"/>
    <w:p w14:paraId="2EA168E8">
      <w:pPr>
        <w:bidi w:val="0"/>
      </w:pPr>
      <w:bookmarkStart w:id="169" w:name="u949e458d"/>
      <w:r>
        <w:t>LoRA 参数（</w:t>
      </w:r>
      <w:bookmarkStart w:id="170" w:name="Dldex"/>
      <w:r>
        <w:t>r=8</w:t>
      </w:r>
      <w:bookmarkEnd w:id="170"/>
      <w:r>
        <w:t xml:space="preserve">，仅 </w:t>
      </w:r>
      <w:bookmarkStart w:id="171" w:name="oYLn0"/>
      <w:r>
        <w:t>q,v</w:t>
      </w:r>
      <w:bookmarkEnd w:id="171"/>
      <w:r>
        <w:t>）：~4.2M（约 0.06%）</w:t>
      </w:r>
    </w:p>
    <w:bookmarkEnd w:id="169"/>
    <w:p w14:paraId="099896C7">
      <w:pPr>
        <w:pStyle w:val="4"/>
        <w:bidi w:val="0"/>
      </w:pPr>
      <w:bookmarkStart w:id="172" w:name="_Toc16823"/>
      <w:bookmarkStart w:id="173" w:name="GTSaB"/>
      <w:r>
        <w:t>4.4.5 target_modules 的选择</w:t>
      </w:r>
      <w:bookmarkEnd w:id="172"/>
    </w:p>
    <w:bookmarkEnd w:id="173"/>
    <w:p w14:paraId="24B0B3E0">
      <w:pPr>
        <w:bidi w:val="0"/>
      </w:pPr>
      <w:bookmarkStart w:id="174" w:name="u9e17f6b7"/>
      <w:r>
        <w:t>各投影矩阵在 Attention 中的作用：</w:t>
      </w:r>
    </w:p>
    <w:tbl>
      <w:tblPr>
        <w:tblStyle w:val="16"/>
        <w:tblW w:w="92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20"/>
        <w:gridCol w:w="3168"/>
        <w:gridCol w:w="2644"/>
        <w:gridCol w:w="1711"/>
      </w:tblGrid>
      <w:tr w14:paraId="0CBEE7A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2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0D8B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矩阵</w:t>
            </w:r>
          </w:p>
        </w:tc>
        <w:tc>
          <w:tcPr>
            <w:tcW w:w="316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9858A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公式</w:t>
            </w:r>
          </w:p>
        </w:tc>
        <w:tc>
          <w:tcPr>
            <w:tcW w:w="264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64E7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作用</w:t>
            </w:r>
          </w:p>
        </w:tc>
        <w:tc>
          <w:tcPr>
            <w:tcW w:w="171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33A7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LoRA推荐</w:t>
            </w:r>
          </w:p>
        </w:tc>
      </w:tr>
      <w:tr w14:paraId="4DD6847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6466D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175" w:name="ub7932e78"/>
            <w:r>
              <w:t>W_q (query)</w:t>
            </w:r>
          </w:p>
        </w:tc>
        <w:tc>
          <w:tcPr>
            <w:tcW w:w="316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71DBB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Q = W_q X</w:t>
            </w:r>
          </w:p>
        </w:tc>
        <w:tc>
          <w:tcPr>
            <w:tcW w:w="264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6BF22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决定"我要查什么"</w:t>
            </w:r>
          </w:p>
        </w:tc>
        <w:tc>
          <w:tcPr>
            <w:tcW w:w="171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16F8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⭐⭐⭐ 关键</w:t>
            </w:r>
          </w:p>
        </w:tc>
      </w:tr>
      <w:tr w14:paraId="45D2CDF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DEE18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W_k (key)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63F0E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K = W_k X</w:t>
            </w:r>
          </w:p>
        </w:tc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DA0BB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决定"我是什么内容"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BD73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⭐⭐</w:t>
            </w:r>
          </w:p>
        </w:tc>
      </w:tr>
      <w:tr w14:paraId="174320C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0182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W_v (value)</w:t>
            </w:r>
          </w:p>
        </w:tc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98D7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V = W_v X</w:t>
            </w:r>
          </w:p>
        </w:tc>
        <w:tc>
          <w:tcPr>
            <w:tcW w:w="264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191B1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承载实际信息内容</w:t>
            </w:r>
          </w:p>
        </w:tc>
        <w:tc>
          <w:tcPr>
            <w:tcW w:w="171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53A0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⭐⭐⭐ 关键</w:t>
            </w:r>
          </w:p>
        </w:tc>
      </w:tr>
      <w:tr w14:paraId="799C7EF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2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6D960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W_o (output)</w:t>
            </w:r>
          </w:p>
        </w:tc>
        <w:tc>
          <w:tcPr>
            <w:tcW w:w="316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16B5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O = W_o \cdot \text{Attn}</w:t>
            </w:r>
          </w:p>
        </w:tc>
        <w:tc>
          <w:tcPr>
            <w:tcW w:w="264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A4943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合并多头输出</w:t>
            </w:r>
          </w:p>
        </w:tc>
        <w:tc>
          <w:tcPr>
            <w:tcW w:w="171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DF9E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⭐⭐</w:t>
            </w:r>
          </w:p>
        </w:tc>
      </w:tr>
      <w:bookmarkEnd w:id="174"/>
      <w:bookmarkEnd w:id="175"/>
    </w:tbl>
    <w:p w14:paraId="5DA30607">
      <w:pPr>
        <w:bidi w:val="0"/>
        <w:ind w:left="0" w:leftChars="0" w:firstLine="0" w:firstLineChars="0"/>
      </w:pPr>
      <w:bookmarkStart w:id="176" w:name="u5dc91384"/>
      <w:r>
        <w:rPr>
          <w:b/>
          <w:bCs/>
        </w:rPr>
        <w:t>消融实验</w:t>
      </w:r>
      <w:r>
        <w:t>结论（Hu et al., 2021，GPT-3 175B）：</w:t>
      </w:r>
    </w:p>
    <w:bookmarkEnd w:id="176"/>
    <w:p w14:paraId="365C62BD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bookmarkStart w:id="177" w:name="ubcd7e2ac"/>
      <w:r>
        <w:t xml:space="preserve">仅在 </w:t>
      </w:r>
      <w:bookmarkStart w:id="178" w:name="K2zw6"/>
      <w:r>
        <w:t>q, v</w:t>
      </w:r>
      <w:bookmarkEnd w:id="178"/>
      <w:r>
        <w:t xml:space="preserve"> 上应用 LoRA → 达到 Full FT 效果的 ~95%</w:t>
      </w:r>
    </w:p>
    <w:bookmarkEnd w:id="177"/>
    <w:p w14:paraId="476984E0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bookmarkStart w:id="179" w:name="ubd742897"/>
      <w:r>
        <w:t xml:space="preserve">加上 </w:t>
      </w:r>
      <w:bookmarkStart w:id="180" w:name="BvekG"/>
      <w:r>
        <w:t>k, o</w:t>
      </w:r>
      <w:bookmarkEnd w:id="180"/>
      <w:r>
        <w:t xml:space="preserve"> → 再提升 2-3%</w:t>
      </w:r>
    </w:p>
    <w:bookmarkEnd w:id="179"/>
    <w:p w14:paraId="27227C05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bookmarkStart w:id="181" w:name="ubf74e1ee"/>
      <w:r>
        <w:t>加入 FFN → 提升 &lt; 1%，参数量翻倍</w:t>
      </w:r>
    </w:p>
    <w:p w14:paraId="55BA59ED">
      <w:pPr>
        <w:bidi w:val="0"/>
      </w:pPr>
      <w:r>
        <w:rPr>
          <w:rFonts w:hint="eastAsia"/>
        </w:rPr>
        <w:t>🔗 详见《Fine-tuning 技术笔记》第 5 节：LoRA 的完整理论推导、超参数选择和消融实验。</w:t>
      </w:r>
    </w:p>
    <w:bookmarkEnd w:id="181"/>
    <w:p w14:paraId="1DD397B8">
      <w:pPr>
        <w:pStyle w:val="4"/>
        <w:bidi w:val="0"/>
      </w:pPr>
      <w:bookmarkStart w:id="182" w:name="_Toc1680"/>
      <w:bookmarkStart w:id="183" w:name="ae7IM"/>
      <w:r>
        <w:t>4.4.6 LoRA 改进变体一览</w:t>
      </w:r>
      <w:bookmarkEnd w:id="182"/>
    </w:p>
    <w:bookmarkEnd w:id="183"/>
    <w:tbl>
      <w:tblPr>
        <w:tblStyle w:val="16"/>
        <w:tblW w:w="969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16"/>
        <w:gridCol w:w="817"/>
        <w:gridCol w:w="1695"/>
        <w:gridCol w:w="3116"/>
        <w:gridCol w:w="1717"/>
        <w:gridCol w:w="1131"/>
      </w:tblGrid>
      <w:tr w14:paraId="29B6AD0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CB279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bookmarkStart w:id="184" w:name="uRK5y"/>
            <w:r>
              <w:rPr>
                <w:b/>
              </w:rPr>
              <w:t>方法</w:t>
            </w:r>
          </w:p>
        </w:tc>
        <w:tc>
          <w:tcPr>
            <w:tcW w:w="81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8DB628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年份</w:t>
            </w:r>
          </w:p>
        </w:tc>
        <w:tc>
          <w:tcPr>
            <w:tcW w:w="169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7EDBA8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核心思想</w:t>
            </w:r>
          </w:p>
        </w:tc>
        <w:tc>
          <w:tcPr>
            <w:tcW w:w="311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045C83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公式变化</w:t>
            </w:r>
          </w:p>
        </w:tc>
        <w:tc>
          <w:tcPr>
            <w:tcW w:w="171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37F4A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效果vsLoRA</w:t>
            </w:r>
          </w:p>
        </w:tc>
        <w:tc>
          <w:tcPr>
            <w:tcW w:w="113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0FDEB3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参数量</w:t>
            </w:r>
          </w:p>
        </w:tc>
      </w:tr>
      <w:tr w14:paraId="66ED728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8C38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185" w:name="ufb398117"/>
            <w:r>
              <w:t>DoRA</w:t>
            </w:r>
          </w:p>
        </w:tc>
        <w:tc>
          <w:tcPr>
            <w:tcW w:w="81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80C4B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2024</w:t>
            </w:r>
          </w:p>
        </w:tc>
        <w:tc>
          <w:tcPr>
            <w:tcW w:w="169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B06B9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 xml:space="preserve">权重分解为幅度 m 和方向 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ΔV</m:t>
              </m:r>
            </m:oMath>
          </w:p>
        </w:tc>
        <w:tc>
          <w:tcPr>
            <w:tcW w:w="311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3CCC1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m:oMath>
              <m:r>
                <m:rPr/>
                <w:rPr>
                  <w:rFonts w:hint="default" w:ascii="Cambria Math" w:hAnsi="Cambria Math"/>
                  <w:sz w:val="24"/>
                </w:rPr>
                <m:t>W=m⋅</m:t>
              </m:r>
              <m:f>
                <m:fPr>
                  <m:ctrlPr>
                    <w:rPr>
                      <w:rFonts w:hint="default" w:ascii="Cambria Math" w:hAnsi="Cambria Math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4"/>
                    </w:rPr>
                    <m:t>V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|V|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den>
              </m:f>
            </m:oMath>
            <w:r>
              <w:t>，方向用 LoRA</w:t>
            </w:r>
          </w:p>
        </w:tc>
        <w:tc>
          <w:tcPr>
            <w:tcW w:w="171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CB7D8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↑ 1-3%</w:t>
            </w:r>
          </w:p>
        </w:tc>
        <w:tc>
          <w:tcPr>
            <w:tcW w:w="113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9C42CA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≈ LoRA</w:t>
            </w:r>
          </w:p>
        </w:tc>
      </w:tr>
      <w:tr w14:paraId="142C57E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566E6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LoRA+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3CBEF2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2024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9938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A,B 不同 LR（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η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B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=2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η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</m:oMath>
            <w:r>
              <w:t>）</w:t>
            </w:r>
          </w:p>
        </w:tc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012737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仅改学习率配置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6A969F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收敛快 2×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37109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= LoRA</w:t>
            </w:r>
          </w:p>
        </w:tc>
      </w:tr>
      <w:tr w14:paraId="1EACC5F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A321E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PiSSA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379928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2024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4459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SVD 主成分初始化 A,B</w:t>
            </w:r>
          </w:p>
        </w:tc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C00A0A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m:oMath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W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0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U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sSubSup>
                <m:sSub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Σ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1/2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bSup>
              <m:r>
                <m:rPr/>
                <w:rPr>
                  <w:rFonts w:hint="default" w:ascii="Cambria Math" w:hAnsi="Cambria Math"/>
                  <w:sz w:val="24"/>
                </w:rPr>
                <m:t>⋅</m:t>
              </m:r>
              <m:sSubSup>
                <m:sSub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Σ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1/2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bSup>
              <m:sSubSup>
                <m:sSub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V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bSup>
              <m:r>
                <m:rPr/>
                <w:rPr>
                  <w:rFonts w:hint="default" w:ascii="Cambria Math" w:hAnsi="Cambria Math"/>
                  <w:sz w:val="24"/>
                </w:rPr>
                <m:t>+</m:t>
              </m:r>
            </m:oMath>
            <w:r>
              <w:t>{残差}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07B41C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↑ 1-3%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50D5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= LoRA</w:t>
            </w:r>
          </w:p>
        </w:tc>
      </w:tr>
      <w:tr w14:paraId="08759E3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F0F5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AdaLoRA</w:t>
            </w:r>
          </w:p>
        </w:tc>
        <w:tc>
          <w:tcPr>
            <w:tcW w:w="8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B5756E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2023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83212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动态分配秩</w:t>
            </w:r>
          </w:p>
        </w:tc>
        <w:tc>
          <w:tcPr>
            <w:tcW w:w="31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198F3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m:oMathPara>
              <m:oMath>
                <m:r>
                  <m:rPr>
                    <m:scr m:val="script"/>
                  </m:rPr>
                  <w:rPr>
                    <w:rFonts w:hint="default" w:ascii="Cambria Math" w:hAnsi="Cambria Math" w:eastAsia="MS Mincho"/>
                    <w:sz w:val="24"/>
                  </w:rPr>
                  <m:t>ℒ</m:t>
                </m:r>
                <m:r>
                  <m:rPr/>
                  <w:rPr>
                    <w:rFonts w:hint="default" w:ascii="Cambria Math" w:hAnsi="Cambria Math"/>
                    <w:sz w:val="24"/>
                  </w:rPr>
                  <m:t>=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hint="default" w:ascii="Cambria Math" w:hAnsi="Cambria Math" w:eastAsia="MS Mincho"/>
                        <w:sz w:val="24"/>
                      </w:rPr>
                      <m:t>ℒ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FT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+λ</m:t>
                </m:r>
                <m:nary>
                  <m:naryPr>
                    <m:chr m:val="∑"/>
                    <m:limLoc m:val="subSup"/>
                    <m:subHide m:val="1"/>
                    <m:supHide m:val="1"/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naryPr>
                  <m:sub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sz w:val="24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hint="default" w:ascii="Cambria Math" w:hAnsi="Cambria Math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/>
                            <w:sz w:val="24"/>
                          </w:rPr>
                          <m:t>i,j</m:t>
                        </m:r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e>
                </m:nary>
              </m:oMath>
            </m:oMathPara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B0B1DD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↑ 1-2%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05CF9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≈ LoRA</w:t>
            </w:r>
          </w:p>
        </w:tc>
      </w:tr>
      <w:tr w14:paraId="36B0DE2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1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927418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VeRA</w:t>
            </w:r>
          </w:p>
        </w:tc>
        <w:tc>
          <w:tcPr>
            <w:tcW w:w="81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53D4E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2023</w:t>
            </w:r>
          </w:p>
        </w:tc>
        <w:tc>
          <w:tcPr>
            <w:tcW w:w="169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2CA46A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共享随机矩阵 + 缩放向量</w:t>
            </w:r>
          </w:p>
        </w:tc>
        <w:tc>
          <w:tcPr>
            <w:tcW w:w="311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93B60E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m:oMathPara>
              <m:oMath>
                <m:r>
                  <m:rPr/>
                  <w:rPr>
                    <w:rFonts w:hint="default" w:ascii="Cambria Math" w:hAnsi="Cambria Math"/>
                    <w:sz w:val="24"/>
                  </w:rPr>
                  <m:t>ΔW=b⊙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B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shared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⋅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A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shared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⊙d</m:t>
                </m:r>
              </m:oMath>
            </m:oMathPara>
          </w:p>
        </w:tc>
        <w:tc>
          <w:tcPr>
            <w:tcW w:w="171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861AA5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↓ 2-5%</w:t>
            </w:r>
          </w:p>
        </w:tc>
        <w:tc>
          <w:tcPr>
            <w:tcW w:w="113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BCACB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↓ 90%</w:t>
            </w:r>
          </w:p>
        </w:tc>
      </w:tr>
      <w:bookmarkEnd w:id="184"/>
      <w:bookmarkEnd w:id="185"/>
    </w:tbl>
    <w:p w14:paraId="5F4CA614">
      <w:pPr>
        <w:pStyle w:val="3"/>
        <w:bidi w:val="0"/>
      </w:pPr>
      <w:bookmarkStart w:id="186" w:name="_Toc10633"/>
      <w:bookmarkStart w:id="187" w:name="uCLkJ"/>
      <w:r>
        <w:t>4.5 案例分析：QLoRA（量化低秩适配微调）</w:t>
      </w:r>
      <w:bookmarkEnd w:id="186"/>
    </w:p>
    <w:bookmarkEnd w:id="187"/>
    <w:p w14:paraId="75FDEF64">
      <w:pPr>
        <w:pStyle w:val="4"/>
        <w:bidi w:val="0"/>
      </w:pPr>
      <w:bookmarkStart w:id="188" w:name="_Toc4353"/>
      <w:bookmarkStart w:id="189" w:name="Fnpno"/>
      <w:r>
        <w:t>4.5.1 动机</w:t>
      </w:r>
      <w:bookmarkEnd w:id="188"/>
    </w:p>
    <w:bookmarkEnd w:id="189"/>
    <w:p w14:paraId="78AE427F">
      <w:pPr>
        <w:bidi w:val="0"/>
      </w:pPr>
      <w:bookmarkStart w:id="190" w:name="uac350325"/>
      <w:r>
        <w:t>LoRA 虽然大幅减少了可训练参数，但基座模型本身的参数仍需以 FP16/BF16 精度加载。对于 65B 模型，仅加载参数就需要 ~130GB 显存（FP16），单卡无法承载。QLoRA 的目标是同时降低基座模型和 LoRA 参数的显存需求。</w:t>
      </w:r>
    </w:p>
    <w:bookmarkEnd w:id="190"/>
    <w:p w14:paraId="47C005E8">
      <w:pPr>
        <w:pStyle w:val="4"/>
        <w:bidi w:val="0"/>
      </w:pPr>
      <w:bookmarkStart w:id="191" w:name="_Toc15009"/>
      <w:bookmarkStart w:id="192" w:name="P4MNV"/>
      <w:r>
        <w:t>4.5.2 详细分析</w:t>
      </w:r>
      <w:bookmarkEnd w:id="191"/>
    </w:p>
    <w:tbl>
      <w:tblPr>
        <w:tblStyle w:val="16"/>
        <w:tblW w:w="92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63"/>
        <w:gridCol w:w="8080"/>
      </w:tblGrid>
      <w:tr w14:paraId="64DF47B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D3BF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维度</w:t>
            </w:r>
          </w:p>
        </w:tc>
        <w:tc>
          <w:tcPr>
            <w:tcW w:w="808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C46A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说明</w:t>
            </w:r>
          </w:p>
        </w:tc>
      </w:tr>
      <w:tr w14:paraId="5F4D7B7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71904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193" w:name="u4788b1e9"/>
            <w:r>
              <w:t>解决什么问题</w:t>
            </w:r>
          </w:p>
        </w:tc>
        <w:tc>
          <w:tcPr>
            <w:tcW w:w="808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E73D6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将微调 65B 模型所需的显存从 ~1TB（Full FT）降至 ~33GB（单卡 RTX 3090 24GB 可运行），降幅约 30 倍</w:t>
            </w:r>
          </w:p>
        </w:tc>
      </w:tr>
      <w:tr w14:paraId="4C72398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36E5F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输入数据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FC16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与 LoRA 相同格式的微调数据。LoRA 适配器以 BF16 精度训练（不量化，避免精度损失）</w:t>
            </w:r>
          </w:p>
        </w:tc>
      </w:tr>
      <w:tr w14:paraId="4AFEEEE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1B92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输出结果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A163E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NF4 量化基座模型 + BF16 LoRA 适配器</w:t>
            </w:r>
          </w:p>
        </w:tc>
      </w:tr>
      <w:tr w14:paraId="3765888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DFE2C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数学原理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2F97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 xml:space="preserve">NF4 量化：对正态分布权重做信息论最优的非线性量化。设 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Φ</m:t>
              </m:r>
            </m:oMath>
            <w:r>
              <w:t xml:space="preserve"> 为标准正态 CDF，量化值为 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q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=</m:t>
              </m:r>
              <m:sSup>
                <m:s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Φ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−1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  <m:d>
                <m:dPr>
                  <m:ctrlPr>
                    <w:rPr>
                      <w:rFonts w:hint="default" w:ascii="Cambria Math" w:hAnsi="Cambria Math"/>
                      <w:sz w:val="24"/>
                    </w:rPr>
                  </m:ctrlPr>
                </m:dPr>
                <m:e>
                  <m:f>
                    <m:f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16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den>
                  </m:f>
                  <m:r>
                    <m:rPr/>
                    <w:rPr>
                      <w:rFonts w:hint="default" w:ascii="Cambria Math" w:hAnsi="Cambria Math"/>
                      <w:sz w:val="24"/>
                    </w:rPr>
                    <m:t>+</m:t>
                  </m:r>
                  <m:f>
                    <m:f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32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d>
              <m:r>
                <m:rPr/>
                <w:rPr>
                  <w:rFonts w:hint="default" w:ascii="Cambria Math" w:hAnsi="Cambria Math"/>
                  <w:sz w:val="24"/>
                </w:rPr>
                <m:t>，i=0..15</m:t>
              </m:r>
            </m:oMath>
            <w:r>
              <w:t>。双重量化：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DoubleQuant(W)=NF4(W;INT8(c;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FP32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))</m:t>
              </m:r>
            </m:oMath>
            <w:r>
              <w:t>——对量化常数 c 再做 INT8 量化</w:t>
            </w:r>
          </w:p>
        </w:tc>
      </w:tr>
      <w:tr w14:paraId="61A6A40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62EC9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优化目标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163B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与 LoRA 相同——交叉熵损失，仅优化 A, B。前向传播变为：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h=dequant(</m:t>
              </m:r>
              <m:sSubSup>
                <m:sSub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W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0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NF4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bSup>
              <m:r>
                <m:rPr/>
                <w:rPr>
                  <w:rFonts w:hint="default" w:ascii="Cambria Math" w:hAnsi="Cambria Math"/>
                  <w:sz w:val="24"/>
                </w:rPr>
                <m:t>)x+</m:t>
              </m:r>
              <m:f>
                <m:fPr>
                  <m:ctrlPr>
                    <w:rPr>
                      <w:rFonts w:hint="default" w:ascii="Cambria Math" w:hAnsi="Cambria Math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4"/>
                    </w:rPr>
                    <m:t>α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4"/>
                </w:rPr>
                <m:t>(BA</m:t>
              </m:r>
              <m:sSup>
                <m:s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)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BF16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4"/>
                </w:rPr>
                <m:t>x</m:t>
              </m:r>
            </m:oMath>
          </w:p>
        </w:tc>
      </w:tr>
      <w:tr w14:paraId="4407720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61C8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基本流程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04616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用 NF4（4-bit NormalFloat）加载基座模型（~0.5 bytes/参数）；② 启用双重量化（对量化常数再做 8-bit 量化）；③ 启用分页优化器（GPU 显存不足时换出到 CPU）；④ 在 BF16 精度下训练 LoRA 适配器；⑤ 前向传播时反量化 NF4 权重到 BF16 参与计算</w:t>
            </w:r>
          </w:p>
        </w:tc>
      </w:tr>
      <w:tr w14:paraId="4AF846B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BB17E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优点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F338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极低显存（65B: ~33GB）；② 效果接近 LoRA（原始论文差距 &lt; 1%）；③ 个人开发者可在消费级硬件上微调百亿参数模型；④ 三大核心技术（NF4 + 双重量化 + 分页优化器）各有独立价值</w:t>
            </w:r>
          </w:p>
        </w:tc>
      </w:tr>
      <w:tr w14:paraId="56FC83C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5D5C3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局限性</w:t>
            </w:r>
          </w:p>
        </w:tc>
        <w:tc>
          <w:tcPr>
            <w:tcW w:w="80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78E33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训练速度比 LoRA 慢 20-30%（反量化开销）；② 长序列训练效率不如 LoRA；③ 再做 GPTQ 等后训练量化会导致误差累积</w:t>
            </w:r>
          </w:p>
        </w:tc>
      </w:tr>
      <w:tr w14:paraId="471111F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6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2BC6B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Post-training 位置</w:t>
            </w:r>
          </w:p>
        </w:tc>
        <w:tc>
          <w:tcPr>
            <w:tcW w:w="808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AA983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参数高效微调的极致版本——将 LoRA 的显存优势推到极限，适合资源极度受限的 Fine-tuning 场景</w:t>
            </w:r>
          </w:p>
        </w:tc>
      </w:tr>
      <w:bookmarkEnd w:id="192"/>
      <w:bookmarkEnd w:id="193"/>
    </w:tbl>
    <w:p w14:paraId="1BCC2ACF">
      <w:pPr>
        <w:pStyle w:val="4"/>
        <w:bidi w:val="0"/>
      </w:pPr>
      <w:bookmarkStart w:id="194" w:name="_Toc27161"/>
      <w:bookmarkStart w:id="195" w:name="mjNXp"/>
      <w:r>
        <w:t>4.5.3 显存对比（完整表格）</w:t>
      </w:r>
      <w:bookmarkEnd w:id="194"/>
    </w:p>
    <w:tbl>
      <w:tblPr>
        <w:tblStyle w:val="16"/>
        <w:tblW w:w="9712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6"/>
        <w:gridCol w:w="1219"/>
        <w:gridCol w:w="1219"/>
        <w:gridCol w:w="1219"/>
        <w:gridCol w:w="1219"/>
        <w:gridCol w:w="1252"/>
        <w:gridCol w:w="1878"/>
      </w:tblGrid>
      <w:tr w14:paraId="6B0DBC9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45C0A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方法</w:t>
            </w:r>
          </w:p>
        </w:tc>
        <w:tc>
          <w:tcPr>
            <w:tcW w:w="121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D1945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7B</w:t>
            </w:r>
          </w:p>
        </w:tc>
        <w:tc>
          <w:tcPr>
            <w:tcW w:w="121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E693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13B</w:t>
            </w:r>
          </w:p>
        </w:tc>
        <w:tc>
          <w:tcPr>
            <w:tcW w:w="121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8EAEA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33B</w:t>
            </w:r>
          </w:p>
        </w:tc>
        <w:tc>
          <w:tcPr>
            <w:tcW w:w="121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A9B6A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65B</w:t>
            </w:r>
          </w:p>
        </w:tc>
        <w:tc>
          <w:tcPr>
            <w:tcW w:w="125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229C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70B</w:t>
            </w:r>
          </w:p>
        </w:tc>
        <w:tc>
          <w:tcPr>
            <w:tcW w:w="187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A6D1E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可运行硬件</w:t>
            </w:r>
          </w:p>
        </w:tc>
      </w:tr>
      <w:tr w14:paraId="20E7A14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C54F9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196" w:name="ua60d790f"/>
            <w:r>
              <w:t>Full FT (FP32)</w:t>
            </w:r>
          </w:p>
        </w:tc>
        <w:tc>
          <w:tcPr>
            <w:tcW w:w="121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A053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~112 GB</w:t>
            </w:r>
          </w:p>
        </w:tc>
        <w:tc>
          <w:tcPr>
            <w:tcW w:w="121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EAD21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lang w:val="en-US" w:eastAsia="en-US"/>
              </w:rPr>
            </w:pPr>
            <w:r>
              <w:t>~208 GB</w:t>
            </w:r>
          </w:p>
        </w:tc>
        <w:tc>
          <w:tcPr>
            <w:tcW w:w="121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22317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lang w:val="en-US" w:eastAsia="en-US"/>
              </w:rPr>
            </w:pPr>
            <w:r>
              <w:t>~528 GB</w:t>
            </w:r>
          </w:p>
        </w:tc>
        <w:tc>
          <w:tcPr>
            <w:tcW w:w="121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AD9C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lang w:val="en-US" w:eastAsia="en-US"/>
              </w:rPr>
            </w:pPr>
            <w:r>
              <w:t>~1 TB</w:t>
            </w:r>
          </w:p>
        </w:tc>
        <w:tc>
          <w:tcPr>
            <w:tcW w:w="125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3ECD0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lang w:val="en-US" w:eastAsia="en-US"/>
              </w:rPr>
            </w:pPr>
            <w:r>
              <w:t>~1.04 TB</w:t>
            </w:r>
          </w:p>
        </w:tc>
        <w:tc>
          <w:tcPr>
            <w:tcW w:w="187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D59C7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lang w:val="en-US" w:eastAsia="en-US"/>
              </w:rPr>
            </w:pPr>
            <w:r>
              <w:t>4-8×A100 80GB</w:t>
            </w:r>
          </w:p>
        </w:tc>
      </w:tr>
      <w:tr w14:paraId="40E5384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93E12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LoRA (FP16)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6781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~16 GB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E170C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lang w:val="en-US" w:eastAsia="en-US"/>
              </w:rPr>
            </w:pPr>
            <w:r>
              <w:t>~30 GB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C97CD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lang w:val="en-US" w:eastAsia="en-US"/>
              </w:rPr>
            </w:pPr>
            <w:r>
              <w:t>~74 GB</w:t>
            </w:r>
          </w:p>
        </w:tc>
        <w:tc>
          <w:tcPr>
            <w:tcW w:w="121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2C78B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lang w:val="en-US" w:eastAsia="en-US"/>
              </w:rPr>
            </w:pPr>
            <w:r>
              <w:t>~140 GB</w:t>
            </w: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D1DB3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lang w:val="en-US" w:eastAsia="en-US"/>
              </w:rPr>
            </w:pPr>
            <w:r>
              <w:t>~148 GB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27F97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lang w:val="en-US" w:eastAsia="en-US"/>
              </w:rPr>
            </w:pPr>
            <w:r>
              <w:t>1×A100 40GB</w:t>
            </w:r>
          </w:p>
        </w:tc>
      </w:tr>
      <w:tr w14:paraId="6EFA2DC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0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50FE0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QLoRA (NF4)</w:t>
            </w:r>
          </w:p>
        </w:tc>
        <w:tc>
          <w:tcPr>
            <w:tcW w:w="121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96AE5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~6 GB</w:t>
            </w:r>
          </w:p>
        </w:tc>
        <w:tc>
          <w:tcPr>
            <w:tcW w:w="121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C3570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lang w:val="en-US" w:eastAsia="en-US"/>
              </w:rPr>
            </w:pPr>
            <w:r>
              <w:t>~10 GB</w:t>
            </w:r>
          </w:p>
        </w:tc>
        <w:tc>
          <w:tcPr>
            <w:tcW w:w="121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27A8F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lang w:val="en-US" w:eastAsia="en-US"/>
              </w:rPr>
            </w:pPr>
            <w:r>
              <w:t>~20 GB</w:t>
            </w:r>
          </w:p>
        </w:tc>
        <w:tc>
          <w:tcPr>
            <w:tcW w:w="121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20EE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lang w:val="en-US" w:eastAsia="en-US"/>
              </w:rPr>
            </w:pPr>
            <w:r>
              <w:t>~33 GB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57628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lang w:val="en-US" w:eastAsia="en-US"/>
              </w:rPr>
            </w:pPr>
            <w:r>
              <w:t>~38 GB</w:t>
            </w:r>
          </w:p>
        </w:tc>
        <w:tc>
          <w:tcPr>
            <w:tcW w:w="187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E98D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lang w:val="en-US" w:eastAsia="en-US"/>
              </w:rPr>
            </w:pPr>
            <w:r>
              <w:t>1×RTX 3090</w:t>
            </w:r>
          </w:p>
        </w:tc>
      </w:tr>
      <w:bookmarkEnd w:id="196"/>
    </w:tbl>
    <w:p w14:paraId="249B86ED">
      <w:pPr>
        <w:bidi w:val="0"/>
      </w:pPr>
      <w:r>
        <w:rPr>
          <w:rFonts w:hint="eastAsia"/>
        </w:rPr>
        <w:t>🔗 详见《Fine-tuning 技术笔记》第 5-6 节：LoRA 和 QLoRA 的完整数学推导、实验分析和代码示例。</w:t>
      </w:r>
    </w:p>
    <w:bookmarkEnd w:id="195"/>
    <w:p w14:paraId="1F8E4662">
      <w:pPr>
        <w:spacing w:beforeLines="100" w:after="50" w:line="360" w:lineRule="auto"/>
        <w:ind w:left="0" w:leftChars="0" w:firstLine="0" w:firstLineChars="0"/>
      </w:pPr>
      <w:bookmarkStart w:id="197" w:name="izbBR"/>
    </w:p>
    <w:bookmarkEnd w:id="197"/>
    <w:p w14:paraId="46FFBCB4">
      <w:pPr>
        <w:pStyle w:val="2"/>
        <w:bidi w:val="0"/>
      </w:pPr>
      <w:bookmarkStart w:id="198" w:name="_Toc12635"/>
      <w:bookmarkStart w:id="199" w:name="v7exv"/>
      <w:r>
        <w:t>5. 第二部分：Alignment（对齐）</w:t>
      </w:r>
      <w:bookmarkEnd w:id="198"/>
    </w:p>
    <w:bookmarkEnd w:id="199"/>
    <w:p w14:paraId="655957EE">
      <w:pPr>
        <w:pStyle w:val="3"/>
        <w:bidi w:val="0"/>
      </w:pPr>
      <w:bookmarkStart w:id="200" w:name="_Toc2693"/>
      <w:bookmarkStart w:id="201" w:name="cMmC6"/>
      <w:r>
        <w:t>5.1 技术概览</w:t>
      </w:r>
      <w:bookmarkEnd w:id="200"/>
    </w:p>
    <w:bookmarkEnd w:id="201"/>
    <w:p w14:paraId="185162CD">
      <w:pPr>
        <w:pStyle w:val="4"/>
        <w:bidi w:val="0"/>
      </w:pPr>
      <w:bookmarkStart w:id="202" w:name="_Toc8812"/>
      <w:bookmarkStart w:id="203" w:name="wU4I0"/>
      <w:r>
        <w:t>5.1.1 Alignment 的定义</w:t>
      </w:r>
      <w:bookmarkEnd w:id="202"/>
    </w:p>
    <w:bookmarkEnd w:id="203"/>
    <w:p w14:paraId="00CC8C9B">
      <w:pPr>
        <w:bidi w:val="0"/>
      </w:pPr>
      <w:bookmarkStart w:id="204" w:name="uac8dfe20"/>
      <w:r>
        <w:t>Alignment（对齐） 是指通过技术手段，使大语言模型的行为、价值观和输出与人类的意图、偏好和伦理规范保持一致的过程。它包含多个层次：</w:t>
      </w:r>
    </w:p>
    <w:bookmarkEnd w:id="204"/>
    <w:p w14:paraId="4F4FDC31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bookmarkStart w:id="205" w:name="u0797fda6"/>
      <w:r>
        <w:t>行为对齐（Behavioral Alignment）：模型是否按照用户的指令去做？</w:t>
      </w:r>
    </w:p>
    <w:bookmarkEnd w:id="205"/>
    <w:p w14:paraId="413C92CD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bookmarkStart w:id="206" w:name="u19b32848"/>
      <w:r>
        <w:t>意图对齐（Intent Alignment）：模型的输出是否符合用户真正的、隐含的意图？</w:t>
      </w:r>
    </w:p>
    <w:bookmarkEnd w:id="206"/>
    <w:p w14:paraId="76E2E075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bookmarkStart w:id="207" w:name="u5a70c0ef"/>
      <w:r>
        <w:t>价值对齐（Value Alignment）：模型的回答是否符合社会伦理和人类价值观？</w:t>
      </w:r>
    </w:p>
    <w:bookmarkEnd w:id="207"/>
    <w:p w14:paraId="054B1696">
      <w:pPr>
        <w:pStyle w:val="4"/>
        <w:bidi w:val="0"/>
      </w:pPr>
      <w:bookmarkStart w:id="208" w:name="_Toc8183"/>
      <w:bookmarkStart w:id="209" w:name="MYM3j"/>
      <w:r>
        <w:t>5.1.2 为什么不只做 SFT？</w:t>
      </w:r>
      <w:bookmarkEnd w:id="208"/>
    </w:p>
    <w:bookmarkEnd w:id="209"/>
    <w:p w14:paraId="519E773E">
      <w:pPr>
        <w:bidi w:val="0"/>
      </w:pPr>
      <w:bookmarkStart w:id="210" w:name="u977f1639"/>
      <w:r>
        <w:t>核心矛盾：SFT 的损失函数对"非参考答案"一视同仁。</w:t>
      </w:r>
    </w:p>
    <w:bookmarkEnd w:id="210"/>
    <w:p w14:paraId="1442C894">
      <w:pPr>
        <w:bidi w:val="0"/>
      </w:pPr>
      <w:bookmarkStart w:id="211" w:name="u320a93cf"/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ℒ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SFT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=−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4"/>
                </w:rPr>
                <m:t>E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(x,</m:t>
              </m:r>
              <m:sSup>
                <m:s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∗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4"/>
                </w:rPr>
                <m:t>)∼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SFT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[</m:t>
          </m:r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log</m:t>
              </m:r>
              <m:ctrlPr>
                <w:rPr>
                  <w:rFonts w:hint="default" w:ascii="Cambria Math" w:hAnsi="Cambria Math"/>
                  <w:sz w:val="24"/>
                </w:rPr>
              </m:ctrlPr>
            </m:fName>
            <m:e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π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SFT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</w:rPr>
            <m:t>(</m:t>
          </m:r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</w:rPr>
                <m:t>y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∗</m:t>
              </m:r>
              <m:ctrlPr>
                <w:rPr>
                  <w:rFonts w:hint="default" w:ascii="Cambria Math" w:hAnsi="Cambria Math"/>
                  <w:sz w:val="24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</w:rPr>
            <m:t>|x)]</m:t>
          </m:r>
        </m:oMath>
      </m:oMathPara>
    </w:p>
    <w:bookmarkEnd w:id="211"/>
    <w:p w14:paraId="1DF08BE6">
      <w:pPr>
        <w:bidi w:val="0"/>
      </w:pPr>
      <w:bookmarkStart w:id="212" w:name="ud32753f2"/>
      <w:r>
        <w:t>这个目标函数有一个致命弱点：它只告诉模型什么是好的回答，不告诉模型什么是不好的回答。当模型面对一个从未见过的指令时，它只能"猜"哪些是合适的，哪些是不合适的。</w:t>
      </w:r>
    </w:p>
    <w:tbl>
      <w:tblPr>
        <w:tblStyle w:val="16"/>
        <w:tblW w:w="92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37"/>
        <w:gridCol w:w="3704"/>
        <w:gridCol w:w="3902"/>
      </w:tblGrid>
      <w:tr w14:paraId="2DA829C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32991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SFT的局限</w:t>
            </w:r>
          </w:p>
        </w:tc>
        <w:tc>
          <w:tcPr>
            <w:tcW w:w="370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F44E8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具体表现</w:t>
            </w:r>
          </w:p>
        </w:tc>
        <w:tc>
          <w:tcPr>
            <w:tcW w:w="390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7225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深层原因</w:t>
            </w:r>
          </w:p>
        </w:tc>
      </w:tr>
      <w:tr w14:paraId="6C9B270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171F7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213" w:name="u4ee8533a"/>
            <w:r>
              <w:t>不懂拒绝</w:t>
            </w:r>
          </w:p>
        </w:tc>
        <w:tc>
          <w:tcPr>
            <w:tcW w:w="370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CB71A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面对"教我制作毒品"的请求，SFT 模型可能照做</w:t>
            </w:r>
          </w:p>
        </w:tc>
        <w:tc>
          <w:tcPr>
            <w:tcW w:w="390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AA0DD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SFT 数据几乎都是"指令→回答"的正例，没有拒绝范例</w:t>
            </w:r>
          </w:p>
        </w:tc>
      </w:tr>
      <w:tr w14:paraId="2ACAE0A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3F716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不懂"不知道"</w:t>
            </w: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0648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超出知识范围时编造答案</w:t>
            </w:r>
          </w:p>
        </w:tc>
        <w:tc>
          <w:tcPr>
            <w:tcW w:w="39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7668A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SFT 数据中的答案几乎都能回答，模型没学过"承认不知道"</w:t>
            </w:r>
          </w:p>
        </w:tc>
      </w:tr>
      <w:tr w14:paraId="50EFA87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52D4D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不懂偏好</w:t>
            </w:r>
          </w:p>
        </w:tc>
        <w:tc>
          <w:tcPr>
            <w:tcW w:w="370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FFE85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两个回答都正确但一个啰嗦一个简洁，SFT 无信号区分</w:t>
            </w:r>
          </w:p>
        </w:tc>
        <w:tc>
          <w:tcPr>
            <w:tcW w:w="390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A61F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SFT 只有正例，没有偏好比较信号（哪个更好）</w:t>
            </w:r>
          </w:p>
        </w:tc>
      </w:tr>
      <w:tr w14:paraId="1B67670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3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F3755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不懂分寸</w:t>
            </w:r>
          </w:p>
        </w:tc>
        <w:tc>
          <w:tcPr>
            <w:tcW w:w="370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382D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模糊指令选择了"技术上正确但意图上错误"的解释</w:t>
            </w:r>
          </w:p>
        </w:tc>
        <w:tc>
          <w:tcPr>
            <w:tcW w:w="390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9024A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SFT 缺少对"好的解释"和"不好的解释"的判断</w:t>
            </w:r>
          </w:p>
        </w:tc>
      </w:tr>
      <w:bookmarkEnd w:id="212"/>
      <w:bookmarkEnd w:id="213"/>
    </w:tbl>
    <w:p w14:paraId="0A1C40A1">
      <w:pPr>
        <w:pStyle w:val="4"/>
        <w:bidi w:val="0"/>
      </w:pPr>
      <w:bookmarkStart w:id="214" w:name="_Toc2371"/>
      <w:bookmarkStart w:id="215" w:name="qtM8X"/>
      <w:r>
        <w:t>5.1.3 Alignment 的 HHH 框架</w:t>
      </w:r>
      <w:bookmarkEnd w:id="214"/>
    </w:p>
    <w:tbl>
      <w:tblPr>
        <w:tblStyle w:val="16"/>
        <w:tblW w:w="92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87"/>
        <w:gridCol w:w="2889"/>
        <w:gridCol w:w="3767"/>
      </w:tblGrid>
      <w:tr w14:paraId="5991C9D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58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3BB2C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维度</w:t>
            </w:r>
          </w:p>
        </w:tc>
        <w:tc>
          <w:tcPr>
            <w:tcW w:w="288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4A76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含义</w:t>
            </w:r>
          </w:p>
        </w:tc>
        <w:tc>
          <w:tcPr>
            <w:tcW w:w="376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E76C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典型问题</w:t>
            </w:r>
          </w:p>
        </w:tc>
      </w:tr>
      <w:tr w14:paraId="229AEB7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C7B0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216" w:name="uaee8333d"/>
            <w:r>
              <w:t>Helpfulness（有帮助性）</w:t>
            </w:r>
          </w:p>
        </w:tc>
        <w:tc>
          <w:tcPr>
            <w:tcW w:w="288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B0CA1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回复是否高效、清晰、完整</w:t>
            </w:r>
          </w:p>
        </w:tc>
        <w:tc>
          <w:tcPr>
            <w:tcW w:w="376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C37B7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"帮我写排序算法" → 是否正确可运行？</w:t>
            </w:r>
          </w:p>
        </w:tc>
      </w:tr>
      <w:tr w14:paraId="759CFE7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97F0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Harmlessness（无害性）</w:t>
            </w:r>
          </w:p>
        </w:tc>
        <w:tc>
          <w:tcPr>
            <w:tcW w:w="288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620E9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回复是否避免有害、危险内容</w:t>
            </w:r>
          </w:p>
        </w:tc>
        <w:tc>
          <w:tcPr>
            <w:tcW w:w="37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0AB18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"如何制作炸弹" → 应拒绝回答</w:t>
            </w:r>
          </w:p>
        </w:tc>
      </w:tr>
      <w:tr w14:paraId="2D3A379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58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72F9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Honesty（诚实性）</w:t>
            </w:r>
          </w:p>
        </w:tc>
        <w:tc>
          <w:tcPr>
            <w:tcW w:w="288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40B71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是否如实反映认知边界</w:t>
            </w:r>
          </w:p>
        </w:tc>
        <w:tc>
          <w:tcPr>
            <w:tcW w:w="376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F16E0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"2028 奥运会在哪" → 不应编造</w:t>
            </w:r>
          </w:p>
        </w:tc>
      </w:tr>
      <w:bookmarkEnd w:id="216"/>
    </w:tbl>
    <w:p w14:paraId="1D32871B">
      <w:pPr>
        <w:bidi w:val="0"/>
      </w:pPr>
      <w:r>
        <w:rPr>
          <w:rFonts w:hint="eastAsia"/>
        </w:rPr>
        <w:t>🔗 详见《Alignment 技术笔记》第 1 节：Alignment 的完整定义和 HHH 框架分析。</w:t>
      </w:r>
    </w:p>
    <w:bookmarkEnd w:id="215"/>
    <w:p w14:paraId="1B76E94D">
      <w:pPr>
        <w:pStyle w:val="4"/>
        <w:bidi w:val="0"/>
      </w:pPr>
      <w:bookmarkStart w:id="217" w:name="_Toc21125"/>
      <w:bookmarkStart w:id="218" w:name="FzDbe"/>
      <w:r>
        <w:t>5.1.4 方法全景图</w:t>
      </w:r>
      <w:bookmarkEnd w:id="217"/>
    </w:p>
    <w:bookmarkEnd w:id="218"/>
    <w:p w14:paraId="7D7AA85D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219" w:name="U4s6R"/>
      <w:r>
        <w:rPr>
          <w:rFonts w:ascii="宋体" w:hAnsi="Courier New" w:eastAsia="宋体"/>
          <w:color w:val="000000"/>
          <w:sz w:val="20"/>
        </w:rPr>
        <w:t>预训练基座模型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▼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SFT（指令微调）——数据：指令-回复对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▼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                   Alignment 方法        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                                                          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┌─────────┐  ┌─────────┐  ┌─────────┐  ┌─────────────────┐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│  RLHF   │  │  DPO    │  │  GRPO   │  │  RLAIF / CAI    │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│  (PPO)  │  │ (直接)  │  │ (推理)  │  │  (AI反馈)       │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├─────────┤  ├─────────┤  ├─────────┤  ├─────────────────┤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│4个模型  │  │2个模型  │  │3个模型  │  │ 2-4个模型       │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│在线RL   │  │离线监督 │  │在线RL   │  │ 离线/在线       │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│需RM     │  │无RM     │  │无RM     │  │ AI当RM          │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│需人类   │  │需偏好对 │  │自动验证 │  │ 不需人类        │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└─────────┘  └─────────┘  └─────────┘  └─────────────────┘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219"/>
    <w:p w14:paraId="3DDFD6F3">
      <w:pPr>
        <w:pStyle w:val="4"/>
        <w:bidi w:val="0"/>
      </w:pPr>
      <w:bookmarkStart w:id="220" w:name="_Toc9854"/>
      <w:bookmarkStart w:id="221" w:name="gLyRl"/>
      <w:r>
        <w:t>5.1.5 方法速查表</w:t>
      </w:r>
      <w:bookmarkEnd w:id="220"/>
    </w:p>
    <w:bookmarkEnd w:id="221"/>
    <w:tbl>
      <w:tblPr>
        <w:tblStyle w:val="16"/>
        <w:tblW w:w="9915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09"/>
        <w:gridCol w:w="860"/>
        <w:gridCol w:w="1972"/>
        <w:gridCol w:w="1249"/>
        <w:gridCol w:w="1299"/>
        <w:gridCol w:w="1058"/>
        <w:gridCol w:w="1868"/>
      </w:tblGrid>
      <w:tr w14:paraId="77F3776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160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27BC1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bookmarkStart w:id="222" w:name="ZtEou"/>
            <w:r>
              <w:rPr>
                <w:b/>
              </w:rPr>
              <w:t>方法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EB90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提出时间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1AD7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核心思想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E4F23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需RM？</w:t>
            </w:r>
          </w:p>
        </w:tc>
        <w:tc>
          <w:tcPr>
            <w:tcW w:w="129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0A004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需人类？</w:t>
            </w:r>
          </w:p>
        </w:tc>
        <w:tc>
          <w:tcPr>
            <w:tcW w:w="105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E5A34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在线？</w:t>
            </w:r>
          </w:p>
        </w:tc>
        <w:tc>
          <w:tcPr>
            <w:tcW w:w="186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527B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适用维度</w:t>
            </w:r>
          </w:p>
        </w:tc>
      </w:tr>
      <w:tr w14:paraId="60B44BB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9E2F6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223" w:name="ude72cc73"/>
            <w:r>
              <w:t>RLHF (PPO)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F269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2022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602F9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RM 打分 + PPO 优化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8108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✅</w:t>
            </w:r>
          </w:p>
        </w:tc>
        <w:tc>
          <w:tcPr>
            <w:tcW w:w="129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BE19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✅</w:t>
            </w:r>
          </w:p>
        </w:tc>
        <w:tc>
          <w:tcPr>
            <w:tcW w:w="105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62A9D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✅</w:t>
            </w:r>
          </w:p>
        </w:tc>
        <w:tc>
          <w:tcPr>
            <w:tcW w:w="186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E3399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Helpfulness + Harmlessness</w:t>
            </w:r>
          </w:p>
        </w:tc>
      </w:tr>
      <w:tr w14:paraId="3A6F923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BF34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DPO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94DF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81938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偏好对分类损失，消去 RM 和 RL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EB933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❌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4572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✅(数据)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A5735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❌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AECD5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Helpfulness + Harmlessness</w:t>
            </w:r>
          </w:p>
        </w:tc>
      </w:tr>
      <w:tr w14:paraId="19D93DC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2C728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GRPO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91988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60F11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组内比较 + 可验证奖励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F5468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❌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9CD88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❌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012C6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✅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2E9DC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Reasoning</w:t>
            </w:r>
          </w:p>
        </w:tc>
      </w:tr>
      <w:tr w14:paraId="3858102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98B7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RLAIF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1F349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8929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AI 替代人类标注偏好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6CDCF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❌(AI标注)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46620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❌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06E3A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❌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E945A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通用（成本优先）</w:t>
            </w:r>
          </w:p>
        </w:tc>
      </w:tr>
      <w:tr w14:paraId="340A2E6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5F79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Constitutional AI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C3CB9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FFD3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宪法原则引导自我修正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3F78F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✅(AI训练)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71D88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❌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41D17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两阶段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3CC3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Harmlessness</w:t>
            </w:r>
          </w:p>
        </w:tc>
      </w:tr>
      <w:tr w14:paraId="27A0437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CD22C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ORPO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FE911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59795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SFT + 偏好联合训练，单阶段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FD4F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❌</w:t>
            </w: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B022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✅(数据)</w:t>
            </w:r>
          </w:p>
        </w:tc>
        <w:tc>
          <w:tcPr>
            <w:tcW w:w="105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42737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❌</w:t>
            </w:r>
          </w:p>
        </w:tc>
        <w:tc>
          <w:tcPr>
            <w:tcW w:w="186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969D7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通用（简化优先）</w:t>
            </w:r>
          </w:p>
        </w:tc>
      </w:tr>
      <w:tr w14:paraId="3B61175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0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52CC4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SimPO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195C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2024</w:t>
            </w:r>
          </w:p>
        </w:tc>
        <w:tc>
          <w:tcPr>
            <w:tcW w:w="197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694A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平均对数概率 + 长度归一化 + margin</w:t>
            </w:r>
          </w:p>
        </w:tc>
        <w:tc>
          <w:tcPr>
            <w:tcW w:w="124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AA02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❌</w:t>
            </w:r>
          </w:p>
        </w:tc>
        <w:tc>
          <w:tcPr>
            <w:tcW w:w="129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8E2C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✅(数据)</w:t>
            </w:r>
          </w:p>
        </w:tc>
        <w:tc>
          <w:tcPr>
            <w:tcW w:w="105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E76E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❌</w:t>
            </w:r>
          </w:p>
        </w:tc>
        <w:tc>
          <w:tcPr>
            <w:tcW w:w="186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9192F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通用（长度偏差修正）</w:t>
            </w:r>
          </w:p>
        </w:tc>
      </w:tr>
      <w:bookmarkEnd w:id="222"/>
      <w:bookmarkEnd w:id="223"/>
    </w:tbl>
    <w:p w14:paraId="15E5F8BB">
      <w:pPr>
        <w:pStyle w:val="3"/>
        <w:bidi w:val="0"/>
      </w:pPr>
      <w:bookmarkStart w:id="224" w:name="_Toc7626"/>
      <w:bookmarkStart w:id="225" w:name="ScL5c"/>
      <w:r>
        <w:t>5.2 案例分析：InstructGPT / RLHF</w:t>
      </w:r>
      <w:bookmarkEnd w:id="224"/>
    </w:p>
    <w:bookmarkEnd w:id="225"/>
    <w:p w14:paraId="70BEDE67">
      <w:pPr>
        <w:pStyle w:val="4"/>
        <w:bidi w:val="0"/>
      </w:pPr>
      <w:bookmarkStart w:id="226" w:name="_Toc5873"/>
      <w:bookmarkStart w:id="227" w:name="fuJiy"/>
      <w:r>
        <w:t>5.2.1 背景</w:t>
      </w:r>
      <w:bookmarkEnd w:id="226"/>
    </w:p>
    <w:bookmarkEnd w:id="227"/>
    <w:p w14:paraId="03E49D35">
      <w:pPr>
        <w:bidi w:val="0"/>
      </w:pPr>
      <w:bookmarkStart w:id="228" w:name="u915846cb"/>
      <w:r>
        <w:t>InstructGPT（Ouyang et al., 2022）是 OpenAI 在 GPT-3 基础上应用 RLHF 的标志性工作，是 ChatGPT 的方法论基础。它是第一个系统性地展示了"预训练 → SFT → RM → PPO"四阶段管线有效性工作。</w:t>
      </w:r>
    </w:p>
    <w:bookmarkEnd w:id="228"/>
    <w:p w14:paraId="084E0095">
      <w:pPr>
        <w:pStyle w:val="4"/>
        <w:bidi w:val="0"/>
      </w:pPr>
      <w:bookmarkStart w:id="229" w:name="_Toc9285"/>
      <w:bookmarkStart w:id="230" w:name="ofhwZ"/>
      <w:r>
        <w:t>5.2.2 详细分析</w:t>
      </w:r>
      <w:bookmarkEnd w:id="229"/>
    </w:p>
    <w:tbl>
      <w:tblPr>
        <w:tblStyle w:val="16"/>
        <w:tblW w:w="92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29"/>
        <w:gridCol w:w="8014"/>
      </w:tblGrid>
      <w:tr w14:paraId="345E908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448DB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维度</w:t>
            </w:r>
          </w:p>
        </w:tc>
        <w:tc>
          <w:tcPr>
            <w:tcW w:w="8014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EFA71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说明</w:t>
            </w:r>
          </w:p>
        </w:tc>
      </w:tr>
      <w:tr w14:paraId="2E917F8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9BCF1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231" w:name="u3980424b"/>
            <w:r>
              <w:t>解决什么问题</w:t>
            </w:r>
          </w:p>
        </w:tc>
        <w:tc>
          <w:tcPr>
            <w:tcW w:w="8014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DD35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让 GPT-3 更好地遵循人类指令，减少有害和无用的输出，在 Helpfulness、Honesty、Harmlessness 三维度上对齐人类偏好</w:t>
            </w:r>
          </w:p>
        </w:tc>
      </w:tr>
      <w:tr w14:paraId="241853F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FD729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输入数据</w:t>
            </w:r>
          </w:p>
        </w:tc>
        <w:tc>
          <w:tcPr>
            <w:tcW w:w="80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10172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SFT 阶段：13K 条人工标注的指令-回答对；RM 训练阶段：对同一 prompt 的 K 个回复（K=49），人工标注偏好排序；PPO 阶段：新的 prompt 集合（无需标注，模型生成 + RM 打分）</w:t>
            </w:r>
          </w:p>
        </w:tc>
      </w:tr>
      <w:tr w14:paraId="6020864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BEAFD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输出结果</w:t>
            </w:r>
          </w:p>
        </w:tc>
        <w:tc>
          <w:tcPr>
            <w:tcW w:w="80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1D417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对齐后的 InstructGPT 模型。关键发现：1.3B 参数的 InstructGPT 在人类评估中胜出 175B 的 GPT-3——"对齐比规模更重要"</w:t>
            </w:r>
          </w:p>
        </w:tc>
      </w:tr>
      <w:tr w14:paraId="2E7D4EC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B3003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数学原理</w:t>
            </w:r>
          </w:p>
        </w:tc>
        <w:tc>
          <w:tcPr>
            <w:tcW w:w="80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020A5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详见下方三阶段数学推导</w:t>
            </w:r>
          </w:p>
        </w:tc>
      </w:tr>
      <w:tr w14:paraId="6673E9F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A75F2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基本流程</w:t>
            </w:r>
          </w:p>
        </w:tc>
        <w:tc>
          <w:tcPr>
            <w:tcW w:w="80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B0AD4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三阶段流水线：① SFT 微调；② 基于 Bradley-Terry 模型的 RM 训练；③ PPO 强化学习优化</w:t>
            </w:r>
          </w:p>
        </w:tc>
      </w:tr>
      <w:tr w14:paraId="5E0C099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48328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优点</w:t>
            </w:r>
          </w:p>
        </w:tc>
        <w:tc>
          <w:tcPr>
            <w:tcW w:w="80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4A62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第一个系统展示 RLHF 有效性，成为后续所有对齐方法的基石；② 在线探索——PPO 在训练中不断生成新回复并得到实时反馈；③ 理论上灵活——可针对任意可量化的奖励进行优化；④ 效果显著优于纯 SFT</w:t>
            </w:r>
          </w:p>
        </w:tc>
      </w:tr>
      <w:tr w14:paraId="5EC1D4C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D7AC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局限性</w:t>
            </w:r>
          </w:p>
        </w:tc>
        <w:tc>
          <w:tcPr>
            <w:tcW w:w="8014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B910B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训练极其复杂（4 个模型，4× 显存）；② 超参数敏感（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β,clipϵ,KLpenalty</m:t>
              </m:r>
            </m:oMath>
            <w:r>
              <w:t>）；③ Reward Hacking：模型可能"钻空子"拿高分而非真正变好；④ 分布偏移：PPO 优化后 RM 在"陌生领域"打分不准确；⑤ 人类偏好标注成本高（0.1$1/条）</w:t>
            </w:r>
          </w:p>
        </w:tc>
      </w:tr>
      <w:tr w14:paraId="7E19709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11F90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Post-training 位置</w:t>
            </w:r>
          </w:p>
        </w:tc>
        <w:tc>
          <w:tcPr>
            <w:tcW w:w="801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DDFF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Alignment 的核心范式——涵盖 SFT + 偏好学习 + RL 优化，是所有后续对齐方法比较的基线</w:t>
            </w:r>
          </w:p>
        </w:tc>
      </w:tr>
      <w:bookmarkEnd w:id="230"/>
      <w:bookmarkEnd w:id="231"/>
    </w:tbl>
    <w:p w14:paraId="2576BB17">
      <w:pPr>
        <w:pStyle w:val="4"/>
        <w:bidi w:val="0"/>
      </w:pPr>
      <w:bookmarkStart w:id="232" w:name="_Toc4123"/>
      <w:bookmarkStart w:id="233" w:name="UKurB"/>
      <w:r>
        <w:t>5.2.3 三阶段数学推导</w:t>
      </w:r>
      <w:bookmarkEnd w:id="232"/>
    </w:p>
    <w:bookmarkEnd w:id="233"/>
    <w:p w14:paraId="5C7C6D79">
      <w:pPr>
        <w:bidi w:val="0"/>
        <w:ind w:left="0" w:leftChars="0" w:firstLine="0" w:firstLineChars="0"/>
        <w:rPr>
          <w:b/>
          <w:bCs/>
        </w:rPr>
      </w:pPr>
      <w:bookmarkStart w:id="234" w:name="ud0c17190"/>
      <w:r>
        <w:rPr>
          <w:b/>
          <w:bCs/>
        </w:rPr>
        <w:t>阶段 1：SFT（Supervised Fine-Tuning）</w:t>
      </w:r>
    </w:p>
    <w:bookmarkEnd w:id="234"/>
    <w:p w14:paraId="15C57E03">
      <w:pPr>
        <w:bidi w:val="0"/>
      </w:pPr>
      <w:bookmarkStart w:id="235" w:name="ubf718a06"/>
      <w:r>
        <w:t xml:space="preserve">目标：在人工标注的指令-回复对 </w:t>
      </w:r>
      <w:bookmarkStart w:id="236" w:name="dN0IJ"/>
      <w:r>
        <w:t>(x, y^*)</w:t>
      </w:r>
      <w:bookmarkEnd w:id="236"/>
      <w:r>
        <w:t xml:space="preserve"> 上做监督学习</w:t>
      </w:r>
    </w:p>
    <w:bookmarkEnd w:id="235"/>
    <w:p w14:paraId="53DA74A3">
      <w:pPr>
        <w:bidi w:val="0"/>
      </w:pPr>
      <w:bookmarkStart w:id="237" w:name="uca900362"/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ℒ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SFT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=−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4"/>
                </w:rPr>
                <m:t>E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(x,</m:t>
              </m:r>
              <m:sSup>
                <m:s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∗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4"/>
                </w:rPr>
                <m:t>)∼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SFT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[</m:t>
          </m:r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log</m:t>
              </m:r>
              <m:ctrlPr>
                <w:rPr>
                  <w:rFonts w:hint="default" w:ascii="Cambria Math" w:hAnsi="Cambria Math"/>
                  <w:sz w:val="24"/>
                </w:rPr>
              </m:ctrlPr>
            </m:fName>
            <m:e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π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SFT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</w:rPr>
            <m:t>(</m:t>
          </m:r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</w:rPr>
                <m:t>y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∗</m:t>
              </m:r>
              <m:ctrlPr>
                <w:rPr>
                  <w:rFonts w:hint="default" w:ascii="Cambria Math" w:hAnsi="Cambria Math"/>
                  <w:sz w:val="24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</w:rPr>
            <m:t>|x)]</m:t>
          </m:r>
        </m:oMath>
      </m:oMathPara>
    </w:p>
    <w:bookmarkEnd w:id="237"/>
    <w:p w14:paraId="0BAC4CF9">
      <w:pPr>
        <w:bidi w:val="0"/>
      </w:pPr>
      <w:bookmarkStart w:id="238" w:name="u511776dd"/>
      <w:r>
        <w:t>为什么需要这一步？ 基座模型的输出空间太大（什么都能生成），RL 无法在这个巨大的空间里有效搜索。SFT 先将搜索空间缩小到"合理的回答"区域，为 RM 和 PPO 提供良好的起点。</w:t>
      </w:r>
    </w:p>
    <w:bookmarkEnd w:id="238"/>
    <w:p w14:paraId="341E90F6">
      <w:pPr>
        <w:spacing w:beforeLines="100" w:after="50" w:line="360" w:lineRule="auto"/>
        <w:ind w:left="0"/>
      </w:pPr>
      <w:bookmarkStart w:id="239" w:name="FSiIC"/>
    </w:p>
    <w:bookmarkEnd w:id="239"/>
    <w:p w14:paraId="29DF332D">
      <w:pPr>
        <w:bidi w:val="0"/>
        <w:ind w:left="0" w:leftChars="0" w:firstLine="0" w:firstLineChars="0"/>
        <w:rPr>
          <w:b/>
          <w:bCs/>
        </w:rPr>
      </w:pPr>
      <w:bookmarkStart w:id="240" w:name="ud9f8b300"/>
      <w:r>
        <w:rPr>
          <w:b/>
          <w:bCs/>
        </w:rPr>
        <w:t>阶段 2：Reward Model 训练</w:t>
      </w:r>
    </w:p>
    <w:bookmarkEnd w:id="240"/>
    <w:p w14:paraId="23A85F27">
      <w:pPr>
        <w:bidi w:val="0"/>
      </w:pPr>
      <w:bookmarkStart w:id="241" w:name="u5f8fde3b"/>
      <w:r>
        <w:t xml:space="preserve">目标：训练一个可以给任意回复打分的"裁判模型" </w:t>
      </w:r>
      <w:bookmarkStart w:id="242" w:name="mH080"/>
      <w:r>
        <w:t>r_\phi(x, y)</w:t>
      </w:r>
      <w:bookmarkEnd w:id="242"/>
      <w:r>
        <w:t>。</w:t>
      </w:r>
    </w:p>
    <w:bookmarkEnd w:id="241"/>
    <w:p w14:paraId="2B1637BA">
      <w:pPr>
        <w:bidi w:val="0"/>
      </w:pPr>
      <w:bookmarkStart w:id="243" w:name="ua85edef2"/>
      <w:r>
        <w:t>Bradley-Terry 偏好模型——假设人类偏好来自奖励分数的比较：</w:t>
      </w:r>
    </w:p>
    <w:bookmarkEnd w:id="243"/>
    <w:p w14:paraId="06B9117D">
      <w:pPr>
        <w:bidi w:val="0"/>
      </w:pPr>
      <w:bookmarkStart w:id="244" w:name="u6366249b"/>
      <m:oMathPara>
        <m:oMath>
          <m:r>
            <m:rPr/>
            <w:rPr>
              <w:rFonts w:hint="default" w:ascii="Cambria Math" w:hAnsi="Cambria Math"/>
              <w:sz w:val="24"/>
            </w:rPr>
            <m:t>P(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y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w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≻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y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l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|x)=</m:t>
          </m:r>
          <m:f>
            <m:fPr>
              <m:ctrlPr>
                <w:rPr>
                  <w:rFonts w:hint="default" w:ascii="Cambria Math" w:hAnsi="Cambria Math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exp(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ϕ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(x,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w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))</m:t>
              </m:r>
              <m:ctrlPr>
                <w:rPr>
                  <w:rFonts w:hint="default"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exp(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ϕ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(x,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w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))+exp(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ϕ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(x,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l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))</m:t>
              </m:r>
              <m:ctrlPr>
                <w:rPr>
                  <w:rFonts w:hint="default" w:ascii="Cambria Math" w:hAnsi="Cambria Math"/>
                  <w:sz w:val="24"/>
                </w:rPr>
              </m:ctrlPr>
            </m:den>
          </m:f>
          <m:r>
            <m:rPr/>
            <w:rPr>
              <w:rFonts w:hint="default" w:ascii="Cambria Math" w:hAnsi="Cambria Math"/>
              <w:sz w:val="24"/>
            </w:rPr>
            <m:t>=σ(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r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ϕ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(x,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y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w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)−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r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ϕ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(x,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y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l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))</m:t>
          </m:r>
        </m:oMath>
      </m:oMathPara>
    </w:p>
    <w:bookmarkEnd w:id="244"/>
    <w:p w14:paraId="5210EF3A">
      <w:pPr>
        <w:bidi w:val="0"/>
      </w:pPr>
      <w:bookmarkStart w:id="245" w:name="u9ec39ab4"/>
      <w:r>
        <w:t xml:space="preserve">其中 </w:t>
      </w:r>
      <m:oMath>
        <m:r>
          <m:rPr/>
          <w:rPr>
            <w:rFonts w:hint="default" w:ascii="Cambria Math" w:hAnsi="Cambria Math"/>
            <w:sz w:val="24"/>
          </w:rPr>
          <m:t>σ(⋅)</m:t>
        </m:r>
      </m:oMath>
      <w:r>
        <w:t xml:space="preserve"> 是 sigmoid 函数。直觉：奖励分数差距越大，winner 胜出的概率越接近 1。</w:t>
      </w:r>
    </w:p>
    <w:bookmarkEnd w:id="245"/>
    <w:p w14:paraId="78F44E6C">
      <w:pPr>
        <w:bidi w:val="0"/>
      </w:pPr>
      <w:bookmarkStart w:id="246" w:name="u436c2d46"/>
      <w:r>
        <w:t>RM 的训练损失（负对数似然）：</w:t>
      </w:r>
    </w:p>
    <w:bookmarkEnd w:id="246"/>
    <w:p w14:paraId="25D9A8C3">
      <w:pPr>
        <w:bidi w:val="0"/>
      </w:pPr>
      <w:bookmarkStart w:id="247" w:name="ufa37a0ab"/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ℒ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RM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(ϕ)=−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4"/>
                </w:rPr>
                <m:t>E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(x,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w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l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)∼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pref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hint="default" w:ascii="Cambria Math" w:hAnsi="Cambria Math"/>
                  <w:sz w:val="24"/>
                </w:rPr>
              </m:ctrlPr>
            </m:dPr>
            <m:e>
              <m:func>
                <m:funcPr>
                  <m:ctrlPr>
                    <w:rPr>
                      <w:rFonts w:hint="default" w:ascii="Cambria Math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</w:rPr>
                    <m:t>log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σ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ϕ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(x,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w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)−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ϕ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(x,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l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))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</m:d>
        </m:oMath>
      </m:oMathPara>
    </w:p>
    <w:bookmarkEnd w:id="247"/>
    <w:p w14:paraId="4F7AD464">
      <w:pPr>
        <w:bidi w:val="0"/>
        <w:ind w:left="0" w:leftChars="0" w:firstLine="0" w:firstLineChars="0"/>
        <w:rPr>
          <w:b/>
          <w:bCs/>
        </w:rPr>
      </w:pPr>
      <w:bookmarkStart w:id="248" w:name="ufe923e69"/>
      <w:r>
        <w:rPr>
          <w:b/>
          <w:bCs/>
        </w:rPr>
        <w:t>理解这个损失函数：</w:t>
      </w:r>
    </w:p>
    <w:bookmarkEnd w:id="248"/>
    <w:p w14:paraId="1A4D599C">
      <w:pPr>
        <w:bidi w:val="0"/>
      </w:pPr>
      <w:bookmarkStart w:id="249" w:name="u4ff3a8e2"/>
      <w:r>
        <w:t xml:space="preserve">如果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ϕ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(x,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y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w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)−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ϕ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(x,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y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l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)</m:t>
        </m:r>
      </m:oMath>
      <w:r>
        <w:t>很大（正确判断），</w:t>
      </w:r>
      <m:oMath>
        <m:r>
          <m:rPr/>
          <w:rPr>
            <w:rFonts w:hint="default" w:ascii="Cambria Math" w:hAnsi="Cambria Math"/>
            <w:sz w:val="24"/>
          </w:rPr>
          <m:t>σ(⋅)→1，−</m:t>
        </m:r>
        <m:func>
          <m:funcPr>
            <m:ctrlPr>
              <w:rPr>
                <w:rFonts w:hint="default"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log</m:t>
            </m:r>
            <m:ctrlPr>
              <w:rPr>
                <w:rFonts w:ascii="Cambria Math" w:hAnsi="Cambria Math"/>
                <w:sz w:val="24"/>
              </w:rPr>
            </m:ctrlPr>
          </m:fName>
          <m:e>
            <m:r>
              <m:rPr/>
              <w:rPr>
                <w:rFonts w:hint="default" w:ascii="Cambria Math" w:hAnsi="Cambria Math"/>
                <w:sz w:val="24"/>
              </w:rPr>
              <m:t>(</m:t>
            </m:r>
            <m:ctrlPr>
              <w:rPr>
                <w:rFonts w:ascii="Cambria Math" w:hAnsi="Cambria Math"/>
                <w:sz w:val="24"/>
              </w:rPr>
            </m:ctrlPr>
          </m:e>
        </m:func>
        <m:r>
          <m:rPr/>
          <w:rPr>
            <w:rFonts w:hint="default" w:ascii="Cambria Math" w:hAnsi="Cambria Math"/>
            <w:sz w:val="24"/>
          </w:rPr>
          <m:t>1)=0</m:t>
        </m:r>
      </m:oMath>
      <w:r>
        <w:t>，loss 小</w:t>
      </w:r>
    </w:p>
    <w:bookmarkEnd w:id="249"/>
    <w:p w14:paraId="57B8358F">
      <w:pPr>
        <w:bidi w:val="0"/>
      </w:pPr>
      <w:bookmarkStart w:id="250" w:name="u30e5d929"/>
      <w:r>
        <w:t>如果 RM 判断反了（分数差距为负），</w:t>
      </w:r>
      <m:oMath>
        <m:r>
          <m:rPr/>
          <w:rPr>
            <w:rFonts w:hint="default" w:ascii="Cambria Math" w:hAnsi="Cambria Math"/>
            <w:sz w:val="24"/>
          </w:rPr>
          <m:t>σ(⋅)→0，−</m:t>
        </m:r>
        <m:func>
          <m:funcPr>
            <m:ctrlPr>
              <w:rPr>
                <w:rFonts w:hint="default"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log</m:t>
            </m:r>
            <m:ctrlPr>
              <w:rPr>
                <w:rFonts w:ascii="Cambria Math" w:hAnsi="Cambria Math"/>
                <w:sz w:val="24"/>
              </w:rPr>
            </m:ctrlPr>
          </m:fName>
          <m:e>
            <m:r>
              <m:rPr/>
              <w:rPr>
                <w:rFonts w:hint="default" w:ascii="Cambria Math" w:hAnsi="Cambria Math"/>
                <w:sz w:val="24"/>
              </w:rPr>
              <m:t>(</m:t>
            </m:r>
            <m:ctrlPr>
              <w:rPr>
                <w:rFonts w:ascii="Cambria Math" w:hAnsi="Cambria Math"/>
                <w:sz w:val="24"/>
              </w:rPr>
            </m:ctrlPr>
          </m:e>
        </m:func>
        <m:r>
          <m:rPr/>
          <w:rPr>
            <w:rFonts w:hint="default" w:ascii="Cambria Math" w:hAnsi="Cambria Math"/>
            <w:sz w:val="24"/>
          </w:rPr>
          <m:t>0)→∞</m:t>
        </m:r>
      </m:oMath>
      <w:r>
        <w:t>，loss 超大</w:t>
      </w:r>
    </w:p>
    <w:bookmarkEnd w:id="250"/>
    <w:p w14:paraId="41DFC562">
      <w:pPr>
        <w:bidi w:val="0"/>
      </w:pPr>
      <w:bookmarkStart w:id="251" w:name="u14bd4271"/>
      <w:r>
        <w:t>这迫使 RM 总是给 winner 比 loser 高的分数</w:t>
      </w:r>
      <w:bookmarkEnd w:id="251"/>
      <w:bookmarkStart w:id="252" w:name="eXOPn"/>
    </w:p>
    <w:bookmarkEnd w:id="252"/>
    <w:p w14:paraId="79D6FFBC">
      <w:pPr>
        <w:bidi w:val="0"/>
        <w:ind w:left="0" w:leftChars="0" w:firstLine="0" w:firstLineChars="0"/>
        <w:rPr>
          <w:b/>
          <w:bCs/>
        </w:rPr>
      </w:pPr>
      <w:bookmarkStart w:id="253" w:name="u3f9f9c15"/>
      <w:r>
        <w:rPr>
          <w:b/>
          <w:bCs/>
        </w:rPr>
        <w:t>阶段 3：PPO 强化学习</w:t>
      </w:r>
    </w:p>
    <w:bookmarkEnd w:id="253"/>
    <w:p w14:paraId="75D71FA5">
      <w:pPr>
        <w:bidi w:val="0"/>
      </w:pPr>
      <w:bookmarkStart w:id="254" w:name="u4de37c0c"/>
      <w:r>
        <w:t xml:space="preserve">目标：用 RM 作为奖励信号，优化策略模型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π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θ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t>。</w:t>
      </w:r>
    </w:p>
    <w:bookmarkEnd w:id="254"/>
    <w:p w14:paraId="01B0249B">
      <w:pPr>
        <w:bidi w:val="0"/>
      </w:pPr>
      <w:bookmarkStart w:id="255" w:name="u441e4f6d"/>
      <m:oMathPara>
        <m:oMath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limLow>
                <m:limLowPr>
                  <m:ctrlPr>
                    <w:rPr>
                      <w:rFonts w:hint="default" w:ascii="Cambria Math" w:hAnsi="Cambria Math"/>
                      <w:sz w:val="24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</w:rPr>
                    <m:t>max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lim>
                  <m:r>
                    <m:rPr/>
                    <w:rPr>
                      <w:rFonts w:hint="default" w:ascii="Cambria Math" w:hAnsi="Cambria Math"/>
                      <w:sz w:val="24"/>
                    </w:rPr>
                    <m:t>θ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lim>
              </m:limLow>
              <m:ctrlPr>
                <w:rPr>
                  <w:rFonts w:hint="default" w:ascii="Cambria Math" w:hAnsi="Cambria Math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4"/>
                </w:rPr>
                <m:t xml:space="preserve"> 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</m:func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4"/>
                </w:rPr>
                <m:t>E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x∼</m:t>
              </m:r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D</m:t>
              </m:r>
              <m:r>
                <m:rPr/>
                <w:rPr>
                  <w:rFonts w:hint="default" w:ascii="Cambria Math" w:hAnsi="Cambria Math"/>
                  <w:sz w:val="24"/>
                </w:rPr>
                <m:t>,y∼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π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θ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(⋅|x)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hint="default" w:ascii="Cambria Math" w:hAnsi="Cambria Math"/>
                  <w:sz w:val="24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r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ϕ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(x,y)−β⋅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KL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d>
                <m:dPr>
                  <m:ctrlPr>
                    <w:rPr>
                      <w:rFonts w:hint="default" w:ascii="Cambria Math" w:hAnsi="Cambria Math"/>
                      <w:sz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θ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</w:rPr>
                    <m:t xml:space="preserve">(⋅|x) ‖ 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SFT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</w:rPr>
                    <m:t>(⋅|x)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d>
              <m:ctrlPr>
                <w:rPr>
                  <w:rFonts w:hint="default" w:ascii="Cambria Math" w:hAnsi="Cambria Math"/>
                  <w:sz w:val="24"/>
                </w:rPr>
              </m:ctrlPr>
            </m:e>
          </m:d>
        </m:oMath>
      </m:oMathPara>
    </w:p>
    <w:bookmarkEnd w:id="255"/>
    <w:p w14:paraId="1DB5142C">
      <w:pPr>
        <w:bidi w:val="0"/>
      </w:pPr>
      <w:bookmarkStart w:id="256" w:name="u21e51f3d"/>
      <w:r>
        <w:t>两个核心项的解释：</w:t>
      </w:r>
    </w:p>
    <w:bookmarkEnd w:id="256"/>
    <w:p w14:paraId="733A059A">
      <w:pPr>
        <w:bidi w:val="0"/>
      </w:pPr>
      <m:oMath>
        <m:sSub>
          <w:bookmarkStart w:id="257" w:name="ud77dcec2"/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r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ϕ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(x,y)</m:t>
        </m:r>
      </m:oMath>
      <w:r>
        <w:t>（最大化 RM 评分）：让回复更符合人类偏好</w:t>
      </w:r>
    </w:p>
    <w:bookmarkEnd w:id="257"/>
    <w:p w14:paraId="2E4DB572">
      <w:pPr>
        <w:bidi w:val="0"/>
      </w:pPr>
      <m:oMath>
        <w:bookmarkStart w:id="258" w:name="u80b58b79"/>
        <m:r>
          <m:rPr/>
          <w:rPr>
            <w:rFonts w:hint="default" w:ascii="Cambria Math" w:hAnsi="Cambria Math"/>
            <w:sz w:val="24"/>
          </w:rPr>
          <m:t>−β⋅KL(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π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θ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‖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π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SFT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)</m:t>
        </m:r>
      </m:oMath>
      <w:r>
        <w:t>（KL 散度约束）：不要偏离 SFT 模型太远——这是防止 Reward Hacking 的关键</w:t>
      </w:r>
    </w:p>
    <w:bookmarkEnd w:id="258"/>
    <w:p w14:paraId="59DED4C5">
      <w:pPr>
        <w:bidi w:val="0"/>
      </w:pPr>
      <w:bookmarkStart w:id="259" w:name="u9d5d4727"/>
      <m:oMath>
        <m:r>
          <m:rPr/>
          <w:rPr>
            <w:rFonts w:hint="default" w:ascii="Cambria Math" w:hAnsi="Cambria Math"/>
            <w:sz w:val="24"/>
          </w:rPr>
          <m:t>β</m:t>
        </m:r>
      </m:oMath>
      <w:r>
        <w:t>的作用：</w:t>
      </w:r>
      <m:oMath>
        <m:r>
          <m:rPr/>
          <w:rPr>
            <w:rFonts w:hint="default" w:ascii="Cambria Math" w:hAnsi="Cambria Math"/>
            <w:sz w:val="24"/>
          </w:rPr>
          <m:t>β</m:t>
        </m:r>
      </m:oMath>
      <w:r>
        <w:t xml:space="preserve"> 越大，模型越保守（更接近 SFT）；</w:t>
      </w:r>
      <m:oMath>
        <m:r>
          <m:rPr/>
          <w:rPr>
            <w:rFonts w:hint="default" w:ascii="Cambria Math" w:hAnsi="Cambria Math"/>
            <w:sz w:val="24"/>
          </w:rPr>
          <m:t>β</m:t>
        </m:r>
      </m:oMath>
      <w:r>
        <w:t xml:space="preserve"> 越小，模型越激进（更追求高分）。实践中 </w:t>
      </w:r>
      <m:oMath>
        <m:r>
          <m:rPr/>
          <w:rPr>
            <w:rFonts w:hint="default" w:ascii="Cambria Math" w:hAnsi="Cambria Math"/>
            <w:sz w:val="24"/>
          </w:rPr>
          <m:t>β</m:t>
        </m:r>
      </m:oMath>
      <w:r>
        <w:t xml:space="preserve"> 是最需要调参的超参数之一。</w:t>
      </w:r>
    </w:p>
    <w:bookmarkEnd w:id="259"/>
    <w:p w14:paraId="44BFA962">
      <w:pPr>
        <w:bidi w:val="0"/>
      </w:pPr>
      <w:bookmarkStart w:id="260" w:name="ue89fec92"/>
      <w:r>
        <w:t>PPO 的 clipped objective（防止单步更新过大）：</w:t>
      </w:r>
    </w:p>
    <w:bookmarkEnd w:id="260"/>
    <w:p w14:paraId="37D11B00">
      <w:pPr>
        <w:bidi w:val="0"/>
      </w:pPr>
      <w:bookmarkStart w:id="261" w:name="u6541d656"/>
      <m:oMathPara>
        <m:oMath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</w:rPr>
                <m:t>L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CLIP</m:t>
              </m:r>
              <m:ctrlPr>
                <w:rPr>
                  <w:rFonts w:ascii="Cambria Math" w:hAnsi="Cambria Math"/>
                  <w:sz w:val="24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</w:rPr>
            <m:t>(θ)=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4"/>
                </w:rPr>
                <m:t>E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t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hint="default" w:ascii="Cambria Math" w:hAnsi="Cambria Math"/>
                  <w:sz w:val="24"/>
                </w:rPr>
              </m:ctrlPr>
            </m:dPr>
            <m:e>
              <m:func>
                <m:funcPr>
                  <m:ctrlPr>
                    <w:rPr>
                      <w:rFonts w:hint="default" w:ascii="Cambria Math" w:hAnsi="Cambria Math"/>
                      <w:sz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</w:rPr>
                        <m:t>min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lim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/>
                      <w:sz w:val="24"/>
                    </w:rPr>
                  </m:ctrlPr>
                </m:fName>
                <m:e>
                  <m:d>
                    <m:d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π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θ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a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s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)</m:t>
                          </m: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π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e>
                            <m: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θ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old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a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t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|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s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t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)</m:t>
                          </m: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den>
                      </m:f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A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, clip</m:t>
                      </m:r>
                      <m:d>
                        <m:d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π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θ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a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s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)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π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  <m:sub>
                                  <m:sSub>
                                    <m:sSubPr>
                                      <m:ctrlPr>
                                        <w:rPr>
                                          <w:rFonts w:hint="default" w:ascii="Cambria Math" w:hAnsi="Cambria Math"/>
                                          <w:sz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sz w:val="24"/>
                                        </w:rPr>
                                        <m:t>θ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sz w:val="24"/>
                                        </w:rPr>
                                        <m:t>old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4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a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t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|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s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t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)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,1−ϵ,1+ϵ</m:t>
                          </m: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acc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A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e>
                          </m:acc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t</m:t>
                          </m: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func>
              <m:ctrlPr>
                <w:rPr>
                  <w:rFonts w:hint="default" w:ascii="Cambria Math" w:hAnsi="Cambria Math"/>
                  <w:sz w:val="24"/>
                </w:rPr>
              </m:ctrlPr>
            </m:e>
          </m:d>
        </m:oMath>
      </m:oMathPara>
    </w:p>
    <w:bookmarkEnd w:id="261"/>
    <w:p w14:paraId="0A49315F">
      <w:pPr>
        <w:bidi w:val="0"/>
      </w:pPr>
      <w:bookmarkStart w:id="262" w:name="u66891add"/>
      <w:r>
        <w:t xml:space="preserve">其中 </w:t>
      </w:r>
      <m:oMath>
        <m:r>
          <m:rPr/>
          <w:rPr>
            <w:rFonts w:hint="default" w:ascii="Cambria Math" w:hAnsi="Cambria Math"/>
            <w:sz w:val="24"/>
          </w:rPr>
          <m:t>ϵ</m:t>
        </m:r>
      </m:oMath>
      <w:r>
        <w:t xml:space="preserve"> 通常为 0.2。这个 clip 机制保证了新旧策略的概率比被限制在 </w:t>
      </w:r>
      <w:bookmarkStart w:id="263" w:name="IBcl4"/>
      <w:r>
        <w:t>[0.8, 1.2]</w:t>
      </w:r>
      <w:bookmarkEnd w:id="263"/>
      <w:r>
        <w:t xml:space="preserve"> 范围内。</w:t>
      </w:r>
    </w:p>
    <w:bookmarkEnd w:id="262"/>
    <w:p w14:paraId="593F1B3A">
      <w:pPr>
        <w:pStyle w:val="4"/>
        <w:bidi w:val="0"/>
      </w:pPr>
      <w:bookmarkStart w:id="264" w:name="_Toc22162"/>
      <w:bookmarkStart w:id="265" w:name="yqQye"/>
      <w:r>
        <w:t>5.2.4 偏好数据收集</w:t>
      </w:r>
      <w:bookmarkEnd w:id="264"/>
    </w:p>
    <w:bookmarkEnd w:id="265"/>
    <w:p w14:paraId="49076F23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266" w:name="aOf5z"/>
      <w:r>
        <w:rPr>
          <w:rFonts w:ascii="宋体" w:hAnsi="Courier New" w:eastAsia="宋体"/>
          <w:color w:val="000000"/>
          <w:sz w:val="20"/>
        </w:rPr>
        <w:t>对一个 prompt "请解释什么是黑洞"：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SFT 模型生成 4 个不同回复：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y₁: [科学准确且通俗易懂]      ← 排第 1 (best)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y₂: [科学准确但太学术化]     ← 排第 2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y₃: [基本准确但缺少细节]     ← 排第 3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y₄: [包含事实错误]           ← 排第 4 (worst)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从排序中提取偏好对：C(4,2) = 6 对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(y₁,y₂), (y₁,y₃), (y₁,y₄), (y₂,y₃), (y₂,y₄), (y₃,y₄)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266"/>
    <w:p w14:paraId="68EC677F">
      <w:pPr>
        <w:bidi w:val="0"/>
      </w:pPr>
      <w:bookmarkStart w:id="267" w:name="u8be9c1c0"/>
      <w:r>
        <w:t>K 的选择是成本-效率权衡：K 越大（通常 4-9），产生的偏好对越多（</w:t>
      </w:r>
      <w:bookmarkStart w:id="268" w:name="umFrK"/>
      <w:r>
        <w:t>O(K^2)</w:t>
      </w:r>
      <w:bookmarkEnd w:id="268"/>
      <w:r>
        <w:t>），但人类标注者的认知负担也越重。</w:t>
      </w:r>
    </w:p>
    <w:bookmarkEnd w:id="267"/>
    <w:p w14:paraId="6E9C77CB">
      <w:pPr>
        <w:pStyle w:val="4"/>
        <w:bidi w:val="0"/>
      </w:pPr>
      <w:bookmarkStart w:id="269" w:name="_Toc21750"/>
      <w:bookmarkStart w:id="270" w:name="YbKAM"/>
      <w:r>
        <w:t>5.2.5 RLHF 的四个模型</w:t>
      </w:r>
      <w:bookmarkEnd w:id="269"/>
    </w:p>
    <w:tbl>
      <w:tblPr>
        <w:tblStyle w:val="16"/>
        <w:tblW w:w="9357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49"/>
        <w:gridCol w:w="2381"/>
        <w:gridCol w:w="1116"/>
        <w:gridCol w:w="1928"/>
        <w:gridCol w:w="1483"/>
      </w:tblGrid>
      <w:tr w14:paraId="0BF753C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16A71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模型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871FD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作用</w:t>
            </w:r>
          </w:p>
        </w:tc>
        <w:tc>
          <w:tcPr>
            <w:tcW w:w="111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12694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训练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22D40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精度</w:t>
            </w:r>
          </w:p>
        </w:tc>
        <w:tc>
          <w:tcPr>
            <w:tcW w:w="148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EEE56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显存占比</w:t>
            </w:r>
          </w:p>
        </w:tc>
      </w:tr>
      <w:tr w14:paraId="2C64B9C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1EAEC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271" w:name="uee2d44a0"/>
            <w:r>
              <w:t>Actor (\pi_\theta)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09F96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生成回复的策略模型</w:t>
            </w:r>
          </w:p>
        </w:tc>
        <w:tc>
          <w:tcPr>
            <w:tcW w:w="111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A63A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✅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49F99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FP16/BF16</w:t>
            </w:r>
          </w:p>
        </w:tc>
        <w:tc>
          <w:tcPr>
            <w:tcW w:w="148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3341B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~14 GB (7B)</w:t>
            </w:r>
          </w:p>
        </w:tc>
      </w:tr>
      <w:tr w14:paraId="341C4AF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D810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Reference (\pi_{SFT})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F7122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KL 散度的参考点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8F20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❌ 冻结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E6497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FP16/BF16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96EA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~14 GB (7B)</w:t>
            </w:r>
          </w:p>
        </w:tc>
      </w:tr>
      <w:tr w14:paraId="59A8027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57DF5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Critic (V_\psi)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5FE6C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估计状态价值</w:t>
            </w:r>
          </w:p>
        </w:tc>
        <w:tc>
          <w:tcPr>
            <w:tcW w:w="111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CE2A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8CF31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FP32（需稳定）</w:t>
            </w:r>
          </w:p>
        </w:tc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FAE0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~28 GB (7B)</w:t>
            </w:r>
          </w:p>
        </w:tc>
      </w:tr>
      <w:tr w14:paraId="7C2DC97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4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93EB1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Reward Model (r_\phi)</w:t>
            </w:r>
          </w:p>
        </w:tc>
        <w:tc>
          <w:tcPr>
            <w:tcW w:w="238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4EA49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回复打分</w:t>
            </w:r>
          </w:p>
        </w:tc>
        <w:tc>
          <w:tcPr>
            <w:tcW w:w="111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587DB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❌ 冻结</w:t>
            </w:r>
          </w:p>
        </w:tc>
        <w:tc>
          <w:tcPr>
            <w:tcW w:w="192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2AA62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FP16/BF16</w:t>
            </w:r>
          </w:p>
        </w:tc>
        <w:tc>
          <w:tcPr>
            <w:tcW w:w="148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37226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~14 GB (7B)</w:t>
            </w:r>
          </w:p>
        </w:tc>
      </w:tr>
      <w:bookmarkEnd w:id="271"/>
    </w:tbl>
    <w:p w14:paraId="520C8468">
      <w:pPr>
        <w:bidi w:val="0"/>
        <w:rPr>
          <w:rFonts w:hint="eastAsia"/>
        </w:rPr>
      </w:pPr>
      <w:r>
        <w:rPr>
          <w:rFonts w:hint="eastAsia"/>
        </w:rPr>
        <w:t>⚠️ 总显存：~56 GB（仅参数）+ 激活值和优化器状态 ≈ 4-8 张 A100（7B 模型）</w:t>
      </w:r>
    </w:p>
    <w:p w14:paraId="78FD038C">
      <w:pPr>
        <w:bidi w:val="0"/>
      </w:pPr>
      <w:r>
        <w:rPr>
          <w:rFonts w:hint="eastAsia"/>
        </w:rPr>
        <w:t>🔗 详见《Alignment 技术笔记》第 3 节：RLHF 的三阶段完整推导、RM 训练细节、PPO 机制详解。</w:t>
      </w:r>
      <w:bookmarkEnd w:id="270"/>
      <w:bookmarkStart w:id="272" w:name="rqkg8"/>
    </w:p>
    <w:bookmarkEnd w:id="272"/>
    <w:p w14:paraId="7FDFD780">
      <w:pPr>
        <w:pStyle w:val="3"/>
        <w:bidi w:val="0"/>
      </w:pPr>
      <w:bookmarkStart w:id="273" w:name="_Toc21859"/>
      <w:bookmarkStart w:id="274" w:name="d30bM"/>
      <w:r>
        <w:t>5.3 案例分析：DPO（直接偏好优化）</w:t>
      </w:r>
      <w:bookmarkEnd w:id="273"/>
    </w:p>
    <w:bookmarkEnd w:id="274"/>
    <w:p w14:paraId="7A4EE490">
      <w:pPr>
        <w:pStyle w:val="4"/>
        <w:bidi w:val="0"/>
      </w:pPr>
      <w:bookmarkStart w:id="275" w:name="_Toc20095"/>
      <w:bookmarkStart w:id="276" w:name="lvlIo"/>
      <w:r>
        <w:t>5.3.1 核心洞察</w:t>
      </w:r>
      <w:bookmarkEnd w:id="275"/>
    </w:p>
    <w:p w14:paraId="188DDAA4">
      <w:pPr>
        <w:bidi w:val="0"/>
        <w:rPr>
          <w:rFonts w:hint="eastAsia"/>
        </w:rPr>
      </w:pPr>
      <w:r>
        <w:rPr>
          <w:rFonts w:hint="eastAsia"/>
        </w:rPr>
        <w:t>DPO（Rafailov et al., 2023）解决了 RLHF 的最大痛点——太复杂了。其核心数学发现是：</w:t>
      </w:r>
    </w:p>
    <w:p w14:paraId="7D172403">
      <w:pPr>
        <w:bidi w:val="0"/>
        <w:rPr>
          <w:rFonts w:hint="eastAsia"/>
        </w:rPr>
      </w:pPr>
      <w:r>
        <w:rPr>
          <w:rFonts w:hint="eastAsia"/>
        </w:rPr>
        <w:t>RLHF 中 KL 约束下的最优策略可以直接用一个分类损失来表示，不需要显式训练 RM，也不需要做 RL。</w:t>
      </w:r>
    </w:p>
    <w:p w14:paraId="67775BD0">
      <w:pPr>
        <w:bidi w:val="0"/>
      </w:pPr>
      <w:r>
        <w:rPr>
          <w:rFonts w:hint="eastAsia"/>
        </w:rPr>
        <w:t>关键在于配分函数 Z(x) 的抵消——这个在指数级大的输出空间中不可计算的量，在 Bradley-Terry 模型的减法中精确抵消了。</w:t>
      </w:r>
    </w:p>
    <w:bookmarkEnd w:id="276"/>
    <w:p w14:paraId="466E9707">
      <w:pPr>
        <w:pStyle w:val="4"/>
        <w:bidi w:val="0"/>
      </w:pPr>
      <w:bookmarkStart w:id="277" w:name="_Toc27761"/>
      <w:bookmarkStart w:id="278" w:name="NmLBj"/>
      <w:r>
        <w:t>5.3.2 详细分析</w:t>
      </w:r>
      <w:bookmarkEnd w:id="277"/>
    </w:p>
    <w:tbl>
      <w:tblPr>
        <w:tblStyle w:val="16"/>
        <w:tblW w:w="92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31"/>
        <w:gridCol w:w="8112"/>
      </w:tblGrid>
      <w:tr w14:paraId="0FD946A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82A54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维度</w:t>
            </w:r>
          </w:p>
        </w:tc>
        <w:tc>
          <w:tcPr>
            <w:tcW w:w="811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28C36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说明</w:t>
            </w:r>
          </w:p>
        </w:tc>
      </w:tr>
      <w:tr w14:paraId="1C650CD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23675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279" w:name="uc0af2af6"/>
            <w:r>
              <w:t>解决什么问题</w:t>
            </w:r>
          </w:p>
        </w:tc>
        <w:tc>
          <w:tcPr>
            <w:tcW w:w="811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CBFEC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RLHF 训练复杂（4 个模型，PPO 不稳定，超参数多）。DPO 消去 RM 和 RL，直接在偏好数据上用分类损失优化，大幅降低 Alignment 的实施门槛</w:t>
            </w:r>
          </w:p>
        </w:tc>
      </w:tr>
      <w:tr w14:paraId="3AB8C84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ACD99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输入数据</w:t>
            </w:r>
          </w:p>
        </w:tc>
        <w:tc>
          <w:tcPr>
            <w:tcW w:w="81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19B6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偏好对数据 (prompt, chosen, rejected)，与 RLHF 的 RM 训练阶段完全相同。推荐数据集：HH-RLHF (169K 对)、UltraFeedback (64K prompts)</w:t>
            </w:r>
          </w:p>
        </w:tc>
      </w:tr>
      <w:tr w14:paraId="7783D60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D62E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输出结果</w:t>
            </w:r>
          </w:p>
        </w:tc>
        <w:tc>
          <w:tcPr>
            <w:tcW w:w="81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2E207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DPO 对齐后的模型。效果在多数 benchmark 上达到甚至超过 RLHF，但训练流程大幅简化</w:t>
            </w:r>
          </w:p>
        </w:tc>
      </w:tr>
      <w:tr w14:paraId="3C0F473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AF09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数学原理</w:t>
            </w:r>
          </w:p>
        </w:tc>
        <w:tc>
          <w:tcPr>
            <w:tcW w:w="81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8251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 xml:space="preserve">核心推导（三步）：① RLHF 最优策略有解析解 </w:t>
            </w:r>
            <m:oMath>
              <m:sSup>
                <m:s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π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∗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  <m:r>
                <m:rPr/>
                <w:rPr>
                  <w:rFonts w:hint="default" w:ascii="Cambria Math" w:hAnsi="Cambria Math"/>
                  <w:sz w:val="24"/>
                </w:rPr>
                <m:t>(y|x)=</m:t>
              </m:r>
              <m:f>
                <m:fPr>
                  <m:ctrlPr>
                    <w:rPr>
                      <w:rFonts w:hint="default" w:ascii="Cambria Math" w:hAnsi="Cambria Math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Z(x)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den>
              </m:f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π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ref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(y|x)exp(</m:t>
              </m:r>
              <m:f>
                <m:fPr>
                  <m:ctrlPr>
                    <w:rPr>
                      <w:rFonts w:hint="default" w:ascii="Cambria Math" w:hAnsi="Cambria Math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β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4"/>
                </w:rPr>
                <m:t>r(x,y))</m:t>
              </m:r>
            </m:oMath>
            <w:r>
              <w:t xml:space="preserve">；② 反解出 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r(x,y)=β</m:t>
              </m:r>
              <m:func>
                <m:funcPr>
                  <m:ctrlPr>
                    <w:rPr>
                      <w:rFonts w:hint="default" w:ascii="Cambria Math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</w:rPr>
                    <m:t>log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fName>
                <m:e>
                  <m:f>
                    <m:f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π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∗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(y|x)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π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ref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(y|x)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4"/>
                </w:rPr>
                <m:t>+β</m:t>
              </m:r>
              <m:func>
                <m:funcPr>
                  <m:ctrlPr>
                    <w:rPr>
                      <w:rFonts w:hint="default" w:ascii="Cambria Math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</w:rPr>
                    <m:t>log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Z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4"/>
                </w:rPr>
                <m:t>(x)</m:t>
              </m:r>
            </m:oMath>
            <w:r>
              <w:t>；③ 代入 Bradley-Terry 模型后 Z(x) 抵消，得到 DPO 损失</w:t>
            </w:r>
          </w:p>
        </w:tc>
      </w:tr>
      <w:tr w14:paraId="1F20852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48264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优化目标</w:t>
            </w:r>
          </w:p>
        </w:tc>
        <w:tc>
          <w:tcPr>
            <w:tcW w:w="81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FBA36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m:oMath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24"/>
                    </w:rPr>
                    <m:t>ℒ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DPO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=−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hint="default" w:ascii="Cambria Math" w:hAnsi="Cambria Math" w:eastAsia="MS Mincho"/>
                      <w:sz w:val="24"/>
                    </w:rPr>
                    <m:t>E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(x,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</w:rPr>
                    <m:t>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</m:sSub>
              <m:d>
                <m:dPr>
                  <m:begChr m:val="["/>
                  <m:endChr m:val="]"/>
                  <m:ctrlPr>
                    <w:rPr>
                      <w:rFonts w:hint="default" w:ascii="Cambria Math" w:hAnsi="Cambria Math"/>
                      <w:sz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σ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</m:func>
                  <m:d>
                    <m:d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d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β</m:t>
                      </m:r>
                      <m:func>
                        <m:func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</w:rPr>
                            <m:t>log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Name>
                        <m:e>
                          <m:f>
                            <m:fP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π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θ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w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|x)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π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ref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w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|x)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e>
                      </m:func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−β</m:t>
                      </m:r>
                      <m:func>
                        <m:func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</w:rPr>
                            <m:t>log</m:t>
                          </m: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fName>
                        <m:e>
                          <m:f>
                            <m:fP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π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θ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|x)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π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ref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y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4"/>
                                    </w:rPr>
                                    <m:t>l</m:t>
                                  </m:r>
                                  <m:ctrlPr>
                                    <w:rPr>
                                      <w:rFonts w:ascii="Cambria Math" w:hAnsi="Cambria Math"/>
                                      <w:sz w:val="24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|x)</m:t>
                              </m: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den>
                          </m:f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e>
                      </m:func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d>
            </m:oMath>
            <w:r>
              <w:t xml:space="preserve">。直观：提高 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π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θ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</m:oMath>
            <w:r>
              <w:t xml:space="preserve"> 对 chosen 的相对概率，降低对 rejected 的相对概率</w:t>
            </w:r>
          </w:p>
        </w:tc>
      </w:tr>
      <w:tr w14:paraId="66B60FB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AB059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基本流程</w:t>
            </w:r>
          </w:p>
        </w:tc>
        <w:tc>
          <w:tcPr>
            <w:tcW w:w="81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346B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加载参考模型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π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ref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</m:oMath>
            <w:r>
              <w:t xml:space="preserve">（冻结的 SFT 模型）；② 加载待优化的策略 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π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θ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</m:oMath>
            <w:r>
              <w:t xml:space="preserve">（从 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π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ref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</m:oMath>
            <w:r>
              <w:t xml:space="preserve">初始化）；③ 对每个 batch 的偏好对计算 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24"/>
                    </w:rPr>
                    <m:t>ℒ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DPO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</m:oMath>
            <w:r>
              <w:t xml:space="preserve"> 并反向传播更新 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π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θ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</m:oMath>
            <w:r>
              <w:t>；④ 重复直到收敛</w:t>
            </w:r>
          </w:p>
        </w:tc>
      </w:tr>
      <w:tr w14:paraId="3CB6503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427F8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优点</w:t>
            </w:r>
          </w:p>
        </w:tc>
        <w:tc>
          <w:tcPr>
            <w:tcW w:w="81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B979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简单稳定（约 100 行核心代码）；② 显存友好（2 个模型 vs RLHF 的 4 个）；③ 可在消费级硬件上用 QLoRA 实现；④ 效果竞争力强；⑤ 无 RM 训练成本</w:t>
            </w:r>
          </w:p>
        </w:tc>
      </w:tr>
      <w:tr w14:paraId="06E28D1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CBEDD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局限性</w:t>
            </w:r>
          </w:p>
        </w:tc>
        <w:tc>
          <w:tcPr>
            <w:tcW w:w="811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1297A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 xml:space="preserve">① 离线训练——不能像 PPO 那样在训练中探索新回复，效果受限于数据覆盖范围；② 依赖 Bradley-Terry 假设（存在不可传递性时不成立）；③ 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β</m:t>
              </m:r>
            </m:oMath>
            <w:r>
              <w:t xml:space="preserve"> 敏感——太小过拟合，太大效果甚微；④ 偏好数据分布偏差</w:t>
            </w:r>
          </w:p>
        </w:tc>
      </w:tr>
      <w:tr w14:paraId="26E7F31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3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A6CA5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Post-training 位置</w:t>
            </w:r>
          </w:p>
        </w:tc>
        <w:tc>
          <w:tcPr>
            <w:tcW w:w="811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8BEDA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Alignment 的简化范式——开创了"直接偏好优化"方向，是目前开源社区最广泛使用的对齐方法</w:t>
            </w:r>
          </w:p>
        </w:tc>
      </w:tr>
      <w:bookmarkEnd w:id="278"/>
      <w:bookmarkEnd w:id="279"/>
    </w:tbl>
    <w:p w14:paraId="69C31120">
      <w:pPr>
        <w:pStyle w:val="4"/>
        <w:bidi w:val="0"/>
      </w:pPr>
      <w:bookmarkStart w:id="280" w:name="_Toc19833"/>
      <w:bookmarkStart w:id="281" w:name="Nqi41"/>
      <w:r>
        <w:t>5.3.3 核心推导：从 RLHF 到 DPO</w:t>
      </w:r>
      <w:bookmarkEnd w:id="280"/>
    </w:p>
    <w:bookmarkEnd w:id="281"/>
    <w:p w14:paraId="234699CB">
      <w:pPr>
        <w:bidi w:val="0"/>
        <w:ind w:left="0" w:leftChars="0" w:firstLine="0" w:firstLineChars="0"/>
      </w:pPr>
      <w:bookmarkStart w:id="282" w:name="u87126438"/>
      <w:r>
        <w:t>第 1 步：RLHF 中 KL 约束下的最优策略有解析解：</w:t>
      </w:r>
    </w:p>
    <w:bookmarkEnd w:id="282"/>
    <w:p w14:paraId="2668683A">
      <w:pPr>
        <w:bidi w:val="0"/>
      </w:pPr>
      <m:oMathPara>
        <m:oMath>
          <m:sSup>
            <w:bookmarkStart w:id="283" w:name="u91b709fa"/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</w:rPr>
                <m:t>π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∗</m:t>
              </m:r>
              <m:ctrlPr>
                <w:rPr>
                  <w:rFonts w:ascii="Cambria Math" w:hAnsi="Cambria Math"/>
                  <w:sz w:val="24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</w:rPr>
            <m:t>(y|x)=</m:t>
          </m:r>
          <m:f>
            <m:fPr>
              <m:ctrlPr>
                <w:rPr>
                  <w:rFonts w:hint="default" w:ascii="Cambria Math" w:hAnsi="Cambria Math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Z(x)</m:t>
              </m:r>
              <m:ctrlPr>
                <w:rPr>
                  <w:rFonts w:ascii="Cambria Math" w:hAnsi="Cambria Math"/>
                  <w:sz w:val="24"/>
                </w:rPr>
              </m:ctrlPr>
            </m:den>
          </m:f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π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ref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(y|x)exp</m:t>
          </m:r>
          <m:d>
            <m:dPr>
              <m:ctrlPr>
                <w:rPr>
                  <w:rFonts w:hint="default" w:ascii="Cambria Math" w:hAnsi="Cambria Math"/>
                  <w:sz w:val="24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β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den>
              </m:f>
              <m:r>
                <m:rPr/>
                <w:rPr>
                  <w:rFonts w:hint="default" w:ascii="Cambria Math" w:hAnsi="Cambria Math"/>
                  <w:sz w:val="24"/>
                </w:rPr>
                <m:t>r(x,y)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</m:d>
        </m:oMath>
      </m:oMathPara>
    </w:p>
    <w:bookmarkEnd w:id="283"/>
    <w:p w14:paraId="106BAB4D">
      <w:pPr>
        <w:bidi w:val="0"/>
      </w:pPr>
      <w:bookmarkStart w:id="284" w:name="uac9202ce"/>
      <w:r>
        <w:t xml:space="preserve">其中 </w:t>
      </w:r>
      <m:oMath>
        <m:r>
          <m:rPr/>
          <w:rPr>
            <w:rFonts w:hint="default" w:ascii="Cambria Math" w:hAnsi="Cambria Math"/>
            <w:sz w:val="24"/>
          </w:rPr>
          <m:t>Z(x)=</m:t>
        </m:r>
        <m:nary>
          <m:naryPr>
            <m:chr m:val="∑"/>
            <m:limLoc m:val="subSup"/>
            <m:supHide m:val="1"/>
            <m:ctrlPr>
              <w:rPr>
                <w:rFonts w:hint="default" w:ascii="Cambria Math" w:hAnsi="Cambria Math"/>
                <w:sz w:val="24"/>
              </w:rPr>
            </m:ctrlPr>
          </m:naryPr>
          <m:sub>
            <m:r>
              <m:rPr/>
              <w:rPr>
                <w:rFonts w:hint="default" w:ascii="Cambria Math" w:hAnsi="Cambria Math"/>
                <w:sz w:val="24"/>
              </w:rPr>
              <m:t>y</m:t>
            </m:r>
            <m:ctrlPr>
              <w:rPr>
                <w:rFonts w:ascii="Cambria Math" w:hAnsi="Cambria Math"/>
                <w:sz w:val="24"/>
              </w:rPr>
            </m:ctrlPr>
          </m:sub>
          <m:sup>
            <m:ctrlPr>
              <w:rPr>
                <w:rFonts w:ascii="Cambria Math" w:hAnsi="Cambria Math"/>
                <w:sz w:val="24"/>
              </w:rPr>
            </m:ctrlPr>
          </m:sup>
          <m:e>
            <m:sSub>
              <m:sSubPr>
                <m:ctrlPr>
                  <w:rPr>
                    <w:rFonts w:hint="default" w:ascii="Cambria Math" w:hAnsi="Cambria Math"/>
                    <w:sz w:val="24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4"/>
                  </w:rPr>
                  <m:t>π</m:t>
                </m:r>
                <m:ctrlPr>
                  <w:rPr>
                    <w:rFonts w:ascii="Cambria Math" w:hAnsi="Cambria Math"/>
                    <w:sz w:val="24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4"/>
                  </w:rPr>
                  <m:t>ref</m:t>
                </m:r>
                <m:ctrlPr>
                  <w:rPr>
                    <w:rFonts w:ascii="Cambria Math" w:hAnsi="Cambria Math"/>
                    <w:sz w:val="24"/>
                  </w:rPr>
                </m:ctrlPr>
              </m:sub>
            </m:sSub>
            <m:ctrlPr>
              <w:rPr>
                <w:rFonts w:hint="default" w:ascii="Cambria Math" w:hAnsi="Cambria Math"/>
                <w:sz w:val="24"/>
              </w:rPr>
            </m:ctrlPr>
          </m:e>
        </m:nary>
        <m:r>
          <m:rPr/>
          <w:rPr>
            <w:rFonts w:hint="default" w:ascii="Cambria Math" w:hAnsi="Cambria Math"/>
            <w:sz w:val="24"/>
          </w:rPr>
          <m:t>(y|x)exp</m:t>
        </m:r>
        <m:d>
          <m:dPr>
            <m:ctrlPr>
              <w:rPr>
                <w:rFonts w:hint="default" w:ascii="Cambria Math" w:hAnsi="Cambria Math"/>
                <w:sz w:val="24"/>
              </w:rPr>
            </m:ctrlPr>
          </m:dPr>
          <m:e>
            <m:f>
              <m:fPr>
                <m:ctrlPr>
                  <w:rPr>
                    <w:rFonts w:hint="default" w:ascii="Cambria Math" w:hAnsi="Cambria Math"/>
                    <w:sz w:val="24"/>
                  </w:rPr>
                </m:ctrlPr>
              </m:fPr>
              <m:num>
                <m:r>
                  <m:rPr/>
                  <w:rPr>
                    <w:rFonts w:hint="default" w:ascii="Cambria Math" w:hAnsi="Cambria Math"/>
                    <w:sz w:val="24"/>
                  </w:rPr>
                  <m:t>1</m:t>
                </m:r>
                <m:ctrlPr>
                  <w:rPr>
                    <w:rFonts w:ascii="Cambria Math" w:hAnsi="Cambria Math"/>
                    <w:sz w:val="24"/>
                  </w:rPr>
                </m:ctrlPr>
              </m:num>
              <m:den>
                <m:r>
                  <m:rPr/>
                  <w:rPr>
                    <w:rFonts w:hint="default" w:ascii="Cambria Math" w:hAnsi="Cambria Math"/>
                    <w:sz w:val="24"/>
                  </w:rPr>
                  <m:t>β</m:t>
                </m:r>
                <m:ctrlPr>
                  <w:rPr>
                    <w:rFonts w:ascii="Cambria Math" w:hAnsi="Cambria Math"/>
                    <w:sz w:val="24"/>
                  </w:rPr>
                </m:ctrlPr>
              </m:den>
            </m:f>
            <m:r>
              <m:rPr/>
              <w:rPr>
                <w:rFonts w:hint="default" w:ascii="Cambria Math" w:hAnsi="Cambria Math"/>
                <w:sz w:val="24"/>
              </w:rPr>
              <m:t>r(x,y)</m:t>
            </m:r>
            <m:ctrlPr>
              <w:rPr>
                <w:rFonts w:hint="default" w:ascii="Cambria Math" w:hAnsi="Cambria Math"/>
                <w:sz w:val="24"/>
              </w:rPr>
            </m:ctrlPr>
          </m:e>
        </m:d>
      </m:oMath>
      <w:r>
        <w:t>是配分函数（使概率和为 1）。</w:t>
      </w:r>
    </w:p>
    <w:bookmarkEnd w:id="284"/>
    <w:p w14:paraId="2855DD25">
      <w:pPr>
        <w:bidi w:val="0"/>
        <w:ind w:left="0" w:leftChars="0" w:firstLine="0" w:firstLineChars="0"/>
      </w:pPr>
      <w:bookmarkStart w:id="285" w:name="u6108ad60"/>
      <w:r>
        <w:t>第 2 步：从解析解反解出奖励函数：</w:t>
      </w:r>
    </w:p>
    <w:bookmarkEnd w:id="285"/>
    <w:p w14:paraId="145FD704">
      <w:pPr>
        <w:bidi w:val="0"/>
      </w:pPr>
      <m:oMathPara>
        <m:oMath>
          <w:bookmarkStart w:id="286" w:name="u094fec3b"/>
          <m:r>
            <m:rPr/>
            <w:rPr>
              <w:rFonts w:hint="default" w:ascii="Cambria Math" w:hAnsi="Cambria Math"/>
              <w:sz w:val="24"/>
            </w:rPr>
            <m:t>r(x,y)=β</m:t>
          </m:r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log</m:t>
              </m:r>
              <m:ctrlPr>
                <w:rPr>
                  <w:rFonts w:ascii="Cambria Math" w:hAnsi="Cambria Math"/>
                  <w:sz w:val="24"/>
                </w:rPr>
              </m:ctrlPr>
            </m:fName>
            <m:e>
              <m:f>
                <m:fPr>
                  <m:ctrlPr>
                    <w:rPr>
                      <w:rFonts w:hint="default" w:ascii="Cambria Math" w:hAnsi="Cambria Math"/>
                      <w:sz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∗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4"/>
                    </w:rPr>
                    <m:t>(y|x)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π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ref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</w:rPr>
                    <m:t>(y|x)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den>
              </m:f>
              <m:ctrlPr>
                <w:rPr>
                  <w:rFonts w:hint="default" w:ascii="Cambria Math" w:hAnsi="Cambria Math"/>
                  <w:sz w:val="24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</w:rPr>
            <m:t>+β</m:t>
          </m:r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log</m:t>
              </m:r>
              <m:ctrlPr>
                <w:rPr>
                  <w:rFonts w:hint="default" w:ascii="Cambria Math" w:hAnsi="Cambria Math"/>
                  <w:sz w:val="24"/>
                </w:rPr>
              </m:ctrlPr>
            </m:fName>
            <m:e>
              <m:r>
                <m:rPr/>
                <w:rPr>
                  <w:rFonts w:hint="default" w:ascii="Cambria Math" w:hAnsi="Cambria Math"/>
                  <w:sz w:val="24"/>
                </w:rPr>
                <m:t>Z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</w:rPr>
            <m:t>(x)</m:t>
          </m:r>
        </m:oMath>
      </m:oMathPara>
    </w:p>
    <w:bookmarkEnd w:id="286"/>
    <w:p w14:paraId="1439F338">
      <w:pPr>
        <w:bidi w:val="0"/>
        <w:ind w:left="0" w:leftChars="0" w:firstLine="0" w:firstLineChars="0"/>
      </w:pPr>
      <w:bookmarkStart w:id="287" w:name="u55f736b6"/>
      <w:r>
        <w:t>第 3 步：代入 Bradley-Terry 偏好模型：</w:t>
      </w:r>
    </w:p>
    <w:bookmarkEnd w:id="287"/>
    <w:p w14:paraId="54204CE4">
      <w:pPr>
        <w:bidi w:val="0"/>
      </w:pPr>
      <m:oMathPara>
        <m:oMath>
          <w:bookmarkStart w:id="288" w:name="u03675ec9"/>
          <m:r>
            <m:rPr/>
            <w:rPr>
              <w:rFonts w:hint="default" w:ascii="Cambria Math" w:hAnsi="Cambria Math"/>
              <w:sz w:val="24"/>
            </w:rPr>
            <m:t>P(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y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w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≻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y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l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|x)=σ</m:t>
          </m:r>
          <m:d>
            <m:dPr>
              <m:ctrlPr>
                <w:rPr>
                  <w:rFonts w:hint="default" w:ascii="Cambria Math" w:hAnsi="Cambria Math"/>
                  <w:sz w:val="24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4"/>
                </w:rPr>
                <m:t>r(x,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w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)−r(x,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l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</m:d>
          <m:r>
            <m:rPr/>
            <w:rPr>
              <w:rFonts w:hint="default" w:ascii="Cambria Math" w:hAnsi="Cambria Math"/>
              <w:sz w:val="24"/>
            </w:rPr>
            <m:t>=σ</m:t>
          </m:r>
          <m:d>
            <m:dPr>
              <m:ctrlPr>
                <w:rPr>
                  <w:rFonts w:hint="default" w:ascii="Cambria Math" w:hAnsi="Cambria Math"/>
                  <w:sz w:val="24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4"/>
                </w:rPr>
                <m:t>β</m:t>
              </m:r>
              <m:func>
                <m:funcPr>
                  <m:ctrlPr>
                    <w:rPr>
                      <w:rFonts w:hint="default" w:ascii="Cambria Math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</w:rPr>
                    <m:t>log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fName>
                <m:e>
                  <m:f>
                    <m:f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π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∗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|x)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π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ref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|x)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4"/>
                </w:rPr>
                <m:t>−β</m:t>
              </m:r>
              <m:func>
                <m:funcPr>
                  <m:ctrlPr>
                    <w:rPr>
                      <w:rFonts w:hint="default" w:ascii="Cambria Math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</w:rPr>
                    <m:t>log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fName>
                <m:e>
                  <m:f>
                    <m:f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π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∗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|x)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π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ref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|x)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den>
                  </m:f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func>
              <m:r>
                <m:rPr/>
                <w:rPr>
                  <w:rFonts w:hint="default" w:ascii="Cambria Math" w:hAnsi="Cambria Math"/>
                  <w:sz w:val="24"/>
                </w:rPr>
                <m:t>+</m:t>
              </m:r>
              <m:borderBox>
                <m:borderBoxPr>
                  <m:hideBot m:val="1"/>
                  <m:hideLeft m:val="1"/>
                  <m:hideRight m:val="1"/>
                  <m:hideTop m:val="1"/>
                  <m:strikeBLTR m:val="1"/>
                  <m:ctrlPr>
                    <w:rPr>
                      <w:rFonts w:hint="default" w:ascii="Cambria Math" w:hAnsi="Cambria Math"/>
                      <w:sz w:val="24"/>
                    </w:rPr>
                  </m:ctrlPr>
                </m:borderBox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β</m:t>
                  </m:r>
                  <m:func>
                    <m:func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</w:rPr>
                        <m:t>log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Z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e>
                  </m:func>
                  <m:r>
                    <m:rPr/>
                    <w:rPr>
                      <w:rFonts w:hint="default" w:ascii="Cambria Math" w:hAnsi="Cambria Math"/>
                      <w:sz w:val="24"/>
                    </w:rPr>
                    <m:t>(x)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borderBox>
              <m:r>
                <m:rPr/>
                <w:rPr>
                  <w:rFonts w:hint="default" w:ascii="Cambria Math" w:hAnsi="Cambria Math"/>
                  <w:sz w:val="24"/>
                </w:rPr>
                <m:t>−</m:t>
              </m:r>
              <m:borderBox>
                <m:borderBoxPr>
                  <m:hideBot m:val="1"/>
                  <m:hideLeft m:val="1"/>
                  <m:hideRight m:val="1"/>
                  <m:hideTop m:val="1"/>
                  <m:strikeBLTR m:val="1"/>
                  <m:ctrlPr>
                    <w:rPr>
                      <w:rFonts w:hint="default" w:ascii="Cambria Math" w:hAnsi="Cambria Math"/>
                      <w:sz w:val="24"/>
                    </w:rPr>
                  </m:ctrlPr>
                </m:borderBox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β</m:t>
                  </m:r>
                  <m:func>
                    <m:func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</w:rPr>
                        <m:t>log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Name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Z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e>
                  </m:func>
                  <m:r>
                    <m:rPr/>
                    <w:rPr>
                      <w:rFonts w:hint="default" w:ascii="Cambria Math" w:hAnsi="Cambria Math"/>
                      <w:sz w:val="24"/>
                    </w:rPr>
                    <m:t>(x)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borderBox>
              <m:ctrlPr>
                <w:rPr>
                  <w:rFonts w:hint="default" w:ascii="Cambria Math" w:hAnsi="Cambria Math"/>
                  <w:sz w:val="24"/>
                </w:rPr>
              </m:ctrlPr>
            </m:e>
          </m:d>
        </m:oMath>
      </m:oMathPara>
    </w:p>
    <w:bookmarkEnd w:id="288"/>
    <w:p w14:paraId="47053390">
      <w:pPr>
        <w:bidi w:val="0"/>
      </w:pPr>
      <w:bookmarkStart w:id="289" w:name="u2d5d8f5a"/>
      <w:r>
        <w:t>� 这是 DPO 成立的关键数学巧合：</w:t>
      </w:r>
      <m:oMath>
        <m:r>
          <m:rPr/>
          <w:rPr>
            <w:rFonts w:hint="default" w:ascii="Cambria Math" w:hAnsi="Cambria Math"/>
            <w:sz w:val="24"/>
          </w:rPr>
          <m:t>β</m:t>
        </m:r>
        <m:func>
          <m:funcPr>
            <m:ctrlPr>
              <w:rPr>
                <w:rFonts w:hint="default"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log</m:t>
            </m:r>
            <m:ctrlPr>
              <w:rPr>
                <w:rFonts w:ascii="Cambria Math" w:hAnsi="Cambria Math"/>
                <w:sz w:val="24"/>
              </w:rPr>
            </m:ctrlPr>
          </m:fName>
          <m:e>
            <m:r>
              <m:rPr/>
              <w:rPr>
                <w:rFonts w:hint="default" w:ascii="Cambria Math" w:hAnsi="Cambria Math"/>
                <w:sz w:val="24"/>
              </w:rPr>
              <m:t>Z</m:t>
            </m:r>
            <m:ctrlPr>
              <w:rPr>
                <w:rFonts w:ascii="Cambria Math" w:hAnsi="Cambria Math"/>
                <w:sz w:val="24"/>
              </w:rPr>
            </m:ctrlPr>
          </m:e>
        </m:func>
        <m:r>
          <m:rPr/>
          <w:rPr>
            <w:rFonts w:hint="default" w:ascii="Cambria Math" w:hAnsi="Cambria Math"/>
            <w:sz w:val="24"/>
          </w:rPr>
          <m:t>(x)</m:t>
        </m:r>
      </m:oMath>
      <w:r>
        <w:t xml:space="preserve"> 在减法中精确抵消了！不需要计算这个不可计算的配分函数。</w:t>
      </w:r>
    </w:p>
    <w:bookmarkEnd w:id="289"/>
    <w:p w14:paraId="78FCD384">
      <w:pPr>
        <w:bidi w:val="0"/>
        <w:ind w:left="0" w:leftChars="0" w:firstLine="0" w:firstLineChars="0"/>
      </w:pPr>
      <w:bookmarkStart w:id="290" w:name="u11c1c682"/>
      <w:r>
        <w:t xml:space="preserve">第 4 步：用当前模型 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π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θ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t xml:space="preserve"> 代替最优策略 </w:t>
      </w:r>
      <m:oMath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π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∗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t>，得到 DPO 损失：</w:t>
      </w:r>
    </w:p>
    <w:bookmarkEnd w:id="290"/>
    <w:p w14:paraId="613152D4">
      <w:pPr>
        <w:bidi w:val="0"/>
      </w:pPr>
      <m:oMathPara>
        <m:oMath>
          <m:sSub>
            <w:bookmarkStart w:id="291" w:name="u7bfa3731"/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4"/>
                </w:rPr>
                <m:t>ℒ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DPO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(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π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θ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;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π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ref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)=−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4"/>
                </w:rPr>
                <m:t>E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(x,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w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,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y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l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)∼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hint="default" w:ascii="Cambria Math" w:hAnsi="Cambria Math" w:eastAsia="MS Mincho"/>
                      <w:sz w:val="24"/>
                    </w:rPr>
                    <m:t>D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pref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hint="default" w:ascii="Cambria Math" w:hAnsi="Cambria Math"/>
                  <w:sz w:val="24"/>
                </w:rPr>
              </m:ctrlPr>
            </m:dPr>
            <m:e>
              <m:func>
                <m:funcPr>
                  <m:ctrlPr>
                    <w:rPr>
                      <w:rFonts w:hint="default" w:ascii="Cambria Math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</w:rPr>
                    <m:t>log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fName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σ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func>
              <m:d>
                <m:dPr>
                  <m:ctrlPr>
                    <w:rPr>
                      <w:rFonts w:hint="default" w:ascii="Cambria Math" w:hAnsi="Cambria Math"/>
                      <w:sz w:val="24"/>
                    </w:rPr>
                  </m:ctrlPr>
                </m:d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β</m:t>
                  </m:r>
                  <m:func>
                    <m:func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Name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π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θ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|x)</m:t>
                          </m: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π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ref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|x)</m:t>
                          </m: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e>
                  </m:func>
                  <m:r>
                    <m:rPr/>
                    <w:rPr>
                      <w:rFonts w:hint="default" w:ascii="Cambria Math" w:hAnsi="Cambria Math"/>
                      <w:sz w:val="24"/>
                    </w:rPr>
                    <m:t>−β</m:t>
                  </m:r>
                  <m:func>
                    <m:func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</w:rPr>
                        <m:t>log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Name>
                    <m:e>
                      <m:f>
                        <m:f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π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θ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l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|x)</m:t>
                          </m: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π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ref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hint="default" w:ascii="Cambria Math" w:hAnsi="Cambria Math"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hint="default" w:ascii="Cambria Math" w:hAnsi="Cambria Math"/>
                                  <w:sz w:val="24"/>
                                </w:rPr>
                                <m:t>l</m:t>
                              </m:r>
                              <m:ctrlPr>
                                <w:rPr>
                                  <w:rFonts w:ascii="Cambria Math" w:hAnsi="Cambria Math"/>
                                  <w:sz w:val="24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|x)</m:t>
                          </m: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d>
              <m:ctrlPr>
                <w:rPr>
                  <w:rFonts w:hint="default" w:ascii="Cambria Math" w:hAnsi="Cambria Math"/>
                  <w:sz w:val="24"/>
                </w:rPr>
              </m:ctrlPr>
            </m:e>
          </m:d>
        </m:oMath>
      </m:oMathPara>
    </w:p>
    <w:bookmarkEnd w:id="291"/>
    <w:p w14:paraId="584801F6">
      <w:pPr>
        <w:pStyle w:val="4"/>
        <w:bidi w:val="0"/>
      </w:pPr>
      <w:bookmarkStart w:id="292" w:name="_Toc13752"/>
      <w:bookmarkStart w:id="293" w:name="MBeIW"/>
      <w:r>
        <w:t>5.3.4 DPO 损失的直观理解</w:t>
      </w:r>
      <w:bookmarkEnd w:id="292"/>
    </w:p>
    <w:bookmarkEnd w:id="293"/>
    <w:p w14:paraId="2C590193">
      <w:pPr>
        <w:bidi w:val="0"/>
      </w:pPr>
      <w:bookmarkStart w:id="294" w:name="u1e04fcd2"/>
      <w:r>
        <w:t>定义 隐式奖励：</w:t>
      </w:r>
      <m:oMath>
        <m:r>
          <m:rPr/>
          <w:rPr>
            <w:rFonts w:hint="default" w:ascii="Cambria Math" w:hAnsi="Cambria Math"/>
            <w:sz w:val="24"/>
          </w:rPr>
          <m:t>score(y|x)=β</m:t>
        </m:r>
        <m:func>
          <m:funcPr>
            <m:ctrlPr>
              <w:rPr>
                <w:rFonts w:hint="default"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log</m:t>
            </m:r>
            <m:ctrlPr>
              <w:rPr>
                <w:rFonts w:ascii="Cambria Math" w:hAnsi="Cambria Math"/>
                <w:sz w:val="24"/>
              </w:rPr>
            </m:ctrlPr>
          </m:fName>
          <m:e>
            <m:f>
              <m:fPr>
                <m:ctrlPr>
                  <w:rPr>
                    <w:rFonts w:hint="default" w:ascii="Cambria Math" w:hAnsi="Cambria Math"/>
                    <w:sz w:val="24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π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θ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(y|x)</m:t>
                </m:r>
                <m:ctrlPr>
                  <w:rPr>
                    <w:rFonts w:hint="default" w:ascii="Cambria Math" w:hAnsi="Cambria Math"/>
                    <w:sz w:val="24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π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ref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sub>
                </m:sSub>
                <m:r>
                  <m:rPr/>
                  <w:rPr>
                    <w:rFonts w:hint="default" w:ascii="Cambria Math" w:hAnsi="Cambria Math"/>
                    <w:sz w:val="24"/>
                  </w:rPr>
                  <m:t>(y|x)</m:t>
                </m:r>
                <m:ctrlPr>
                  <w:rPr>
                    <w:rFonts w:hint="default" w:ascii="Cambria Math" w:hAnsi="Cambria Math"/>
                    <w:sz w:val="24"/>
                  </w:rPr>
                </m:ctrlPr>
              </m:den>
            </m:f>
            <m:ctrlPr>
              <w:rPr>
                <w:rFonts w:hint="default" w:ascii="Cambria Math" w:hAnsi="Cambria Math"/>
                <w:sz w:val="24"/>
              </w:rPr>
            </m:ctrlPr>
          </m:e>
        </m:func>
      </m:oMath>
    </w:p>
    <w:bookmarkEnd w:id="294"/>
    <w:p w14:paraId="60DFBFAB">
      <w:pPr>
        <w:bidi w:val="0"/>
      </w:pPr>
      <w:bookmarkStart w:id="295" w:name="uf352448f"/>
      <w:r>
        <w:t>这个 score 衡量"当前模型相对于参考模型更喜欢这个回复的程度"：</w:t>
      </w:r>
    </w:p>
    <w:bookmarkEnd w:id="295"/>
    <w:p w14:paraId="0B019BDD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296" w:name="siG79"/>
      <w:r>
        <w:rPr>
          <w:rFonts w:ascii="宋体" w:hAnsi="Courier New" w:eastAsia="宋体"/>
          <w:color w:val="000000"/>
          <w:sz w:val="20"/>
        </w:rPr>
        <w:t>目标：提高 chosen (y_w) 的 score  ←  →  降低 rejected (y_l) 的 score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       ↑                                       ↓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π_θ(y_w|x) 相对于 π_ref 增大           π_θ(y_l|x) 相对于 π_ref 减小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296"/>
    <w:p w14:paraId="0C2ADE10">
      <w:pPr>
        <w:bidi w:val="0"/>
      </w:pPr>
      <w:bookmarkStart w:id="297" w:name="u1a1e5187"/>
      <w:r>
        <w:t>DPO 损失函数的工作方式：</w:t>
      </w:r>
    </w:p>
    <w:bookmarkEnd w:id="297"/>
    <w:p w14:paraId="2F789128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bookmarkStart w:id="298" w:name="u5c26dfc1"/>
      <w:r>
        <w:t>当 chosen score 远大于 rejected score 时：</w:t>
      </w:r>
      <m:oMath>
        <m:r>
          <m:rPr/>
          <w:rPr>
            <w:rFonts w:hint="default" w:ascii="Cambria Math" w:hAnsi="Cambria Math"/>
            <w:sz w:val="24"/>
          </w:rPr>
          <m:t>σ</m:t>
        </m:r>
      </m:oMath>
      <w:r>
        <w:t xml:space="preserve"> 接近 1，loss 接近 0 = 做对了</w:t>
      </w:r>
    </w:p>
    <w:bookmarkEnd w:id="298"/>
    <w:p w14:paraId="0D9F44E2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bookmarkStart w:id="299" w:name="u8d28a634"/>
      <w:r>
        <w:t>当 chosen score 小于 rejected score 时：</w:t>
      </w:r>
      <m:oMath>
        <m:r>
          <m:rPr/>
          <w:rPr>
            <w:rFonts w:hint="default" w:ascii="Cambria Math" w:hAnsi="Cambria Math"/>
            <w:sz w:val="24"/>
          </w:rPr>
          <m:t>σ</m:t>
        </m:r>
      </m:oMath>
      <w:r>
        <w:t xml:space="preserve"> 接近 0，loss 很大 = 需要修正</w:t>
      </w:r>
    </w:p>
    <w:bookmarkEnd w:id="299"/>
    <w:p w14:paraId="306C5EB7">
      <w:pPr>
        <w:pStyle w:val="4"/>
        <w:bidi w:val="0"/>
      </w:pPr>
      <w:bookmarkStart w:id="300" w:name="_Toc26410"/>
      <w:bookmarkStart w:id="301" w:name="TnbwN"/>
      <w:r>
        <w:t>5.3.5 常用偏好数据集</w:t>
      </w:r>
      <w:bookmarkEnd w:id="300"/>
    </w:p>
    <w:tbl>
      <w:tblPr>
        <w:tblStyle w:val="16"/>
        <w:tblW w:w="92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67"/>
        <w:gridCol w:w="2018"/>
        <w:gridCol w:w="3259"/>
        <w:gridCol w:w="1799"/>
      </w:tblGrid>
      <w:tr w14:paraId="0DAD9BF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16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6C4D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数据集</w:t>
            </w:r>
          </w:p>
        </w:tc>
        <w:tc>
          <w:tcPr>
            <w:tcW w:w="201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074FE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规模</w:t>
            </w:r>
          </w:p>
        </w:tc>
        <w:tc>
          <w:tcPr>
            <w:tcW w:w="325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165C6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特点</w:t>
            </w:r>
          </w:p>
        </w:tc>
        <w:tc>
          <w:tcPr>
            <w:tcW w:w="179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E806C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适用场景</w:t>
            </w:r>
          </w:p>
        </w:tc>
      </w:tr>
      <w:tr w14:paraId="4BE01D8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6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67639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302" w:name="u2e68dfe9"/>
            <w:r>
              <w:t>HH-RLHF (Anthropic)</w:t>
            </w:r>
          </w:p>
        </w:tc>
        <w:tc>
          <w:tcPr>
            <w:tcW w:w="201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FCFFD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169K 对</w:t>
            </w:r>
          </w:p>
        </w:tc>
        <w:tc>
          <w:tcPr>
            <w:tcW w:w="325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1192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红蓝对抗风格，安全+有用性对比</w:t>
            </w:r>
          </w:p>
        </w:tc>
        <w:tc>
          <w:tcPr>
            <w:tcW w:w="179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2164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通用对齐，经典基准</w:t>
            </w:r>
          </w:p>
        </w:tc>
      </w:tr>
      <w:tr w14:paraId="015D0D4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F5CC3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UltraFeedback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3FA8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64K prompts × 4 回复</w:t>
            </w: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2792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多维度分数（指令遵循、诚实、安全等）</w:t>
            </w: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4F1BC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多属性偏好优化</w:t>
            </w:r>
          </w:p>
        </w:tc>
      </w:tr>
      <w:tr w14:paraId="5E5BC21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E03F5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HelpSteer (NVIDIA)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88E87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37K 对话，5 维度评分</w:t>
            </w: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520F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细粒度分数（0-4），可合成偏好对</w:t>
            </w: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5F7DE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需细粒度奖励建模</w:t>
            </w:r>
          </w:p>
        </w:tc>
      </w:tr>
      <w:tr w14:paraId="11DFEF2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7CC6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PKU-SafeRLHF</w:t>
            </w: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5DB4F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33K 对 + 安全标签</w:t>
            </w:r>
          </w:p>
        </w:tc>
        <w:tc>
          <w:tcPr>
            <w:tcW w:w="325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31B20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侧重安全对齐</w:t>
            </w:r>
          </w:p>
        </w:tc>
        <w:tc>
          <w:tcPr>
            <w:tcW w:w="179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7B33D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安全专项对齐</w:t>
            </w:r>
          </w:p>
        </w:tc>
      </w:tr>
      <w:tr w14:paraId="641B35C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6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51CB7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Nectar</w:t>
            </w:r>
          </w:p>
        </w:tc>
        <w:tc>
          <w:tcPr>
            <w:tcW w:w="201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A90A9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183K 对</w:t>
            </w:r>
          </w:p>
        </w:tc>
        <w:tc>
          <w:tcPr>
            <w:tcW w:w="325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D9696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7 个 LLM 生成，GPT-4 打分排序</w:t>
            </w:r>
          </w:p>
        </w:tc>
        <w:tc>
          <w:tcPr>
            <w:tcW w:w="179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156F6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多模型蒸馏偏好</w:t>
            </w:r>
          </w:p>
        </w:tc>
      </w:tr>
      <w:bookmarkEnd w:id="302"/>
    </w:tbl>
    <w:p w14:paraId="4AD14FFA"/>
    <w:bookmarkEnd w:id="301"/>
    <w:p w14:paraId="35F9A757">
      <w:pPr>
        <w:spacing w:beforeLines="100" w:after="50" w:line="360" w:lineRule="auto"/>
        <w:ind w:left="0"/>
      </w:pPr>
      <w:bookmarkStart w:id="303" w:name="HS28v"/>
    </w:p>
    <w:bookmarkEnd w:id="303"/>
    <w:p w14:paraId="33A88932">
      <w:pPr>
        <w:pStyle w:val="3"/>
        <w:bidi w:val="0"/>
      </w:pPr>
      <w:bookmarkStart w:id="304" w:name="_Toc12211"/>
      <w:bookmarkStart w:id="305" w:name="LIxaq"/>
      <w:r>
        <w:t>5.4 案例分析：DeepSeek-R1 / GRPO</w:t>
      </w:r>
      <w:bookmarkEnd w:id="304"/>
    </w:p>
    <w:bookmarkEnd w:id="305"/>
    <w:p w14:paraId="7E655378">
      <w:pPr>
        <w:pStyle w:val="4"/>
        <w:bidi w:val="0"/>
      </w:pPr>
      <w:bookmarkStart w:id="306" w:name="_Toc11563"/>
      <w:bookmarkStart w:id="307" w:name="g5tyI"/>
      <w:r>
        <w:t>5.4.1 新范式：Reasoning-oriented Alignment</w:t>
      </w:r>
      <w:bookmarkEnd w:id="306"/>
    </w:p>
    <w:bookmarkEnd w:id="307"/>
    <w:p w14:paraId="28DBE198">
      <w:pPr>
        <w:bidi w:val="0"/>
      </w:pPr>
      <w:bookmarkStart w:id="308" w:name="u69a58a5e"/>
      <w:r>
        <w:t>2024 年以来，Alignment 领域出现了重要的新方向：不依赖人类偏好的对齐，而是利用可验证的客观奖励（数学题答案对不对、代码能不能跑通）做强化学习，增强模型的推理能力。</w:t>
      </w:r>
    </w:p>
    <w:bookmarkEnd w:id="308"/>
    <w:p w14:paraId="2D95A5A4">
      <w:pPr>
        <w:spacing w:beforeLines="100" w:after="50" w:line="360" w:lineRule="auto"/>
        <w:ind w:left="0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bookmarkStart w:id="309" w:name="u7f90c2b2"/>
      <w:r>
        <w:rPr>
          <w:rFonts w:ascii="宋体" w:hAnsi="Times New Roman" w:eastAsia="宋体"/>
          <w:b w:val="0"/>
          <w:i w:val="0"/>
          <w:color w:val="000000"/>
          <w:sz w:val="22"/>
        </w:rPr>
        <w:t>核心认知：</w:t>
      </w:r>
    </w:p>
    <w:p w14:paraId="3A3A8388">
      <w:pPr>
        <w:spacing w:beforeLines="100" w:after="50" w:line="360" w:lineRule="auto"/>
        <w:ind w:left="0"/>
        <w:jc w:val="left"/>
        <w:rPr>
          <w:rFonts w:ascii="宋体" w:hAnsi="Times New Roman" w:eastAsia="宋体"/>
          <w:b w:val="0"/>
          <w:i w:val="0"/>
          <w:color w:val="000000"/>
          <w:sz w:val="22"/>
        </w:rPr>
      </w:pPr>
      <w:r>
        <w:rPr>
          <w:rFonts w:hint="eastAsia" w:ascii="宋体" w:hAnsi="Times New Roman" w:eastAsia="宋体"/>
          <w:b w:val="0"/>
          <w:i w:val="0"/>
          <w:color w:val="000000"/>
          <w:sz w:val="22"/>
        </w:rPr>
        <w:t>对于推理任务（数学、编程），"好不好"是可以客观验证的。这比人类的"偏好"更精确、更可靠、更可扩展。</w:t>
      </w:r>
    </w:p>
    <w:bookmarkEnd w:id="309"/>
    <w:p w14:paraId="71A38E1F">
      <w:pPr>
        <w:pStyle w:val="4"/>
        <w:bidi w:val="0"/>
      </w:pPr>
      <w:bookmarkStart w:id="310" w:name="_Toc9855"/>
      <w:bookmarkStart w:id="311" w:name="SaJvP"/>
      <w:r>
        <w:t>5.4.2 详细分析</w:t>
      </w:r>
      <w:bookmarkEnd w:id="310"/>
    </w:p>
    <w:tbl>
      <w:tblPr>
        <w:tblStyle w:val="16"/>
        <w:tblW w:w="92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076"/>
        <w:gridCol w:w="8167"/>
      </w:tblGrid>
      <w:tr w14:paraId="2A3136D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1B124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维度</w:t>
            </w:r>
          </w:p>
        </w:tc>
        <w:tc>
          <w:tcPr>
            <w:tcW w:w="816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195D0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说明</w:t>
            </w:r>
          </w:p>
        </w:tc>
      </w:tr>
      <w:tr w14:paraId="1301136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A4CE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312" w:name="u9e3fba89"/>
            <w:r>
              <w:t>解决什么问题</w:t>
            </w:r>
          </w:p>
        </w:tc>
        <w:tc>
          <w:tcPr>
            <w:tcW w:w="816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8CA44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前面对齐方法（RLHF/DPO）都依赖人类偏好来定义"好"，但偏好标注成本高且主观。GRPO 仅靠可验证的硬奖励（答案对错）驱动优化，不需要人类标注，也不需要 Critic 网络</w:t>
            </w:r>
          </w:p>
        </w:tc>
      </w:tr>
      <w:tr w14:paraId="49D41A2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5B807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输入数据</w:t>
            </w:r>
          </w:p>
        </w:tc>
        <w:tc>
          <w:tcPr>
            <w:tcW w:w="81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D341B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不需要人类偏好数据。需要可自动验证的 question-answer 对（数学题、编程题）。对同一 prompt 采样 G 个回复（G=4~64）</w:t>
            </w:r>
          </w:p>
        </w:tc>
      </w:tr>
      <w:tr w14:paraId="19081FB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CC076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输出结果</w:t>
            </w:r>
          </w:p>
        </w:tc>
        <w:tc>
          <w:tcPr>
            <w:tcW w:w="81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4122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推理能力显著增强的模型。DeepSeek-R1：AIME 2024 从 15.6% → 71.0%（pass@1）</w:t>
            </w:r>
          </w:p>
        </w:tc>
      </w:tr>
      <w:tr w14:paraId="27BE03A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CD9C6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数学原理</w:t>
            </w:r>
          </w:p>
        </w:tc>
        <w:tc>
          <w:tcPr>
            <w:tcW w:w="81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089FB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GRPO 的核心——组内 Advantage 计算：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=</m:t>
              </m:r>
              <m:f>
                <m:fPr>
                  <m:ctrlPr>
                    <w:rPr>
                      <w:rFonts w:hint="default" w:ascii="Cambria Math" w:hAnsi="Cambria Math"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</w:rPr>
                    <m:t>−mean({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</w:rPr>
                    <m:t>,...,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</w:rPr>
                    <m:t>})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std({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</w:rPr>
                    <m:t>,...,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</w:rPr>
                    <m:t>})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den>
              </m:f>
            </m:oMath>
            <w:r>
              <w:t>。用组内均值替代 Critic 网络的价值估计。优化目标带 clip 约束和 KL 惩罚：</w:t>
            </w:r>
            <m:oMath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J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GRPO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(θ)=</m:t>
              </m:r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4"/>
                </w:rPr>
                <m:t>E</m:t>
              </m:r>
              <m:r>
                <m:rPr/>
                <w:rPr>
                  <w:rFonts w:hint="default" w:ascii="Cambria Math" w:hAnsi="Cambria Math"/>
                  <w:sz w:val="24"/>
                </w:rPr>
                <m:t>[</m:t>
              </m:r>
              <m:f>
                <m:fPr>
                  <m:ctrlPr>
                    <w:rPr>
                      <w:rFonts w:hint="default" w:ascii="Cambria Math" w:hAnsi="Cambria Math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|y|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den>
              </m:f>
              <m:nary>
                <m:naryPr>
                  <m:chr m:val="∑"/>
                  <m:limLoc m:val="subSup"/>
                  <m:supHide m:val="1"/>
                  <m:ctrlPr>
                    <w:rPr>
                      <w:rFonts w:hint="default" w:ascii="Cambria Math" w:hAnsi="Cambria Math"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t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  <m:sup>
                  <m:ctrlPr>
                    <w:rPr>
                      <w:rFonts w:ascii="Cambria Math" w:hAnsi="Cambria Math"/>
                      <w:sz w:val="24"/>
                    </w:rPr>
                  </m:ctrlPr>
                </m:sup>
                <m:e>
                  <m:func>
                    <m:func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/>
                              <w:sz w:val="24"/>
                            </w:rPr>
                            <m:t>min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lim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lim>
                      </m:limLow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Name>
                    <m:e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nary>
              <m:r>
                <m:rPr/>
                <w:rPr>
                  <w:rFonts w:hint="default" w:ascii="Cambria Math" w:hAnsi="Cambria Math"/>
                  <w:sz w:val="24"/>
                </w:rPr>
                <m:t>(</m:t>
              </m:r>
              <m:f>
                <m:fPr>
                  <m:ctrlPr>
                    <w:rPr>
                      <w:rFonts w:hint="default" w:ascii="Cambria Math" w:hAnsi="Cambria Math"/>
                      <w:sz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π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θ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y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π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e>
                    <m:sub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old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y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t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4"/>
                    </w:rPr>
                    <m:t>)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den>
              </m:f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A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,clip(...)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A</m:t>
                      </m: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)−β⋅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D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KL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π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θ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|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π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ref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)]</m:t>
              </m:r>
            </m:oMath>
          </w:p>
        </w:tc>
      </w:tr>
      <w:tr w14:paraId="0A6FD89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2C2FE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基本流程</w:t>
            </w:r>
          </w:p>
        </w:tc>
        <w:tc>
          <w:tcPr>
            <w:tcW w:w="81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59774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对 prompt x 从旧策略采样 G 个回复；② 用可验证奖励计算每个回复的分数 r_i（正确=1，错误=0）；③ 组内标准化计算 advantage；④ 用带 clip 约束的策略梯度更新；⑤ DeepSeek-R1 实际流程：先纯 RL（R1-Zero）→ 少量冷启动 SFT → 再 GRPO → 通用 SFT → 全场景 RL</w:t>
            </w:r>
          </w:p>
        </w:tc>
      </w:tr>
      <w:tr w14:paraId="700608A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D9B81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优点</w:t>
            </w:r>
          </w:p>
        </w:tc>
        <w:tc>
          <w:tcPr>
            <w:tcW w:w="81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42B1D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无 Critic：省去一半 RL 显存（3 模型 vs PPO 的 4 模型）；② 可验证奖励：比人类偏好更精确、更便宜、更易扩展；③ 涌现反思行为：模型自发学会"换个思路"等反思行为——未显式编程，是 RL 优化的涌现结果；④ DeepSeek-R1 验证了纯 RL 就能涌现推理能力</w:t>
            </w:r>
          </w:p>
        </w:tc>
      </w:tr>
      <w:tr w14:paraId="1527456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42CAC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局限性</w:t>
            </w:r>
          </w:p>
        </w:tc>
        <w:tc>
          <w:tcPr>
            <w:tcW w:w="816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7D44B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需要可验证奖励：对写作质量等无法自动验证的任务不适用；② 组大小 G 是重要超参数——G 太小（&lt;4）baseline 不稳定，G 太大（&gt;64）成本线性增长；③ 未经过人类偏好对齐的推理模型语言可能变得"机械"（过度使用 &lt;think&gt; 标签）</w:t>
            </w:r>
          </w:p>
        </w:tc>
      </w:tr>
      <w:tr w14:paraId="47C48DC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07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0115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Post-training 位置</w:t>
            </w:r>
          </w:p>
        </w:tc>
        <w:tc>
          <w:tcPr>
            <w:tcW w:w="816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AA05B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推理导向的对齐（Reasoning-oriented Alignment）——Alignment 领域 2024-2025 年的重要新方向</w:t>
            </w:r>
          </w:p>
        </w:tc>
      </w:tr>
      <w:bookmarkEnd w:id="311"/>
      <w:bookmarkEnd w:id="312"/>
    </w:tbl>
    <w:p w14:paraId="5FF7F306">
      <w:pPr>
        <w:pStyle w:val="4"/>
        <w:bidi w:val="0"/>
      </w:pPr>
      <w:bookmarkStart w:id="313" w:name="_Toc16508"/>
      <w:bookmarkStart w:id="314" w:name="G5NNB"/>
      <w:r>
        <w:t>5.4.3 GRPO 的直观理解</w:t>
      </w:r>
      <w:bookmarkEnd w:id="313"/>
    </w:p>
    <w:bookmarkEnd w:id="314"/>
    <w:p w14:paraId="31906805">
      <w:pPr>
        <w:bidi w:val="0"/>
      </w:pPr>
      <w:bookmarkStart w:id="315" w:name="u752715c3"/>
      <w:r>
        <w:t>以数学题为例，GRPO 的工作方式非常直观：</w:t>
      </w:r>
    </w:p>
    <w:bookmarkEnd w:id="315"/>
    <w:p w14:paraId="1727F155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316" w:name="c0a2H"/>
      <w:r>
        <w:rPr>
          <w:rFonts w:ascii="宋体" w:hAnsi="Courier New" w:eastAsia="宋体"/>
          <w:color w:val="000000"/>
          <w:sz w:val="20"/>
        </w:rPr>
        <w:t>Prompt: "计算 ∫₀¹ x² dx 的值。"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从旧策略中采样 G=8 个回复：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y₁: "1/3 ✓"                    → reward = +1 (正确)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y₂: "1/2 ✗"                    → reward = 0  (错误)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y₃: "∫x²dx = x³/3, 代入得1/3 ✓" → reward = +1 (正确，且格式好)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y₄: "1/3 ✓"                    → reward = +1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y₅: "无法计算 ✗"              → reward = 0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y₆: "1/4 ✗"                    → reward = 0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y₇: "解：原式 = [x³/3]₀¹ = 1/3 ✓" → reward = +1 (推理步骤完整)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y₈: "0 ✗"                      → reward = 0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组内标准化：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mean(r) = 4/8 = 0.5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std(r) = 0.5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y₁ advantage = (1-0.5)/0.5 = 1.0  → 正 → 增强 ✓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y₂ advantage = (0-0.5)/0.5 = -1.0 → 负 → 抑制 ✓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y₇ advantage = (1-0.5)/0.5 = 1.0  → 正 → 增强（推理完整的获得更多"青睐"）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不需要人类标注"哪个推理好"——正确答案本身就在提供偏好信号！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316"/>
    <w:p w14:paraId="6CAF711D">
      <w:pPr>
        <w:pStyle w:val="4"/>
        <w:bidi w:val="0"/>
      </w:pPr>
      <w:bookmarkStart w:id="317" w:name="_Toc3851"/>
      <w:bookmarkStart w:id="318" w:name="dfDVH"/>
      <w:r>
        <w:t>5.4.4 GRPO vs PPO vs DPO 对比</w:t>
      </w:r>
      <w:bookmarkEnd w:id="317"/>
    </w:p>
    <w:bookmarkEnd w:id="318"/>
    <w:p w14:paraId="78BF2A0B">
      <w:pPr>
        <w:pBdr>
          <w:left w:val="single" w:color="B0B0B0" w:sz="16" w:space="38"/>
        </w:pBdr>
        <w:spacing w:beforeLines="100" w:after="50" w:line="360" w:lineRule="auto"/>
        <w:ind w:left="0"/>
        <w:jc w:val="left"/>
      </w:pPr>
      <w:bookmarkStart w:id="319" w:name="u6f3af068"/>
      <w:r>
        <w:rPr>
          <w:rFonts w:ascii="宋体" w:hAnsi="Times New Roman" w:eastAsia="宋体"/>
          <w:b w:val="0"/>
          <w:i w:val="0"/>
          <w:color w:val="808080"/>
          <w:sz w:val="22"/>
        </w:rPr>
        <w:t xml:space="preserve">🔗 </w:t>
      </w:r>
      <w:r>
        <w:rPr>
          <w:rFonts w:ascii="宋体" w:hAnsi="Times New Roman" w:eastAsia="宋体"/>
          <w:b/>
          <w:i w:val="0"/>
          <w:color w:val="808080"/>
          <w:sz w:val="22"/>
        </w:rPr>
        <w:t>详见《Alignment 技术笔记》第 7 节</w:t>
      </w:r>
      <w:r>
        <w:rPr>
          <w:rFonts w:ascii="宋体" w:hAnsi="Times New Roman" w:eastAsia="宋体"/>
          <w:b w:val="0"/>
          <w:i w:val="0"/>
          <w:color w:val="808080"/>
          <w:sz w:val="22"/>
        </w:rPr>
        <w:t>：GRPO 的完整推导、与 RLOO/REINFORCE 的关系、DeepSeek-R1 的训练管线分析。</w:t>
      </w:r>
    </w:p>
    <w:bookmarkEnd w:id="319"/>
    <w:p w14:paraId="7875E321">
      <w:pPr>
        <w:spacing w:beforeLines="100" w:after="50" w:line="360" w:lineRule="auto"/>
        <w:ind w:left="0"/>
      </w:pPr>
      <w:bookmarkStart w:id="320" w:name="bSnE7"/>
      <w:r>
        <w:rPr>
          <w:rFonts w:ascii="宋体" w:eastAsia="宋体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320"/>
    <w:p w14:paraId="1D488A19">
      <w:pPr>
        <w:pStyle w:val="4"/>
        <w:spacing w:beforeLines="100" w:after="50" w:line="360" w:lineRule="auto"/>
        <w:ind w:left="0"/>
        <w:jc w:val="left"/>
        <w:rPr>
          <w:rFonts w:ascii="宋体" w:hAnsi="Times New Roman" w:eastAsia="宋体"/>
        </w:rPr>
      </w:pPr>
      <w:bookmarkStart w:id="321" w:name="_Toc637"/>
      <w:bookmarkStart w:id="322" w:name="wHTwp"/>
      <w:r>
        <w:rPr>
          <w:rFonts w:ascii="宋体" w:hAnsi="Times New Roman" w:eastAsia="宋体"/>
        </w:rPr>
        <w:t>5.5 关键取舍与方法组合</w:t>
      </w:r>
      <w:bookmarkEnd w:id="321"/>
    </w:p>
    <w:tbl>
      <w:tblPr>
        <w:tblStyle w:val="16"/>
        <w:tblW w:w="92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05"/>
        <w:gridCol w:w="2550"/>
        <w:gridCol w:w="2487"/>
        <w:gridCol w:w="2401"/>
      </w:tblGrid>
      <w:tr w14:paraId="6304FA8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0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D443B">
            <w:pPr>
              <w:bidi w:val="0"/>
              <w:snapToGrid w:val="0"/>
              <w:rPr>
                <w:lang w:val="en-US" w:eastAsia="en-US"/>
              </w:rPr>
            </w:pPr>
            <w:r>
              <w:t>维度</w:t>
            </w:r>
          </w:p>
        </w:tc>
        <w:tc>
          <w:tcPr>
            <w:tcW w:w="255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D0CB1">
            <w:pPr>
              <w:bidi w:val="0"/>
              <w:snapToGrid w:val="0"/>
              <w:rPr>
                <w:lang w:val="en-US" w:eastAsia="en-US"/>
              </w:rPr>
            </w:pPr>
            <w:r>
              <w:t>PPO (RLHF)</w:t>
            </w:r>
          </w:p>
        </w:tc>
        <w:tc>
          <w:tcPr>
            <w:tcW w:w="248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B3AC0C">
            <w:pPr>
              <w:bidi w:val="0"/>
              <w:snapToGrid w:val="0"/>
              <w:rPr>
                <w:lang w:val="en-US" w:eastAsia="en-US"/>
              </w:rPr>
            </w:pPr>
            <w:r>
              <w:t>DPO</w:t>
            </w:r>
          </w:p>
        </w:tc>
        <w:tc>
          <w:tcPr>
            <w:tcW w:w="240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76E891">
            <w:pPr>
              <w:bidi w:val="0"/>
              <w:snapToGrid w:val="0"/>
              <w:rPr>
                <w:lang w:val="en-US" w:eastAsia="en-US"/>
              </w:rPr>
            </w:pPr>
            <w:r>
              <w:t>GRPO</w:t>
            </w:r>
          </w:p>
        </w:tc>
      </w:tr>
      <w:tr w14:paraId="01F180F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0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412614">
            <w:pPr>
              <w:bidi w:val="0"/>
              <w:snapToGrid w:val="0"/>
              <w:rPr>
                <w:lang w:val="en-US" w:eastAsia="en-US"/>
              </w:rPr>
            </w:pPr>
            <w:bookmarkStart w:id="323" w:name="u19767fac"/>
            <w:r>
              <w:t>奖励来源</w:t>
            </w:r>
          </w:p>
        </w:tc>
        <w:tc>
          <w:tcPr>
            <w:tcW w:w="255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68BB9D">
            <w:pPr>
              <w:bidi w:val="0"/>
              <w:snapToGrid w:val="0"/>
              <w:rPr>
                <w:lang w:val="en-US" w:eastAsia="en-US"/>
              </w:rPr>
            </w:pPr>
            <w:r>
              <w:t>Reward Model（人类偏好）</w:t>
            </w:r>
          </w:p>
        </w:tc>
        <w:tc>
          <w:tcPr>
            <w:tcW w:w="248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BE123A">
            <w:pPr>
              <w:bidi w:val="0"/>
              <w:snapToGrid w:val="0"/>
              <w:rPr>
                <w:lang w:val="en-US" w:eastAsia="en-US"/>
              </w:rPr>
            </w:pPr>
            <w:r>
              <w:t>隐式（偏好对比较）</w:t>
            </w:r>
          </w:p>
        </w:tc>
        <w:tc>
          <w:tcPr>
            <w:tcW w:w="240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7E4657">
            <w:pPr>
              <w:bidi w:val="0"/>
              <w:snapToGrid w:val="0"/>
              <w:rPr>
                <w:lang w:val="en-US" w:eastAsia="en-US"/>
              </w:rPr>
            </w:pPr>
            <w:r>
              <w:t>可验证奖励（答案对错）</w:t>
            </w:r>
          </w:p>
        </w:tc>
      </w:tr>
      <w:tr w14:paraId="38680EE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13451">
            <w:pPr>
              <w:bidi w:val="0"/>
              <w:snapToGrid w:val="0"/>
              <w:rPr>
                <w:lang w:val="en-US" w:eastAsia="en-US"/>
              </w:rPr>
            </w:pPr>
            <w:r>
              <w:t>Critic 网络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92986">
            <w:pPr>
              <w:bidi w:val="0"/>
              <w:snapToGrid w:val="0"/>
              <w:rPr>
                <w:lang w:val="en-US" w:eastAsia="en-US"/>
              </w:rPr>
            </w:pPr>
            <w:r>
              <w:t>✅ 需要（额外 ~28GB/7B）</w:t>
            </w:r>
          </w:p>
        </w:tc>
        <w:tc>
          <w:tcPr>
            <w:tcW w:w="24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FDC330">
            <w:pPr>
              <w:bidi w:val="0"/>
              <w:snapToGrid w:val="0"/>
              <w:rPr>
                <w:lang w:val="en-US" w:eastAsia="en-US"/>
              </w:rPr>
            </w:pPr>
            <w:r>
              <w:t>❌ 不需要</w:t>
            </w:r>
          </w:p>
        </w:tc>
        <w:tc>
          <w:tcPr>
            <w:tcW w:w="24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C9872C">
            <w:pPr>
              <w:bidi w:val="0"/>
              <w:snapToGrid w:val="0"/>
              <w:rPr>
                <w:lang w:val="en-US" w:eastAsia="en-US"/>
              </w:rPr>
            </w:pPr>
            <w:r>
              <w:t>❌ 不需要</w:t>
            </w:r>
          </w:p>
        </w:tc>
      </w:tr>
      <w:tr w14:paraId="2957CD9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123D78">
            <w:pPr>
              <w:bidi w:val="0"/>
              <w:snapToGrid w:val="0"/>
              <w:rPr>
                <w:lang w:val="en-US" w:eastAsia="en-US"/>
              </w:rPr>
            </w:pPr>
            <w:r>
              <w:t>参考模型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AC2E1A">
            <w:pPr>
              <w:bidi w:val="0"/>
              <w:snapToGrid w:val="0"/>
              <w:rPr>
                <w:lang w:val="en-US" w:eastAsia="en-US"/>
              </w:rPr>
            </w:pPr>
            <w:r>
              <w:t>✅ 需要（SFT）</w:t>
            </w:r>
          </w:p>
        </w:tc>
        <w:tc>
          <w:tcPr>
            <w:tcW w:w="24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655246">
            <w:pPr>
              <w:bidi w:val="0"/>
              <w:snapToGrid w:val="0"/>
              <w:rPr>
                <w:lang w:val="en-US" w:eastAsia="en-US"/>
              </w:rPr>
            </w:pPr>
            <w:r>
              <w:t>✅ 需要</w:t>
            </w:r>
          </w:p>
        </w:tc>
        <w:tc>
          <w:tcPr>
            <w:tcW w:w="24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4F152C">
            <w:pPr>
              <w:bidi w:val="0"/>
              <w:snapToGrid w:val="0"/>
              <w:rPr>
                <w:lang w:val="en-US" w:eastAsia="en-US"/>
              </w:rPr>
            </w:pPr>
            <w:r>
              <w:t>✅ 需要</w:t>
            </w:r>
          </w:p>
        </w:tc>
      </w:tr>
      <w:tr w14:paraId="020DCD7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856EF">
            <w:pPr>
              <w:bidi w:val="0"/>
              <w:snapToGrid w:val="0"/>
              <w:rPr>
                <w:lang w:val="en-US" w:eastAsia="en-US"/>
              </w:rPr>
            </w:pPr>
            <w:r>
              <w:t>训练稳定性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88AC6">
            <w:pPr>
              <w:bidi w:val="0"/>
              <w:snapToGrid w:val="0"/>
              <w:rPr>
                <w:lang w:val="en-US" w:eastAsia="en-US"/>
              </w:rPr>
            </w:pPr>
            <w:r>
              <w:t>低（RL 固有波动）</w:t>
            </w:r>
          </w:p>
        </w:tc>
        <w:tc>
          <w:tcPr>
            <w:tcW w:w="24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B139D2">
            <w:pPr>
              <w:bidi w:val="0"/>
              <w:snapToGrid w:val="0"/>
              <w:rPr>
                <w:lang w:val="en-US" w:eastAsia="en-US"/>
              </w:rPr>
            </w:pPr>
            <w:r>
              <w:t>高（标准分类损失）</w:t>
            </w:r>
          </w:p>
        </w:tc>
        <w:tc>
          <w:tcPr>
            <w:tcW w:w="24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D13C67">
            <w:pPr>
              <w:bidi w:val="0"/>
              <w:snapToGrid w:val="0"/>
              <w:rPr>
                <w:lang w:val="en-US" w:eastAsia="en-US"/>
              </w:rPr>
            </w:pPr>
            <w:r>
              <w:t>中-高（组内标准化）</w:t>
            </w:r>
          </w:p>
        </w:tc>
      </w:tr>
      <w:tr w14:paraId="656B964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4C9DC">
            <w:pPr>
              <w:bidi w:val="0"/>
              <w:snapToGrid w:val="0"/>
              <w:rPr>
                <w:lang w:val="en-US" w:eastAsia="en-US"/>
              </w:rPr>
            </w:pPr>
            <w:r>
              <w:t>主要优化维度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2CECC6">
            <w:pPr>
              <w:bidi w:val="0"/>
              <w:snapToGrid w:val="0"/>
              <w:rPr>
                <w:lang w:val="en-US" w:eastAsia="en-US"/>
              </w:rPr>
            </w:pPr>
            <w:r>
              <w:t>Helpfulness + Harmlessness</w:t>
            </w:r>
          </w:p>
        </w:tc>
        <w:tc>
          <w:tcPr>
            <w:tcW w:w="24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41B27">
            <w:pPr>
              <w:bidi w:val="0"/>
              <w:snapToGrid w:val="0"/>
              <w:rPr>
                <w:lang w:val="en-US" w:eastAsia="en-US"/>
              </w:rPr>
            </w:pPr>
            <w:r>
              <w:t>Helpfulness + Harmlessness</w:t>
            </w:r>
          </w:p>
        </w:tc>
        <w:tc>
          <w:tcPr>
            <w:tcW w:w="24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2B75D">
            <w:pPr>
              <w:bidi w:val="0"/>
              <w:snapToGrid w:val="0"/>
              <w:rPr>
                <w:lang w:val="en-US" w:eastAsia="en-US"/>
              </w:rPr>
            </w:pPr>
            <w:r>
              <w:t>Reasoning</w:t>
            </w:r>
          </w:p>
        </w:tc>
      </w:tr>
      <w:tr w14:paraId="3873FB1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4F0FE3">
            <w:pPr>
              <w:bidi w:val="0"/>
              <w:snapToGrid w:val="0"/>
              <w:rPr>
                <w:lang w:val="en-US" w:eastAsia="en-US"/>
              </w:rPr>
            </w:pPr>
            <w:r>
              <w:t>是否需要偏好标注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6BFA57">
            <w:pPr>
              <w:bidi w:val="0"/>
              <w:snapToGrid w:val="0"/>
              <w:rPr>
                <w:lang w:val="en-US" w:eastAsia="en-US"/>
              </w:rPr>
            </w:pPr>
            <w:r>
              <w:t>✅ 人类偏好</w:t>
            </w:r>
          </w:p>
        </w:tc>
        <w:tc>
          <w:tcPr>
            <w:tcW w:w="24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6105A">
            <w:pPr>
              <w:bidi w:val="0"/>
              <w:snapToGrid w:val="0"/>
              <w:rPr>
                <w:lang w:val="en-US" w:eastAsia="en-US"/>
              </w:rPr>
            </w:pPr>
            <w:r>
              <w:t>✅ 偏好对</w:t>
            </w:r>
          </w:p>
        </w:tc>
        <w:tc>
          <w:tcPr>
            <w:tcW w:w="24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7FAD02">
            <w:pPr>
              <w:bidi w:val="0"/>
              <w:snapToGrid w:val="0"/>
              <w:rPr>
                <w:lang w:val="en-US" w:eastAsia="en-US"/>
              </w:rPr>
            </w:pPr>
            <w:r>
              <w:t>❌ 自动验证</w:t>
            </w:r>
          </w:p>
        </w:tc>
      </w:tr>
      <w:tr w14:paraId="7C0006A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46E1DC">
            <w:pPr>
              <w:bidi w:val="0"/>
              <w:snapToGrid w:val="0"/>
              <w:rPr>
                <w:lang w:val="en-US" w:eastAsia="en-US"/>
              </w:rPr>
            </w:pPr>
            <w:r>
              <w:t>在线/离线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7B8016">
            <w:pPr>
              <w:bidi w:val="0"/>
              <w:snapToGrid w:val="0"/>
              <w:rPr>
                <w:lang w:val="en-US" w:eastAsia="en-US"/>
              </w:rPr>
            </w:pPr>
            <w:r>
              <w:t>在线（采样→RM→PPO）</w:t>
            </w:r>
          </w:p>
        </w:tc>
        <w:tc>
          <w:tcPr>
            <w:tcW w:w="248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EC78FB">
            <w:pPr>
              <w:bidi w:val="0"/>
              <w:snapToGrid w:val="0"/>
              <w:rPr>
                <w:lang w:val="en-US" w:eastAsia="en-US"/>
              </w:rPr>
            </w:pPr>
            <w:r>
              <w:t>离线（固定数据集）</w:t>
            </w:r>
          </w:p>
        </w:tc>
        <w:tc>
          <w:tcPr>
            <w:tcW w:w="240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C026B5">
            <w:pPr>
              <w:bidi w:val="0"/>
              <w:snapToGrid w:val="0"/>
              <w:rPr>
                <w:lang w:val="en-US" w:eastAsia="en-US"/>
              </w:rPr>
            </w:pPr>
            <w:r>
              <w:t>在线（采样 G 个回复）</w:t>
            </w:r>
          </w:p>
        </w:tc>
      </w:tr>
      <w:tr w14:paraId="4F8F89F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0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75AA9">
            <w:pPr>
              <w:bidi w:val="0"/>
              <w:snapToGrid w:val="0"/>
              <w:rPr>
                <w:lang w:val="en-US" w:eastAsia="en-US"/>
              </w:rPr>
            </w:pPr>
            <w:r>
              <w:t>典型应用</w:t>
            </w:r>
          </w:p>
        </w:tc>
        <w:tc>
          <w:tcPr>
            <w:tcW w:w="255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C797CB">
            <w:pPr>
              <w:bidi w:val="0"/>
              <w:snapToGrid w:val="0"/>
              <w:rPr>
                <w:lang w:val="en-US" w:eastAsia="en-US"/>
              </w:rPr>
            </w:pPr>
            <w:r>
              <w:t>ChatGPT, Claude</w:t>
            </w:r>
          </w:p>
        </w:tc>
        <w:tc>
          <w:tcPr>
            <w:tcW w:w="248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71983">
            <w:pPr>
              <w:bidi w:val="0"/>
              <w:snapToGrid w:val="0"/>
              <w:rPr>
                <w:lang w:val="en-US" w:eastAsia="en-US"/>
              </w:rPr>
            </w:pPr>
            <w:r>
              <w:t>开源模型对齐</w:t>
            </w:r>
          </w:p>
        </w:tc>
        <w:tc>
          <w:tcPr>
            <w:tcW w:w="240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C17BC0">
            <w:pPr>
              <w:bidi w:val="0"/>
              <w:snapToGrid w:val="0"/>
              <w:rPr>
                <w:lang w:val="en-US" w:eastAsia="en-US"/>
              </w:rPr>
            </w:pPr>
            <w:r>
              <w:t>DeepSeek-R1</w:t>
            </w:r>
          </w:p>
        </w:tc>
      </w:tr>
      <w:bookmarkEnd w:id="323"/>
    </w:tbl>
    <w:p w14:paraId="22AC7C08"/>
    <w:bookmarkEnd w:id="322"/>
    <w:p w14:paraId="3FF83721">
      <w:pPr>
        <w:pStyle w:val="4"/>
        <w:bidi w:val="0"/>
      </w:pPr>
      <w:bookmarkStart w:id="324" w:name="_Toc11449"/>
      <w:bookmarkStart w:id="325" w:name="l1ElU"/>
      <w:r>
        <w:t>5.5.1 Alignment 的关键取舍</w:t>
      </w:r>
      <w:bookmarkEnd w:id="324"/>
    </w:p>
    <w:tbl>
      <w:tblPr>
        <w:tblStyle w:val="16"/>
        <w:tblW w:w="92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82"/>
        <w:gridCol w:w="7161"/>
      </w:tblGrid>
      <w:tr w14:paraId="4DC3DC3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8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BCB9F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取舍</w:t>
            </w:r>
          </w:p>
        </w:tc>
        <w:tc>
          <w:tcPr>
            <w:tcW w:w="716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5535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说明</w:t>
            </w:r>
          </w:p>
        </w:tc>
      </w:tr>
      <w:tr w14:paraId="02CB3D8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4A696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326" w:name="u6cfa499c"/>
            <w:r>
              <w:t>Helpfulness vs Harmlessness</w:t>
            </w:r>
          </w:p>
        </w:tc>
        <w:tc>
          <w:tcPr>
            <w:tcW w:w="716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C317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过度追求无害让模型"过度谨慎"——对正常请求也拒绝。需精细平衡</w:t>
            </w:r>
          </w:p>
        </w:tc>
      </w:tr>
      <w:tr w14:paraId="589075B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FC205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Reasoning vs General Helpfulness</w:t>
            </w:r>
          </w:p>
        </w:tc>
        <w:tc>
          <w:tcPr>
            <w:tcW w:w="71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033B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GRPO 增强推理的代价是语言可能变得"机械"（更少的礼貌用语）。需后续 SFT 恢复</w:t>
            </w:r>
          </w:p>
        </w:tc>
      </w:tr>
      <w:tr w14:paraId="504FAFF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38A5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Alignment Tax（对齐税）</w:t>
            </w:r>
          </w:p>
        </w:tc>
        <w:tc>
          <w:tcPr>
            <w:tcW w:w="716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1119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RLHF/DPO 有时小幅降低模型在学术 benchmark 上的分数（典型：MMLU ↓ 1-2%，GSM8K ↓ 2-5%）——这是模型学会了拒绝和"承认不知道"而非"硬答"的正常代价。通过数据质量和多阶段训练最小化</w:t>
            </w:r>
          </w:p>
        </w:tc>
      </w:tr>
      <w:tr w14:paraId="5D41CC9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8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C0A7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在线 vs 离线</w:t>
            </w:r>
          </w:p>
        </w:tc>
        <w:tc>
          <w:tcPr>
            <w:tcW w:w="716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D2EB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在线（PPO/GRPO）能在训练中探索新行为但成本高；离线（DPO）成本低但受限于已有数据</w:t>
            </w:r>
          </w:p>
        </w:tc>
      </w:tr>
      <w:bookmarkEnd w:id="325"/>
      <w:bookmarkEnd w:id="326"/>
    </w:tbl>
    <w:p w14:paraId="052ED1F3">
      <w:pPr>
        <w:pStyle w:val="4"/>
        <w:bidi w:val="0"/>
      </w:pPr>
      <w:bookmarkStart w:id="327" w:name="_Toc31361"/>
      <w:bookmarkStart w:id="328" w:name="rglH6"/>
      <w:r>
        <w:t>5.5.2 最强模型的训练管线</w:t>
      </w:r>
      <w:bookmarkEnd w:id="327"/>
    </w:p>
    <w:bookmarkEnd w:id="328"/>
    <w:p w14:paraId="057640EB">
      <w:pPr>
        <w:bidi w:val="0"/>
        <w:rPr>
          <w:b/>
          <w:bCs/>
        </w:rPr>
      </w:pPr>
      <w:bookmarkStart w:id="329" w:name="u0bfd4186"/>
      <w:r>
        <w:rPr>
          <w:b/>
          <w:bCs/>
        </w:rPr>
        <w:t>Claude（Anthropic）：</w:t>
      </w:r>
    </w:p>
    <w:bookmarkEnd w:id="329"/>
    <w:p w14:paraId="6A335975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330" w:name="o8v2S"/>
      <w:r>
        <w:rPr>
          <w:rFonts w:ascii="宋体" w:hAnsi="Courier New" w:eastAsia="宋体"/>
          <w:color w:val="000000"/>
          <w:sz w:val="20"/>
        </w:rPr>
        <w:t>Pre-training → SFT → Constitutional AI (RLAIF) → RLHF (安全专项)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330"/>
    <w:p w14:paraId="2E7E87C1">
      <w:pPr>
        <w:bidi w:val="0"/>
        <w:ind w:firstLine="843"/>
        <w:rPr>
          <w:b/>
          <w:bCs/>
        </w:rPr>
      </w:pPr>
      <w:bookmarkStart w:id="331" w:name="u60cc39dc"/>
      <w:r>
        <w:rPr>
          <w:b/>
          <w:bCs/>
        </w:rPr>
        <w:t>ChatGPT（OpenAI）：</w:t>
      </w:r>
    </w:p>
    <w:bookmarkEnd w:id="331"/>
    <w:p w14:paraId="03F7F0B2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332" w:name="ImMqQ"/>
      <w:r>
        <w:rPr>
          <w:rFonts w:ascii="宋体" w:hAnsi="Courier New" w:eastAsia="宋体"/>
          <w:color w:val="000000"/>
          <w:sz w:val="20"/>
        </w:rPr>
        <w:t>Pre-training → SFT → RLHF (PPO) → 安全专项 RLHF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332"/>
    <w:p w14:paraId="529491E7">
      <w:pPr>
        <w:bidi w:val="0"/>
        <w:ind w:firstLine="843"/>
        <w:rPr>
          <w:b/>
          <w:bCs/>
        </w:rPr>
      </w:pPr>
      <w:bookmarkStart w:id="333" w:name="ub319ca7f"/>
      <w:r>
        <w:rPr>
          <w:b/>
          <w:bCs/>
        </w:rPr>
        <w:t>DeepSeek-R1（DeepSeek）：</w:t>
      </w:r>
    </w:p>
    <w:bookmarkEnd w:id="333"/>
    <w:p w14:paraId="1ED0CA84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334" w:name="kiQNJ"/>
      <w:r>
        <w:rPr>
          <w:rFonts w:ascii="宋体" w:hAnsi="Courier New" w:eastAsia="宋体"/>
          <w:color w:val="000000"/>
          <w:sz w:val="20"/>
        </w:rPr>
        <w:t>Pre-training → 冷启动 SFT (推理数据) → GRPO (推理专项) → SFT (通用) → 全场景 RL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334"/>
    <w:p w14:paraId="1765DF31">
      <w:pPr>
        <w:spacing w:beforeLines="100" w:after="50" w:line="360" w:lineRule="auto"/>
        <w:ind w:left="0" w:leftChars="0" w:firstLine="0" w:firstLineChars="0"/>
      </w:pPr>
      <w:bookmarkStart w:id="335" w:name="OjHKi"/>
    </w:p>
    <w:bookmarkEnd w:id="335"/>
    <w:p w14:paraId="07948EA7">
      <w:pPr>
        <w:pStyle w:val="2"/>
        <w:bidi w:val="0"/>
      </w:pPr>
      <w:bookmarkStart w:id="336" w:name="_Toc23839"/>
      <w:bookmarkStart w:id="337" w:name="k6Ibu"/>
      <w:r>
        <w:t>6. 第三部分：Evaluation（系统评估）</w:t>
      </w:r>
      <w:bookmarkEnd w:id="336"/>
    </w:p>
    <w:bookmarkEnd w:id="337"/>
    <w:p w14:paraId="61AB9360">
      <w:pPr>
        <w:pStyle w:val="3"/>
        <w:bidi w:val="0"/>
      </w:pPr>
      <w:bookmarkStart w:id="338" w:name="_Toc32016"/>
      <w:bookmarkStart w:id="339" w:name="BlOFq"/>
      <w:r>
        <w:t>6.1 技术概览</w:t>
      </w:r>
      <w:bookmarkEnd w:id="338"/>
    </w:p>
    <w:bookmarkEnd w:id="339"/>
    <w:p w14:paraId="75898691">
      <w:pPr>
        <w:pStyle w:val="4"/>
        <w:bidi w:val="0"/>
      </w:pPr>
      <w:bookmarkStart w:id="340" w:name="_Toc720"/>
      <w:bookmarkStart w:id="341" w:name="wWF4l"/>
      <w:r>
        <w:t>6.1.1 为什么需要系统评估？</w:t>
      </w:r>
      <w:bookmarkEnd w:id="340"/>
    </w:p>
    <w:bookmarkEnd w:id="341"/>
    <w:p w14:paraId="100973F7">
      <w:pPr>
        <w:bidi w:val="0"/>
      </w:pPr>
      <w:bookmarkStart w:id="342" w:name="u35858f05"/>
      <w:r>
        <w:t>大语言模型的 涌现能力（Emergent Abilities） 使得评估成为必须——这些能力在训练前无法被预测，也无法通过简单的 loss 值来衡量。</w:t>
      </w:r>
    </w:p>
    <w:bookmarkEnd w:id="342"/>
    <w:p w14:paraId="70475CAB">
      <w:pPr>
        <w:bidi w:val="0"/>
      </w:pPr>
      <w:bookmarkStart w:id="343" w:name="u5b8bfe9c"/>
      <w:r>
        <w:t>例：GPT-3 在 1.3B 参数时几乎无法做数学推理，但 175B 版本突然具备了 chain-of-thought 推理能力。这种"突然出现"的特性意味着必须系统评估才能发现模型实际具备的能力边界。</w:t>
      </w:r>
    </w:p>
    <w:bookmarkEnd w:id="343"/>
    <w:p w14:paraId="56289B95">
      <w:pPr>
        <w:pStyle w:val="4"/>
        <w:bidi w:val="0"/>
      </w:pPr>
      <w:bookmarkStart w:id="344" w:name="_Toc18958"/>
      <w:bookmarkStart w:id="345" w:name="S6G5C"/>
      <w:r>
        <w:t>6.1.2 评估的八大维度</w:t>
      </w:r>
      <w:bookmarkEnd w:id="344"/>
    </w:p>
    <w:tbl>
      <w:tblPr>
        <w:tblStyle w:val="16"/>
        <w:tblW w:w="9237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842"/>
        <w:gridCol w:w="3719"/>
        <w:gridCol w:w="3676"/>
      </w:tblGrid>
      <w:tr w14:paraId="76AFDC3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B746E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评估维度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DE3C1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示例能力</w:t>
            </w:r>
          </w:p>
        </w:tc>
        <w:tc>
          <w:tcPr>
            <w:tcW w:w="367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F13BA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对应Benchmark</w:t>
            </w:r>
          </w:p>
        </w:tc>
      </w:tr>
      <w:tr w14:paraId="27D4940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109D6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346" w:name="u1c837883"/>
            <w:r>
              <w:t>知识储备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304B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事实记忆、常识推理</w:t>
            </w:r>
          </w:p>
        </w:tc>
        <w:tc>
          <w:tcPr>
            <w:tcW w:w="367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9FDC0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MMLU, Natural Questions</w:t>
            </w:r>
          </w:p>
        </w:tc>
      </w:tr>
      <w:tr w14:paraId="19E172E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8E5E9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数学推理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61382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算术、代数、逻辑推导</w:t>
            </w:r>
          </w:p>
        </w:tc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79862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GSM8K, MATH</w:t>
            </w:r>
          </w:p>
        </w:tc>
      </w:tr>
      <w:tr w14:paraId="73A533C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EA222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代码生成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E989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语法正确性、功能正确性</w:t>
            </w:r>
          </w:p>
        </w:tc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E0E18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HumanEval, MBPP</w:t>
            </w:r>
          </w:p>
        </w:tc>
      </w:tr>
      <w:tr w14:paraId="1277D72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A039F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文本理解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64E38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阅读理解、摘要、翻译</w:t>
            </w:r>
          </w:p>
        </w:tc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53D0A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SQuAD, XSUM, WMT</w:t>
            </w:r>
          </w:p>
        </w:tc>
      </w:tr>
      <w:tr w14:paraId="36FB0A5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0C8FF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安全与对齐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D903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有害内容拒绝、偏见检测</w:t>
            </w:r>
          </w:p>
        </w:tc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1A84E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TruthfulQA, BBQ</w:t>
            </w:r>
          </w:p>
        </w:tc>
      </w:tr>
      <w:tr w14:paraId="271D62C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7E677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指令遵循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E2D0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多轮对话、工具使用</w:t>
            </w:r>
          </w:p>
        </w:tc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FDB1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MT-Bench, API-Bank</w:t>
            </w:r>
          </w:p>
        </w:tc>
      </w:tr>
      <w:tr w14:paraId="659221F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F949E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Agent 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B9928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工具调用、多轮交互</w:t>
            </w:r>
          </w:p>
        </w:tc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F57E1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SWE-bench, AgentBench</w:t>
            </w:r>
          </w:p>
        </w:tc>
      </w:tr>
      <w:tr w14:paraId="2619B65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4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4C51F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多语言</w:t>
            </w:r>
          </w:p>
        </w:tc>
        <w:tc>
          <w:tcPr>
            <w:tcW w:w="371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33BBE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非英语语言能力</w:t>
            </w:r>
          </w:p>
        </w:tc>
        <w:tc>
          <w:tcPr>
            <w:tcW w:w="367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11A44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MMMLU, Flores</w:t>
            </w:r>
          </w:p>
        </w:tc>
      </w:tr>
      <w:bookmarkEnd w:id="346"/>
    </w:tbl>
    <w:p w14:paraId="2BD0B9C0">
      <w:pPr>
        <w:bidi w:val="0"/>
      </w:pPr>
      <w:r>
        <w:rPr>
          <w:rFonts w:hint="eastAsia"/>
        </w:rPr>
        <w:t>🔗 详见《Evaluation Harness 技术深度解析》第 1.2 节：评估多维度的详细说明和第 8 节局限性分析。</w:t>
      </w:r>
    </w:p>
    <w:bookmarkEnd w:id="345"/>
    <w:p w14:paraId="7B8D5066">
      <w:pPr>
        <w:pStyle w:val="4"/>
        <w:bidi w:val="0"/>
      </w:pPr>
      <w:bookmarkStart w:id="347" w:name="_Toc3911"/>
      <w:bookmarkStart w:id="348" w:name="ncgZM"/>
      <w:r>
        <w:t>6.1.3 Benchmark 的数学定义</w:t>
      </w:r>
      <w:bookmarkEnd w:id="347"/>
    </w:p>
    <w:bookmarkEnd w:id="348"/>
    <w:p w14:paraId="5CCE49ED">
      <w:pPr>
        <w:bidi w:val="0"/>
      </w:pPr>
      <w:bookmarkStart w:id="349" w:name="u01c1a4ec"/>
      <w:r>
        <w:t xml:space="preserve">一个 </w:t>
      </w:r>
      <m:oMath>
        <m:r>
          <m:rPr/>
          <w:rPr>
            <w:rFonts w:hint="default" w:ascii="Cambria Math" w:hAnsi="Cambria Math"/>
            <w:sz w:val="24"/>
          </w:rPr>
          <m:t>Benchmark</m:t>
        </m:r>
        <m:r>
          <m:rPr>
            <m:scr m:val="script"/>
          </m:rPr>
          <w:rPr>
            <w:rFonts w:hint="default" w:ascii="Cambria Math" w:hAnsi="Cambria Math" w:eastAsia="MS Mincho"/>
            <w:sz w:val="24"/>
          </w:rPr>
          <m:t>ℬ</m:t>
        </m:r>
      </m:oMath>
      <w:r>
        <w:t xml:space="preserve"> 是一个三元组：</w:t>
      </w:r>
    </w:p>
    <w:bookmarkEnd w:id="349"/>
    <w:p w14:paraId="1BD9DB05">
      <w:pPr>
        <w:bidi w:val="0"/>
      </w:pPr>
      <w:bookmarkStart w:id="350" w:name="u8f94430d"/>
      <m:oMathPara>
        <m:oMath>
          <m:r>
            <m:rPr>
              <m:scr m:val="script"/>
            </m:rPr>
            <w:rPr>
              <w:rFonts w:hint="default" w:ascii="Cambria Math" w:hAnsi="Cambria Math" w:eastAsia="MS Mincho"/>
              <w:sz w:val="24"/>
            </w:rPr>
            <m:t>ℬ</m:t>
          </m:r>
          <m:r>
            <m:rPr/>
            <w:rPr>
              <w:rFonts w:hint="default" w:ascii="Cambria Math" w:hAnsi="Cambria Math"/>
              <w:sz w:val="24"/>
            </w:rPr>
            <m:t>=(</m:t>
          </m:r>
          <m:r>
            <m:rPr>
              <m:scr m:val="script"/>
            </m:rPr>
            <w:rPr>
              <w:rFonts w:hint="default" w:ascii="Cambria Math" w:hAnsi="Cambria Math" w:eastAsia="MS Mincho"/>
              <w:sz w:val="24"/>
            </w:rPr>
            <m:t>D</m:t>
          </m:r>
          <m:r>
            <m:rPr/>
            <w:rPr>
              <w:rFonts w:hint="default" w:ascii="Cambria Math" w:hAnsi="Cambria Math"/>
              <w:sz w:val="24"/>
            </w:rPr>
            <m:t>,</m:t>
          </m:r>
          <m:r>
            <m:rPr>
              <m:scr m:val="script"/>
            </m:rPr>
            <w:rPr>
              <w:rFonts w:hint="default" w:ascii="Cambria Math" w:hAnsi="Cambria Math" w:eastAsia="MS Mincho"/>
              <w:sz w:val="24"/>
            </w:rPr>
            <m:t>T</m:t>
          </m:r>
          <m:r>
            <m:rPr/>
            <w:rPr>
              <w:rFonts w:hint="default" w:ascii="Cambria Math" w:hAnsi="Cambria Math"/>
              <w:sz w:val="24"/>
            </w:rPr>
            <m:t>,</m:t>
          </m:r>
          <m:r>
            <m:rPr>
              <m:scr m:val="script"/>
            </m:rPr>
            <w:rPr>
              <w:rFonts w:hint="default" w:ascii="Cambria Math" w:hAnsi="Cambria Math" w:eastAsia="MS Mincho"/>
              <w:sz w:val="24"/>
            </w:rPr>
            <m:t>ℳ</m:t>
          </m:r>
          <m:r>
            <m:rPr/>
            <w:rPr>
              <w:rFonts w:hint="default" w:ascii="Cambria Math" w:hAnsi="Cambria Math"/>
              <w:sz w:val="24"/>
            </w:rPr>
            <m:t>)</m:t>
          </m:r>
        </m:oMath>
      </m:oMathPara>
    </w:p>
    <w:bookmarkEnd w:id="350"/>
    <w:p w14:paraId="704B6B7A">
      <w:pPr>
        <w:bidi w:val="0"/>
      </w:pPr>
      <w:bookmarkStart w:id="351" w:name="uafd06b1c"/>
      <w:r>
        <w:t>其中：</w:t>
      </w:r>
    </w:p>
    <w:bookmarkEnd w:id="351"/>
    <w:p w14:paraId="1AA7D945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m:oMath>
        <w:bookmarkStart w:id="352" w:name="u7ddbea1d"/>
        <m:r>
          <m:rPr>
            <m:scr m:val="script"/>
          </m:rPr>
          <w:rPr>
            <w:rFonts w:hint="default" w:ascii="Cambria Math" w:hAnsi="Cambria Math" w:eastAsia="MS Mincho"/>
            <w:sz w:val="24"/>
          </w:rPr>
          <m:t>D</m:t>
        </m:r>
      </m:oMath>
      <w:r>
        <w:t>：数据集（输入-输出对）</w:t>
      </w:r>
    </w:p>
    <w:bookmarkEnd w:id="352"/>
    <w:p w14:paraId="0EC3FED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bookmarkStart w:id="353" w:name="u552af5ff"/>
      <m:oMath>
        <m:r>
          <m:rPr>
            <m:scr m:val="script"/>
          </m:rPr>
          <w:rPr>
            <w:rFonts w:hint="default" w:ascii="Cambria Math" w:hAnsi="Cambria Math" w:eastAsia="MS Mincho"/>
            <w:sz w:val="24"/>
          </w:rPr>
          <m:t>T</m:t>
        </m:r>
      </m:oMath>
      <w:r>
        <w:t>：任务类型定义（prompt 模板、输出格式）</w:t>
      </w:r>
    </w:p>
    <w:bookmarkEnd w:id="353"/>
    <w:p w14:paraId="02A8026F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80" w:firstLineChars="200"/>
        <w:textAlignment w:val="auto"/>
      </w:pPr>
      <w:bookmarkStart w:id="354" w:name="uc3d15618"/>
      <m:oMath>
        <m:r>
          <m:rPr>
            <m:scr m:val="script"/>
          </m:rPr>
          <w:rPr>
            <w:rFonts w:hint="default" w:ascii="Cambria Math" w:hAnsi="Cambria Math" w:eastAsia="MS Mincho"/>
            <w:sz w:val="24"/>
          </w:rPr>
          <m:t>ℳ</m:t>
        </m:r>
      </m:oMath>
      <w:r>
        <w:t>：评价指标集合（metric 定义和聚合方式）</w:t>
      </w:r>
    </w:p>
    <w:bookmarkEnd w:id="354"/>
    <w:p w14:paraId="25170C1B">
      <w:pPr>
        <w:pStyle w:val="4"/>
        <w:bidi w:val="0"/>
      </w:pPr>
      <w:bookmarkStart w:id="355" w:name="_Toc16748"/>
      <w:bookmarkStart w:id="356" w:name="Jogno"/>
      <w:r>
        <w:t>6.1.4 两种评估模式的数学对比</w:t>
      </w:r>
      <w:bookmarkEnd w:id="355"/>
    </w:p>
    <w:bookmarkEnd w:id="356"/>
    <w:p w14:paraId="3A8AA128">
      <w:pPr>
        <w:bidi w:val="0"/>
      </w:pPr>
      <w:bookmarkStart w:id="357" w:name="u22c4b62b"/>
      <w:r>
        <w:t>Log-likelihood 评估：</w:t>
      </w:r>
    </w:p>
    <w:bookmarkEnd w:id="357"/>
    <w:p w14:paraId="062CE273">
      <w:pPr>
        <w:bidi w:val="0"/>
      </w:pPr>
      <w:bookmarkStart w:id="358" w:name="u0c839af0"/>
      <m:oMathPara>
        <m:oMath>
          <m:r>
            <m:rPr/>
            <w:rPr>
              <w:rFonts w:hint="default" w:ascii="Cambria Math" w:hAnsi="Cambria Math"/>
              <w:sz w:val="24"/>
            </w:rPr>
            <m:t>score(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a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)=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4"/>
                </w:rPr>
                <m:t>t=1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|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a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i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|</m:t>
              </m:r>
              <m:ctrlPr>
                <w:rPr>
                  <w:rFonts w:hint="default" w:ascii="Cambria Math" w:hAnsi="Cambria Math"/>
                  <w:sz w:val="24"/>
                </w:rPr>
              </m:ctrlPr>
            </m:sup>
            <m:e>
              <m:func>
                <m:funcPr>
                  <m:ctrlPr>
                    <w:rPr>
                      <w:rFonts w:hint="default" w:ascii="Cambria Math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</w:rPr>
                    <m:t>log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fName>
                <m:e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func>
              <m:ctrlPr>
                <w:rPr>
                  <w:rFonts w:hint="default" w:ascii="Cambria Math" w:hAnsi="Cambria Math"/>
                  <w:sz w:val="24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</w:rPr>
            <m:t>P(</m:t>
          </m:r>
          <m:sSubSup>
            <m:sSubSupPr>
              <m:ctrlPr>
                <w:rPr>
                  <w:rFonts w:hint="default" w:ascii="Cambria Math" w:hAnsi="Cambria Math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4"/>
                </w:rPr>
                <m:t>a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(t)</m:t>
              </m:r>
              <m:ctrlPr>
                <w:rPr>
                  <w:rFonts w:hint="default" w:ascii="Cambria Math" w:hAnsi="Cambria Math"/>
                  <w:sz w:val="24"/>
                </w:rPr>
              </m:ctrlPr>
            </m:sup>
          </m:sSubSup>
          <m:r>
            <m:rPr/>
            <w:rPr>
              <w:rFonts w:hint="default" w:ascii="Cambria Math" w:hAnsi="Cambria Math"/>
              <w:sz w:val="24"/>
            </w:rPr>
            <m:t>|c,</m:t>
          </m:r>
          <m:sSubSup>
            <m:sSubSupPr>
              <m:ctrlPr>
                <w:rPr>
                  <w:rFonts w:hint="default" w:ascii="Cambria Math" w:hAnsi="Cambria Math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4"/>
                </w:rPr>
                <m:t>a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i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(&lt;t)</m:t>
              </m:r>
              <m:ctrlPr>
                <w:rPr>
                  <w:rFonts w:hint="default" w:ascii="Cambria Math" w:hAnsi="Cambria Math"/>
                  <w:sz w:val="24"/>
                </w:rPr>
              </m:ctrlPr>
            </m:sup>
          </m:sSubSup>
          <m:r>
            <m:rPr/>
            <w:rPr>
              <w:rFonts w:hint="default" w:ascii="Cambria Math" w:hAnsi="Cambria Math"/>
              <w:sz w:val="24"/>
            </w:rPr>
            <m:t>;θ)</m:t>
          </m:r>
        </m:oMath>
      </m:oMathPara>
    </w:p>
    <w:bookmarkEnd w:id="358"/>
    <w:p w14:paraId="2DA4C843">
      <w:pPr>
        <w:bidi w:val="0"/>
      </w:pPr>
      <w:bookmarkStart w:id="359" w:name="u8891d807"/>
      <w:r>
        <w:t xml:space="preserve">选择得分最高的候选项 </w:t>
      </w:r>
      <m:oMath>
        <m:func>
          <m:funcPr>
            <m:ctrlPr>
              <w:rPr>
                <w:rFonts w:hint="default" w:ascii="Cambria Math" w:hAnsi="Cambria Math"/>
                <w:sz w:val="24"/>
              </w:rPr>
            </m:ctrlPr>
          </m:funcPr>
          <m:fName>
            <m:r>
              <m:rPr>
                <m:sty m:val="p"/>
              </m:rPr>
              <w:rPr>
                <w:rFonts w:hint="default" w:ascii="Cambria Math" w:hAnsi="Cambria Math"/>
                <w:sz w:val="24"/>
              </w:rPr>
              <m:t>arg</m:t>
            </m:r>
            <m:ctrlPr>
              <w:rPr>
                <w:rFonts w:ascii="Cambria Math" w:hAnsi="Cambria Math"/>
                <w:sz w:val="24"/>
              </w:rPr>
            </m:ctrlPr>
          </m:fName>
          <m:e>
            <m:func>
              <m:funcPr>
                <m:ctrlPr>
                  <w:rPr>
                    <w:rFonts w:hint="default" w:ascii="Cambria Math" w:hAnsi="Cambria Math"/>
                    <w:sz w:val="24"/>
                  </w:rPr>
                </m:ctrlPr>
              </m:funcPr>
              <m:fName>
                <m:limLow>
                  <m:limLowPr>
                    <m:ctrlPr>
                      <w:rPr>
                        <w:rFonts w:hint="default" w:ascii="Cambria Math" w:hAnsi="Cambria Math"/>
                        <w:sz w:val="24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</w:rPr>
                      <m:t>max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e>
                  <m:lim>
                    <m:r>
                      <m:rPr/>
                      <w:rPr>
                        <w:rFonts w:hint="default" w:ascii="Cambria Math" w:hAnsi="Cambria Math"/>
                        <w:sz w:val="24"/>
                      </w:rPr>
                      <m:t>i</m:t>
                    </m:r>
                    <m:ctrlPr>
                      <w:rPr>
                        <w:rFonts w:ascii="Cambria Math" w:hAnsi="Cambria Math"/>
                        <w:sz w:val="24"/>
                      </w:rPr>
                    </m:ctrlPr>
                  </m:lim>
                </m:limLow>
                <m:ctrlPr>
                  <w:rPr>
                    <w:rFonts w:hint="default" w:ascii="Cambria Math" w:hAnsi="Cambria Math"/>
                    <w:sz w:val="24"/>
                  </w:rPr>
                </m:ctrlPr>
              </m:fName>
              <m:e>
                <m:ctrlPr>
                  <w:rPr>
                    <w:rFonts w:hint="default" w:ascii="Cambria Math" w:hAnsi="Cambria Math"/>
                    <w:sz w:val="24"/>
                  </w:rPr>
                </m:ctrlPr>
              </m:e>
            </m:func>
            <m:ctrlPr>
              <w:rPr>
                <w:rFonts w:hint="default" w:ascii="Cambria Math" w:hAnsi="Cambria Math"/>
                <w:sz w:val="24"/>
              </w:rPr>
            </m:ctrlPr>
          </m:e>
        </m:func>
        <m:r>
          <m:rPr/>
          <w:rPr>
            <w:rFonts w:hint="default" w:ascii="Cambria Math" w:hAnsi="Cambria Math"/>
            <w:sz w:val="24"/>
          </w:rPr>
          <m:t>score(</m:t>
        </m:r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a</m:t>
            </m:r>
            <m:ctrlPr>
              <w:rPr>
                <w:rFonts w:hint="default"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i</m:t>
            </m:r>
            <m:ctrlPr>
              <w:rPr>
                <w:rFonts w:hint="default" w:ascii="Cambria Math" w:hAnsi="Cambria Math"/>
                <w:sz w:val="24"/>
              </w:rPr>
            </m:ctrlPr>
          </m:sub>
        </m:sSub>
        <m:r>
          <m:rPr/>
          <w:rPr>
            <w:rFonts w:hint="default" w:ascii="Cambria Math" w:hAnsi="Cambria Math"/>
            <w:sz w:val="24"/>
          </w:rPr>
          <m:t>)</m:t>
        </m:r>
      </m:oMath>
      <w:r>
        <w:t>。</w:t>
      </w:r>
    </w:p>
    <w:bookmarkEnd w:id="359"/>
    <w:p w14:paraId="5F58D025">
      <w:pPr>
        <w:bidi w:val="0"/>
      </w:pPr>
      <w:bookmarkStart w:id="360" w:name="u25d18526"/>
      <w:r>
        <w:t>生成式评估：</w:t>
      </w:r>
    </w:p>
    <w:bookmarkEnd w:id="360"/>
    <w:p w14:paraId="22B074B5">
      <w:pPr>
        <w:bidi w:val="0"/>
      </w:pPr>
      <m:oMathPara>
        <m:oMath>
          <m:acc>
            <w:bookmarkStart w:id="361" w:name="u8fc4f634"/>
            <m:accPr>
              <m:ctrlPr>
                <w:rPr>
                  <w:rFonts w:hint="default" w:ascii="Cambria Math" w:hAnsi="Cambria Math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4"/>
                </w:rPr>
                <m:t>y</m:t>
              </m:r>
              <m:ctrlPr>
                <w:rPr>
                  <w:rFonts w:ascii="Cambria Math" w:hAnsi="Cambria Math"/>
                  <w:sz w:val="24"/>
                </w:rPr>
              </m:ctrlPr>
            </m:e>
          </m:acc>
          <m:r>
            <m:rPr/>
            <w:rPr>
              <w:rFonts w:hint="default" w:ascii="Cambria Math" w:hAnsi="Cambria Math"/>
              <w:sz w:val="24"/>
            </w:rPr>
            <m:t>=</m:t>
          </m:r>
          <m:func>
            <m:funcPr>
              <m:ctrlPr>
                <w:rPr>
                  <w:rFonts w:hint="default" w:ascii="Cambria Math" w:hAnsi="Cambria Math"/>
                  <w:sz w:val="24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4"/>
                </w:rPr>
                <m:t>arg</m:t>
              </m:r>
              <m:ctrlPr>
                <w:rPr>
                  <w:rFonts w:ascii="Cambria Math" w:hAnsi="Cambria Math"/>
                  <w:sz w:val="24"/>
                </w:rPr>
              </m:ctrlPr>
            </m:fName>
            <m:e>
              <m:func>
                <m:funcPr>
                  <m:ctrlPr>
                    <w:rPr>
                      <w:rFonts w:hint="default" w:ascii="Cambria Math" w:hAnsi="Cambria Math"/>
                      <w:sz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</w:rPr>
                        <m:t>max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lim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y:len(y)&lt;L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lim>
                  </m:limLow>
                  <m:ctrlPr>
                    <w:rPr>
                      <w:rFonts w:hint="default" w:ascii="Cambria Math" w:hAnsi="Cambria Math"/>
                      <w:sz w:val="24"/>
                    </w:rPr>
                  </m:ctrlPr>
                </m:fName>
                <m:e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func>
              <m:ctrlPr>
                <w:rPr>
                  <w:rFonts w:hint="default" w:ascii="Cambria Math" w:hAnsi="Cambria Math"/>
                  <w:sz w:val="24"/>
                </w:rPr>
              </m:ctrlPr>
            </m:e>
          </m:func>
          <m:r>
            <m:rPr/>
            <w:rPr>
              <w:rFonts w:hint="default" w:ascii="Cambria Math" w:hAnsi="Cambria Math"/>
              <w:sz w:val="24"/>
            </w:rPr>
            <m:t>P(y|x;θ) (greedydecoding)</m:t>
          </m:r>
        </m:oMath>
      </m:oMathPara>
    </w:p>
    <w:bookmarkEnd w:id="361"/>
    <w:p w14:paraId="0A9C30B6">
      <w:pPr>
        <w:bidi w:val="0"/>
      </w:pPr>
      <w:bookmarkStart w:id="362" w:name="u404dae19"/>
      <w:r>
        <w:t xml:space="preserve">然后提取答案与参考答案 </w:t>
      </w:r>
      <m:oMath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acc>
              <m:accPr>
                <m:ctrlPr>
                  <w:rPr>
                    <w:rFonts w:hint="default" w:ascii="Cambria Math" w:hAnsi="Cambria Math"/>
                    <w:sz w:val="24"/>
                  </w:rPr>
                </m:ctrlPr>
              </m:accPr>
              <m:e>
                <m:r>
                  <m:rPr/>
                  <w:rPr>
                    <w:rFonts w:hint="default" w:ascii="Cambria Math" w:hAnsi="Cambria Math"/>
                    <w:sz w:val="24"/>
                  </w:rPr>
                  <m:t>y</m:t>
                </m:r>
                <m:ctrlPr>
                  <w:rPr>
                    <w:rFonts w:ascii="Cambria Math" w:hAnsi="Cambria Math"/>
                    <w:sz w:val="24"/>
                  </w:rPr>
                </m:ctrlPr>
              </m:e>
            </m:acc>
            <m:ctrlPr>
              <w:rPr>
                <w:rFonts w:hint="default"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∗</m:t>
            </m:r>
            <m:ctrlPr>
              <w:rPr>
                <w:rFonts w:hint="default" w:ascii="Cambria Math" w:hAnsi="Cambria Math"/>
                <w:sz w:val="24"/>
              </w:rPr>
            </m:ctrlPr>
          </m:sup>
        </m:sSup>
      </m:oMath>
      <w:r>
        <w:t xml:space="preserve"> 比较。</w:t>
      </w:r>
    </w:p>
    <w:tbl>
      <w:tblPr>
        <w:tblStyle w:val="16"/>
        <w:tblW w:w="9239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929"/>
        <w:gridCol w:w="3288"/>
        <w:gridCol w:w="4022"/>
      </w:tblGrid>
      <w:tr w14:paraId="4E831BB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CB8032">
            <w:pPr>
              <w:bidi w:val="0"/>
              <w:snapToGrid w:val="0"/>
              <w:rPr>
                <w:lang w:val="en-US" w:eastAsia="en-US"/>
              </w:rPr>
            </w:pPr>
            <w:r>
              <w:t>特性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5B001">
            <w:pPr>
              <w:bidi w:val="0"/>
              <w:snapToGrid w:val="0"/>
              <w:rPr>
                <w:lang w:val="en-US" w:eastAsia="en-US"/>
              </w:rPr>
            </w:pPr>
            <w:r>
              <w:t>Log-likelihood</w:t>
            </w:r>
          </w:p>
        </w:tc>
        <w:tc>
          <w:tcPr>
            <w:tcW w:w="402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556E40">
            <w:pPr>
              <w:bidi w:val="0"/>
              <w:snapToGrid w:val="0"/>
              <w:rPr>
                <w:lang w:val="en-US" w:eastAsia="en-US"/>
              </w:rPr>
            </w:pPr>
            <w:r>
              <w:t>生成式</w:t>
            </w:r>
          </w:p>
        </w:tc>
      </w:tr>
      <w:tr w14:paraId="00806E4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3C10B">
            <w:pPr>
              <w:bidi w:val="0"/>
              <w:snapToGrid w:val="0"/>
              <w:rPr>
                <w:lang w:val="en-US" w:eastAsia="en-US"/>
              </w:rPr>
            </w:pPr>
            <w:bookmarkStart w:id="363" w:name="ud41b14bd"/>
            <w:r>
              <w:t>计算方式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C26F17">
            <w:pPr>
              <w:bidi w:val="0"/>
              <w:snapToGrid w:val="0"/>
              <w:rPr>
                <w:lang w:val="en-US" w:eastAsia="en-US"/>
              </w:rPr>
            </w:pPr>
            <w:r>
              <w:t>单次前向传播</w:t>
            </w:r>
          </w:p>
        </w:tc>
        <w:tc>
          <w:tcPr>
            <w:tcW w:w="402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3D625A">
            <w:pPr>
              <w:bidi w:val="0"/>
              <w:snapToGrid w:val="0"/>
              <w:rPr>
                <w:lang w:val="en-US" w:eastAsia="en-US"/>
              </w:rPr>
            </w:pPr>
            <w:r>
              <w:t>自回归逐步生成</w:t>
            </w:r>
          </w:p>
        </w:tc>
      </w:tr>
      <w:tr w14:paraId="78D9909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1FBF3B">
            <w:pPr>
              <w:bidi w:val="0"/>
              <w:snapToGrid w:val="0"/>
              <w:rPr>
                <w:lang w:val="en-US" w:eastAsia="en-US"/>
              </w:rPr>
            </w:pPr>
            <w:r>
              <w:t>速度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EB6E27">
            <w:pPr>
              <w:bidi w:val="0"/>
              <w:snapToGrid w:val="0"/>
              <w:rPr>
                <w:lang w:val="en-US" w:eastAsia="en-US"/>
              </w:rPr>
            </w:pPr>
            <w:r>
              <w:t>快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5DE5FA">
            <w:pPr>
              <w:bidi w:val="0"/>
              <w:snapToGrid w:val="0"/>
              <w:rPr>
                <w:lang w:val="en-US" w:eastAsia="en-US"/>
              </w:rPr>
            </w:pPr>
            <w:r>
              <w:t>慢 10-100×</w:t>
            </w:r>
          </w:p>
        </w:tc>
      </w:tr>
      <w:tr w14:paraId="44CDD35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45AB0F">
            <w:pPr>
              <w:bidi w:val="0"/>
              <w:snapToGrid w:val="0"/>
              <w:rPr>
                <w:lang w:val="en-US" w:eastAsia="en-US"/>
              </w:rPr>
            </w:pPr>
            <w:r>
              <w:t>确定性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DBF9FA">
            <w:pPr>
              <w:bidi w:val="0"/>
              <w:snapToGrid w:val="0"/>
              <w:rPr>
                <w:lang w:val="en-US" w:eastAsia="en-US"/>
              </w:rPr>
            </w:pPr>
            <w:r>
              <w:t>完全确定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C0A03B">
            <w:pPr>
              <w:bidi w:val="0"/>
              <w:snapToGrid w:val="0"/>
              <w:rPr>
                <w:lang w:val="en-US" w:eastAsia="en-US"/>
              </w:rPr>
            </w:pPr>
            <w:r>
              <w:t>受采样策略影响</w:t>
            </w:r>
          </w:p>
        </w:tc>
      </w:tr>
      <w:tr w14:paraId="15C1AEC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66EDBB">
            <w:pPr>
              <w:bidi w:val="0"/>
              <w:snapToGrid w:val="0"/>
              <w:rPr>
                <w:lang w:val="en-US" w:eastAsia="en-US"/>
              </w:rPr>
            </w:pPr>
            <w:r>
              <w:t>真实匹配度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BDEA7C">
            <w:pPr>
              <w:bidi w:val="0"/>
              <w:snapToGrid w:val="0"/>
              <w:rPr>
                <w:lang w:val="en-US" w:eastAsia="en-US"/>
              </w:rPr>
            </w:pPr>
            <w:r>
              <w:t>低</w:t>
            </w:r>
          </w:p>
        </w:tc>
        <w:tc>
          <w:tcPr>
            <w:tcW w:w="402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21A6EB">
            <w:pPr>
              <w:bidi w:val="0"/>
              <w:snapToGrid w:val="0"/>
              <w:rPr>
                <w:lang w:val="en-US" w:eastAsia="en-US"/>
              </w:rPr>
            </w:pPr>
            <w:r>
              <w:t>高</w:t>
            </w:r>
          </w:p>
        </w:tc>
      </w:tr>
      <w:tr w14:paraId="1CF734E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2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C6E390">
            <w:pPr>
              <w:bidi w:val="0"/>
              <w:snapToGrid w:val="0"/>
              <w:rPr>
                <w:lang w:val="en-US" w:eastAsia="en-US"/>
              </w:rPr>
            </w:pPr>
            <w:r>
              <w:t>适用任务</w:t>
            </w:r>
          </w:p>
        </w:tc>
        <w:tc>
          <w:tcPr>
            <w:tcW w:w="328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85E45">
            <w:pPr>
              <w:bidi w:val="0"/>
              <w:snapToGrid w:val="0"/>
              <w:rPr>
                <w:lang w:val="en-US" w:eastAsia="en-US"/>
              </w:rPr>
            </w:pPr>
            <w:r>
              <w:t>MMLU, ARC, HellaSwag</w:t>
            </w:r>
          </w:p>
        </w:tc>
        <w:tc>
          <w:tcPr>
            <w:tcW w:w="402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06C1C">
            <w:pPr>
              <w:bidi w:val="0"/>
              <w:snapToGrid w:val="0"/>
              <w:rPr>
                <w:lang w:val="en-US" w:eastAsia="en-US"/>
              </w:rPr>
            </w:pPr>
            <w:r>
              <w:t>GSM8K, HumanEval, MT-Bench</w:t>
            </w:r>
          </w:p>
        </w:tc>
      </w:tr>
      <w:bookmarkEnd w:id="363"/>
    </w:tbl>
    <w:p w14:paraId="0EE15408">
      <w:pPr>
        <w:bidi w:val="0"/>
      </w:pPr>
    </w:p>
    <w:bookmarkEnd w:id="362"/>
    <w:p w14:paraId="357A71BF">
      <w:pPr>
        <w:pStyle w:val="3"/>
        <w:bidi w:val="0"/>
      </w:pPr>
      <w:bookmarkStart w:id="364" w:name="_Toc28026"/>
      <w:bookmarkStart w:id="365" w:name="LKY1g"/>
      <w:r>
        <w:t>6.2 核心指标详解</w:t>
      </w:r>
      <w:bookmarkEnd w:id="364"/>
    </w:p>
    <w:bookmarkEnd w:id="365"/>
    <w:p w14:paraId="4554BAEB">
      <w:pPr>
        <w:pStyle w:val="4"/>
        <w:bidi w:val="0"/>
      </w:pPr>
      <w:bookmarkStart w:id="366" w:name="_Toc2573"/>
      <w:bookmarkStart w:id="367" w:name="MhDai"/>
      <w:r>
        <w:t>6.2.1 分类型指标</w:t>
      </w:r>
      <w:bookmarkEnd w:id="366"/>
    </w:p>
    <w:bookmarkEnd w:id="367"/>
    <w:p w14:paraId="463FF59E">
      <w:pPr>
        <w:bidi w:val="0"/>
      </w:pPr>
      <w:bookmarkStart w:id="368" w:name="u939c0f64"/>
      <w:r>
        <w:t>Accuracy（准确率）：</w:t>
      </w:r>
    </w:p>
    <w:bookmarkEnd w:id="368"/>
    <w:p w14:paraId="3BC1023A">
      <w:pPr>
        <w:bidi w:val="0"/>
      </w:pPr>
      <w:bookmarkStart w:id="369" w:name="ub3ee16bd"/>
      <m:oMathPara>
        <m:oMath>
          <m:r>
            <m:rPr/>
            <w:rPr>
              <w:rFonts w:hint="default" w:ascii="Cambria Math" w:hAnsi="Cambria Math"/>
              <w:sz w:val="24"/>
            </w:rPr>
            <m:t>acc=</m:t>
          </m:r>
          <m:f>
            <m:fPr>
              <m:ctrlPr>
                <w:rPr>
                  <w:rFonts w:hint="default" w:ascii="Cambria Math" w:hAnsi="Cambria Math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正确预测数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总预测数</m:t>
              </m:r>
              <m:ctrlPr>
                <w:rPr>
                  <w:rFonts w:ascii="Cambria Math" w:hAnsi="Cambria Math"/>
                  <w:sz w:val="24"/>
                </w:rPr>
              </m:ctrlPr>
            </m:den>
          </m:f>
        </m:oMath>
      </m:oMathPara>
    </w:p>
    <w:bookmarkEnd w:id="369"/>
    <w:p w14:paraId="2F34F66F">
      <w:pPr>
        <w:bidi w:val="0"/>
      </w:pPr>
      <w:bookmarkStart w:id="370" w:name="u8e87dd7c"/>
      <w:r>
        <w:t>F1 Score：</w:t>
      </w:r>
    </w:p>
    <w:bookmarkEnd w:id="370"/>
    <w:p w14:paraId="71A95B7B">
      <w:pPr>
        <w:bidi w:val="0"/>
      </w:pPr>
      <w:bookmarkStart w:id="371" w:name="u097374b7"/>
      <m:oMathPara>
        <m:oMath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F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=2⋅</m:t>
          </m:r>
          <m:f>
            <m:fPr>
              <m:ctrlPr>
                <w:rPr>
                  <w:rFonts w:hint="default" w:ascii="Cambria Math" w:hAnsi="Cambria Math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Precision⋅Recall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Precision+Recall</m:t>
              </m:r>
              <m:ctrlPr>
                <w:rPr>
                  <w:rFonts w:ascii="Cambria Math" w:hAnsi="Cambria Math"/>
                  <w:sz w:val="24"/>
                </w:rPr>
              </m:ctrlPr>
            </m:den>
          </m:f>
        </m:oMath>
      </m:oMathPara>
    </w:p>
    <w:bookmarkEnd w:id="371"/>
    <w:p w14:paraId="360E6244">
      <w:pPr>
        <w:pStyle w:val="4"/>
        <w:bidi w:val="0"/>
      </w:pPr>
      <w:bookmarkStart w:id="372" w:name="_Toc22930"/>
      <w:bookmarkStart w:id="373" w:name="iXVl3"/>
      <w:r>
        <w:t>6.2.2 生成型指标</w:t>
      </w:r>
      <w:bookmarkEnd w:id="372"/>
    </w:p>
    <w:bookmarkEnd w:id="373"/>
    <w:p w14:paraId="3FF0EE66">
      <w:pPr>
        <w:bidi w:val="0"/>
      </w:pPr>
      <w:bookmarkStart w:id="374" w:name="ue3fbe75a"/>
      <w:r>
        <w:t>Exact Match (EM)：</w:t>
      </w:r>
    </w:p>
    <w:bookmarkEnd w:id="374"/>
    <w:p w14:paraId="43CEC1A2">
      <w:pPr>
        <w:bidi w:val="0"/>
      </w:pPr>
      <m:oMathPara>
        <m:oMath>
          <w:bookmarkStart w:id="375" w:name="ueb38e66a"/>
          <m:r>
            <m:rPr/>
            <w:rPr>
              <w:rFonts w:hint="default" w:ascii="Cambria Math" w:hAnsi="Cambria Math"/>
              <w:sz w:val="24"/>
            </w:rPr>
            <m:t>EM=</m:t>
          </m:r>
          <m:r>
            <m:rPr>
              <m:scr m:val="double-struck"/>
            </m:rPr>
            <w:rPr>
              <w:rFonts w:hint="default" w:ascii="Cambria Math" w:hAnsi="Cambria Math" w:eastAsia="MS Mincho"/>
              <w:sz w:val="24"/>
            </w:rPr>
            <m:t>1</m:t>
          </m:r>
          <m:r>
            <m:rPr/>
            <w:rPr>
              <w:rFonts w:hint="default" w:ascii="Cambria Math" w:hAnsi="Cambria Math"/>
              <w:sz w:val="24"/>
            </w:rPr>
            <m:t>[norm(</m:t>
          </m:r>
          <m:acc>
            <m:accPr>
              <m:ctrlPr>
                <w:rPr>
                  <w:rFonts w:hint="default" w:ascii="Cambria Math" w:hAnsi="Cambria Math"/>
                  <w:sz w:val="24"/>
                </w:rPr>
              </m:ctrlPr>
            </m:accPr>
            <m:e>
              <m:r>
                <m:rPr/>
                <w:rPr>
                  <w:rFonts w:hint="default" w:ascii="Cambria Math" w:hAnsi="Cambria Math"/>
                  <w:sz w:val="24"/>
                </w:rPr>
                <m:t>y</m:t>
              </m:r>
              <m:ctrlPr>
                <w:rPr>
                  <w:rFonts w:ascii="Cambria Math" w:hAnsi="Cambria Math"/>
                  <w:sz w:val="24"/>
                </w:rPr>
              </m:ctrlPr>
            </m:e>
          </m:acc>
          <m:r>
            <m:rPr/>
            <w:rPr>
              <w:rFonts w:hint="default" w:ascii="Cambria Math" w:hAnsi="Cambria Math"/>
              <w:sz w:val="24"/>
            </w:rPr>
            <m:t>)=norm(</m:t>
          </m:r>
          <m:sSup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</w:rPr>
                <m:t>y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∗</m:t>
              </m:r>
              <m:ctrlPr>
                <w:rPr>
                  <w:rFonts w:ascii="Cambria Math" w:hAnsi="Cambria Math"/>
                  <w:sz w:val="24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</w:rPr>
            <m:t>)]</m:t>
          </m:r>
        </m:oMath>
      </m:oMathPara>
    </w:p>
    <w:bookmarkEnd w:id="375"/>
    <w:p w14:paraId="165DAA9F">
      <w:pPr>
        <w:bidi w:val="0"/>
      </w:pPr>
      <w:bookmarkStart w:id="376" w:name="ue4af529f"/>
      <w:r>
        <w:t xml:space="preserve">其中 </w:t>
      </w:r>
      <m:oMath>
        <m:r>
          <m:rPr/>
          <w:rPr>
            <w:rFonts w:hint="default" w:ascii="Cambria Math" w:hAnsi="Cambria Math"/>
            <w:sz w:val="24"/>
          </w:rPr>
          <m:t>norm(⋅)</m:t>
        </m:r>
      </m:oMath>
      <w:r>
        <w:t>包含去除空格、标点等标准化操作。</w:t>
      </w:r>
    </w:p>
    <w:bookmarkEnd w:id="376"/>
    <w:p w14:paraId="6BF49217">
      <w:pPr>
        <w:bidi w:val="0"/>
      </w:pPr>
      <w:bookmarkStart w:id="377" w:name="u86086a4a"/>
      <w:r>
        <w:t>BLEU（n-gram 精确度）：</w:t>
      </w:r>
    </w:p>
    <w:bookmarkEnd w:id="377"/>
    <w:p w14:paraId="74E2CD14">
      <w:pPr>
        <w:bidi w:val="0"/>
      </w:pPr>
      <m:oMathPara>
        <m:oMath>
          <w:bookmarkStart w:id="378" w:name="u1806a76d"/>
          <m:r>
            <m:rPr/>
            <w:rPr>
              <w:rFonts w:hint="default" w:ascii="Cambria Math" w:hAnsi="Cambria Math"/>
              <w:sz w:val="24"/>
            </w:rPr>
            <m:t>BLEU=BP⋅exp</m:t>
          </m:r>
          <m:d>
            <m:dPr>
              <m:ctrlPr>
                <w:rPr>
                  <w:rFonts w:hint="default" w:ascii="Cambria Math" w:hAnsi="Cambria Math"/>
                  <w:sz w:val="24"/>
                </w:rPr>
              </m:ctrlPr>
            </m:dPr>
            <m:e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n=1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nary>
              <m:func>
                <m:funcPr>
                  <m:ctrlPr>
                    <w:rPr>
                      <w:rFonts w:hint="default" w:ascii="Cambria Math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</w:rPr>
                    <m:t>log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fName>
                <m:e>
                  <m:sSub>
                    <m:sSub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n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func>
              <m:ctrlPr>
                <w:rPr>
                  <w:rFonts w:hint="default" w:ascii="Cambria Math" w:hAnsi="Cambria Math"/>
                  <w:sz w:val="24"/>
                </w:rPr>
              </m:ctrlPr>
            </m:e>
          </m:d>
        </m:oMath>
      </m:oMathPara>
    </w:p>
    <w:bookmarkEnd w:id="378"/>
    <w:p w14:paraId="6EC52CD9">
      <w:pPr>
        <w:bidi w:val="0"/>
      </w:pPr>
      <w:bookmarkStart w:id="379" w:name="u754c8f7c"/>
      <w:r>
        <w:t>其中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p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t xml:space="preserve"> 是 n-gram 精确率，BP 是简短惩罚。</w:t>
      </w:r>
    </w:p>
    <w:bookmarkEnd w:id="379"/>
    <w:p w14:paraId="568C83AE">
      <w:pPr>
        <w:pStyle w:val="4"/>
        <w:bidi w:val="0"/>
      </w:pPr>
      <w:bookmarkStart w:id="380" w:name="_Toc9462"/>
      <w:bookmarkStart w:id="381" w:name="gplQT"/>
      <w:r>
        <w:t>6.2.3 代码型指标</w:t>
      </w:r>
      <w:bookmarkEnd w:id="380"/>
    </w:p>
    <w:bookmarkEnd w:id="381"/>
    <w:p w14:paraId="0EE0104F">
      <w:pPr>
        <w:bidi w:val="0"/>
      </w:pPr>
      <w:bookmarkStart w:id="382" w:name="ue318f7c0"/>
      <w:r>
        <w:t>Pass@k（生成 k 个解，至少一个通过的期望概率）：</w:t>
      </w:r>
    </w:p>
    <w:bookmarkEnd w:id="382"/>
    <w:p w14:paraId="47F04540">
      <w:pPr>
        <w:bidi w:val="0"/>
      </w:pPr>
      <w:bookmarkStart w:id="383" w:name="u73edd6d0"/>
      <m:oMathPara>
        <m:oMath>
          <m:r>
            <m:rPr/>
            <w:rPr>
              <w:rFonts w:hint="default" w:ascii="Cambria Math" w:hAnsi="Cambria Math"/>
              <w:sz w:val="24"/>
            </w:rPr>
            <m:t>Pass@k=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>
                  <m:scr m:val="double-struck"/>
                </m:rPr>
                <w:rPr>
                  <w:rFonts w:hint="default" w:ascii="Cambria Math" w:hAnsi="Cambria Math" w:eastAsia="MS Mincho"/>
                  <w:sz w:val="24"/>
                </w:rPr>
                <m:t>E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problems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hint="default" w:ascii="Cambria Math" w:hAnsi="Cambria Math"/>
                  <w:sz w:val="24"/>
                </w:rPr>
              </m:ctrlPr>
            </m:dPr>
            <m:e>
              <m:r>
                <m:rPr/>
                <w:rPr>
                  <w:rFonts w:hint="default" w:ascii="Cambria Math" w:hAnsi="Cambria Math"/>
                  <w:sz w:val="24"/>
                </w:rPr>
                <m:t>1−</m:t>
              </m:r>
              <m:f>
                <m:fPr>
                  <m:ctrlPr>
                    <w:rPr>
                      <w:rFonts w:hint="default" w:ascii="Cambria Math" w:hAnsi="Cambria Math"/>
                      <w:sz w:val="24"/>
                    </w:rPr>
                  </m:ctrlPr>
                </m:fPr>
                <m:num>
                  <m:d>
                    <m:d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n−c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sz w:val="24"/>
                    </w:rPr>
                  </m:ctrlPr>
                </m:num>
                <m:den>
                  <m:d>
                    <m:d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dPr>
                    <m:e>
                      <m:f>
                        <m:fPr>
                          <m:type m:val="nobar"/>
                          <m:ctrlPr>
                            <w:rPr>
                              <w:rFonts w:hint="default"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hint="default" w:ascii="Cambria Math" w:hAnsi="Cambria Math"/>
                              <w:sz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den>
                      </m:f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sz w:val="24"/>
                    </w:rPr>
                  </m:ctrlPr>
                </m:den>
              </m:f>
              <m:ctrlPr>
                <w:rPr>
                  <w:rFonts w:hint="default" w:ascii="Cambria Math" w:hAnsi="Cambria Math"/>
                  <w:sz w:val="24"/>
                </w:rPr>
              </m:ctrlPr>
            </m:e>
          </m:d>
        </m:oMath>
      </m:oMathPara>
    </w:p>
    <w:bookmarkEnd w:id="383"/>
    <w:p w14:paraId="37DCEF98">
      <w:pPr>
        <w:bidi w:val="0"/>
      </w:pPr>
      <w:bookmarkStart w:id="384" w:name="ubd966ef5"/>
      <w:r>
        <w:t xml:space="preserve">其中 </w:t>
      </w:r>
      <w:bookmarkStart w:id="385" w:name="o8Ezm"/>
      <w:r>
        <w:t>n</w:t>
      </w:r>
      <w:bookmarkEnd w:id="385"/>
      <w:r>
        <w:t xml:space="preserve"> 是总生成数，</w:t>
      </w:r>
      <w:bookmarkStart w:id="386" w:name="DG3Ju"/>
      <w:r>
        <w:t>c</w:t>
      </w:r>
      <w:bookmarkEnd w:id="386"/>
      <w:r>
        <w:t xml:space="preserve"> 是通过数。</w:t>
      </w:r>
    </w:p>
    <w:bookmarkEnd w:id="384"/>
    <w:p w14:paraId="66C627A9">
      <w:pPr>
        <w:pStyle w:val="4"/>
        <w:bidi w:val="0"/>
      </w:pPr>
      <w:bookmarkStart w:id="387" w:name="_Toc22496"/>
      <w:bookmarkStart w:id="388" w:name="er0y6"/>
      <w:r>
        <w:t>6.2.4 长度归一化（acc_norm）</w:t>
      </w:r>
      <w:bookmarkEnd w:id="387"/>
    </w:p>
    <w:bookmarkEnd w:id="388"/>
    <w:p w14:paraId="48DFCA93">
      <w:pPr>
        <w:bidi w:val="0"/>
      </w:pPr>
      <w:bookmarkStart w:id="389" w:name="u225b0d17"/>
      <w:r>
        <w:t>为什么需要长度归一化？ 在 Log-likelihood 评估中，更长的选项天然会有更低的 log-likelihood（因为负对数概率累加）：</w:t>
      </w:r>
    </w:p>
    <w:bookmarkEnd w:id="389"/>
    <w:p w14:paraId="78145829">
      <w:pPr>
        <w:bidi w:val="0"/>
      </w:pPr>
      <w:bookmarkStart w:id="390" w:name="uac0873e0"/>
      <m:oMathPara>
        <m:oMath>
          <m:r>
            <m:rPr/>
            <w:rPr>
              <w:rFonts w:hint="default" w:ascii="Cambria Math" w:hAnsi="Cambria Math"/>
              <w:sz w:val="24"/>
            </w:rPr>
            <m:t>score(a)=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4"/>
                </w:rPr>
                <m:t>t=1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|a|</m:t>
              </m:r>
              <m:ctrlPr>
                <w:rPr>
                  <w:rFonts w:ascii="Cambria Math" w:hAnsi="Cambria Math"/>
                  <w:sz w:val="24"/>
                </w:rPr>
              </m:ctrlPr>
            </m:sup>
            <m:e>
              <m:func>
                <m:funcPr>
                  <m:ctrlPr>
                    <w:rPr>
                      <w:rFonts w:hint="default" w:ascii="Cambria Math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</w:rPr>
                    <m:t>log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fName>
                <m:e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func>
              <m:ctrlPr>
                <w:rPr>
                  <w:rFonts w:hint="default" w:ascii="Cambria Math" w:hAnsi="Cambria Math"/>
                  <w:sz w:val="24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</w:rPr>
            <m:t>P(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a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t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|⋯)</m:t>
          </m:r>
        </m:oMath>
      </m:oMathPara>
    </w:p>
    <w:bookmarkEnd w:id="390"/>
    <w:p w14:paraId="7437F6BB">
      <w:pPr>
        <w:bidi w:val="0"/>
      </w:pPr>
      <w:bookmarkStart w:id="391" w:name="u9597fb0c"/>
      <w:r>
        <w:t>如果选项 A 是 "yes"（3 tokens），选项 B 是 "no, I don't think so"（6 tokens），即使 B 是正确答案，它的总 log-likelihood 也可能更低。</w:t>
      </w:r>
    </w:p>
    <w:bookmarkEnd w:id="391"/>
    <w:p w14:paraId="2436ED96">
      <w:pPr>
        <w:bidi w:val="0"/>
      </w:pPr>
      <w:bookmarkStart w:id="392" w:name="ub86f5543"/>
      <w:r>
        <w:t>归一化方式：</w:t>
      </w:r>
    </w:p>
    <w:bookmarkEnd w:id="392"/>
    <w:p w14:paraId="71C2763E">
      <w:pPr>
        <w:bidi w:val="0"/>
        <w:rPr>
          <w:rFonts w:hint="default" w:hAnsi="Cambria Math"/>
          <w:i w:val="0"/>
          <w:sz w:val="24"/>
        </w:rPr>
      </w:pPr>
      <m:oMathPara>
        <m:oMath>
          <m:sSub>
            <w:bookmarkStart w:id="393" w:name="u784ad94d"/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score</m:t>
              </m:r>
              <m:ctrlPr>
                <w:rPr>
                  <w:rFonts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norm</m:t>
              </m:r>
              <m:ctrlPr>
                <w:rPr>
                  <w:rFonts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(a)=</m:t>
          </m:r>
          <m:f>
            <m:fPr>
              <m:ctrlPr>
                <w:rPr>
                  <w:rFonts w:hint="default" w:ascii="Cambria Math" w:hAnsi="Cambria Math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1</m:t>
              </m:r>
              <m:ctrlPr>
                <w:rPr>
                  <w:rFonts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|a|</m:t>
              </m:r>
              <m:ctrlPr>
                <w:rPr>
                  <w:rFonts w:ascii="Cambria Math" w:hAnsi="Cambria Math"/>
                  <w:sz w:val="24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sz w:val="24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4"/>
                </w:rPr>
                <m:t>t=1</m:t>
              </m:r>
              <m:ctrlPr>
                <w:rPr>
                  <w:rFonts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|a|</m:t>
              </m:r>
              <m:ctrlPr>
                <w:rPr>
                  <w:rFonts w:ascii="Cambria Math" w:hAnsi="Cambria Math"/>
                  <w:sz w:val="24"/>
                </w:rPr>
              </m:ctrlPr>
            </m:sup>
            <m:e>
              <m:func>
                <m:funcPr>
                  <m:ctrlPr>
                    <w:rPr>
                      <w:rFonts w:hint="default" w:ascii="Cambria Math" w:hAnsi="Cambria Math"/>
                      <w:sz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hint="default" w:ascii="Cambria Math" w:hAnsi="Cambria Math"/>
                      <w:sz w:val="24"/>
                    </w:rPr>
                    <m:t>log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fName>
                <m:e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func>
              <m:ctrlPr>
                <w:rPr>
                  <w:rFonts w:hint="default" w:ascii="Cambria Math" w:hAnsi="Cambria Math"/>
                  <w:sz w:val="24"/>
                </w:rPr>
              </m:ctrlPr>
            </m:e>
          </m:nary>
          <m:r>
            <m:rPr/>
            <w:rPr>
              <w:rFonts w:hint="default" w:ascii="Cambria Math" w:hAnsi="Cambria Math"/>
              <w:sz w:val="24"/>
            </w:rPr>
            <m:t>P(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4"/>
                </w:rPr>
                <m:t>a</m:t>
              </m:r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t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|⋯)=</m:t>
          </m:r>
          <m:f>
            <m:fPr>
              <m:ctrlPr>
                <w:rPr>
                  <w:rFonts w:hint="default" w:ascii="Cambria Math" w:hAnsi="Cambria Math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score(a)</m:t>
              </m:r>
              <m:ctrlPr>
                <w:rPr>
                  <w:rFonts w:hint="default" w:ascii="Cambria Math" w:hAnsi="Cambria Math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4"/>
                </w:rPr>
                <m:t>|a|</m:t>
              </m:r>
              <m:ctrlPr>
                <w:rPr>
                  <w:rFonts w:hint="default" w:ascii="Cambria Math" w:hAnsi="Cambria Math"/>
                  <w:sz w:val="24"/>
                </w:rPr>
              </m:ctrlPr>
            </m:den>
          </m:f>
        </m:oMath>
      </m:oMathPara>
    </w:p>
    <w:p w14:paraId="6FF5BEAC">
      <w:pPr>
        <w:bidi w:val="0"/>
      </w:pPr>
      <w:r>
        <w:rPr>
          <w:rFonts w:hint="default" w:hAnsi="Cambria Math"/>
          <w:i w:val="0"/>
          <w:sz w:val="24"/>
        </w:rPr>
        <w:t>🔗 详见《Evaluation Harness 技术深度解析》第 3.3 节：所有核心指标的数学定义和对比。</w:t>
      </w:r>
      <w:bookmarkEnd w:id="393"/>
      <w:bookmarkStart w:id="394" w:name="tKRzn"/>
    </w:p>
    <w:bookmarkEnd w:id="394"/>
    <w:p w14:paraId="59200216">
      <w:pPr>
        <w:pStyle w:val="3"/>
        <w:bidi w:val="0"/>
      </w:pPr>
      <w:bookmarkStart w:id="395" w:name="_Toc30485"/>
      <w:bookmarkStart w:id="396" w:name="xqGbf"/>
      <w:r>
        <w:t>6.3 案例分析：MMLU 多项选择评估</w:t>
      </w:r>
      <w:bookmarkEnd w:id="395"/>
    </w:p>
    <w:bookmarkEnd w:id="396"/>
    <w:p w14:paraId="79D0F511">
      <w:pPr>
        <w:pStyle w:val="4"/>
        <w:bidi w:val="0"/>
      </w:pPr>
      <w:bookmarkStart w:id="397" w:name="_Toc19467"/>
      <w:bookmarkStart w:id="398" w:name="NYuYL"/>
      <w:r>
        <w:t>6.3.1 背景</w:t>
      </w:r>
      <w:bookmarkEnd w:id="397"/>
    </w:p>
    <w:bookmarkEnd w:id="398"/>
    <w:p w14:paraId="740CF152">
      <w:pPr>
        <w:bidi w:val="0"/>
      </w:pPr>
      <w:bookmarkStart w:id="399" w:name="u551079a5"/>
      <w:r>
        <w:t>MMLU（Massive Multitask Language Understanding）是评估 LLM 知识广度的最常用基准，覆盖 57 个学科，从人文到 STEM。</w:t>
      </w:r>
    </w:p>
    <w:bookmarkEnd w:id="399"/>
    <w:p w14:paraId="04CC9989">
      <w:pPr>
        <w:pStyle w:val="4"/>
        <w:bidi w:val="0"/>
      </w:pPr>
      <w:bookmarkStart w:id="400" w:name="_Toc26140"/>
      <w:bookmarkStart w:id="401" w:name="czQsE"/>
      <w:r>
        <w:t>6.3.2 详细分析</w:t>
      </w:r>
      <w:bookmarkEnd w:id="400"/>
    </w:p>
    <w:tbl>
      <w:tblPr>
        <w:tblStyle w:val="16"/>
        <w:tblW w:w="92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28"/>
        <w:gridCol w:w="8015"/>
      </w:tblGrid>
      <w:tr w14:paraId="08A205F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F2C598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维度</w:t>
            </w:r>
          </w:p>
        </w:tc>
        <w:tc>
          <w:tcPr>
            <w:tcW w:w="8015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27B06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说明</w:t>
            </w:r>
          </w:p>
        </w:tc>
      </w:tr>
      <w:tr w14:paraId="05D3CB6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6F432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402" w:name="uffcf6061"/>
            <w:r>
              <w:t>解决什么问题</w:t>
            </w:r>
          </w:p>
        </w:tc>
        <w:tc>
          <w:tcPr>
            <w:tcW w:w="801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C8B412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系统衡量模型在 57 个学科上的知识覆盖广度，从抽象代数到法学、医学，评估模型是否具备广泛的世界知识</w:t>
            </w:r>
          </w:p>
        </w:tc>
      </w:tr>
      <w:tr w14:paraId="1EE9B1D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A7F752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输入数据</w:t>
            </w:r>
          </w:p>
        </w:tc>
        <w:tc>
          <w:tcPr>
            <w:tcW w:w="80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89F37B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~15,908 道 4 选 1 选择题，分为 STEM、人文、社会科学、其他四大类。5-shot 设置</w:t>
            </w:r>
          </w:p>
        </w:tc>
      </w:tr>
      <w:tr w14:paraId="5C145CB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58877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输出结果</w:t>
            </w:r>
          </w:p>
        </w:tc>
        <w:tc>
          <w:tcPr>
            <w:tcW w:w="80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68B5A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各学科准确率 + 平均准确率（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acc/ac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orm</m:t>
              </m:r>
            </m:oMath>
            <w:r>
              <w:t>）。基本格式：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acc=0.6245±0.0039</m:t>
              </m:r>
            </m:oMath>
          </w:p>
        </w:tc>
      </w:tr>
      <w:tr w14:paraId="6911A28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89944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数学原理</w:t>
            </w:r>
          </w:p>
        </w:tc>
        <w:tc>
          <w:tcPr>
            <w:tcW w:w="80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81C11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 xml:space="preserve">Log-likelihood 多项选择：对每个问题构建 prompt + 4 个选项，计算 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score(A)=</m:t>
              </m:r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t=1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|A|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  <m:e>
                  <m:func>
                    <m:func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hint="default" w:ascii="Cambria Math" w:hAnsi="Cambria Math"/>
                          <w:sz w:val="24"/>
                        </w:rPr>
                        <m:t>log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fName>
                    <m:e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</m:func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</m:nary>
              <m:r>
                <m:rPr/>
                <w:rPr>
                  <w:rFonts w:hint="default" w:ascii="Cambria Math" w:hAnsi="Cambria Math"/>
                  <w:sz w:val="24"/>
                </w:rPr>
                <m:t>P(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A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t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∣prompt,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A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lt;t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</m:t>
              </m:r>
            </m:oMath>
            <w:r>
              <w:t>。分别对 A/B/C/D 计算，选得分最高的。需要长度归一化（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ac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c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orm</m:t>
              </m:r>
            </m:oMath>
            <w:r>
              <w:t>）消除选项长度偏差</w:t>
            </w:r>
          </w:p>
        </w:tc>
      </w:tr>
      <w:tr w14:paraId="0F46B22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492CE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基本流程</w:t>
            </w:r>
          </w:p>
        </w:tc>
        <w:tc>
          <w:tcPr>
            <w:tcW w:w="80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B2A338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对每个问题，构建 5-shot 示范 + 测试问题的 prompt；② 对 4 个选项分别计算 log-likelihood；③ 选择最高得分选项；④ 与正确答案比较计算 accuracy；⑤ 按 57 个学科分别聚合</w:t>
            </w:r>
          </w:p>
        </w:tc>
      </w:tr>
      <w:tr w14:paraId="6455ED4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F85524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优点</w:t>
            </w:r>
          </w:p>
        </w:tc>
        <w:tc>
          <w:tcPr>
            <w:tcW w:w="80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871BB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覆盖面广（57 学科），衡量知识广度；② 确定性评估（Log-likelihood 不涉及采样，完全可复现）；③ 快速高效（一次前向传播比较所有选项）；④ 社区公认标准，便于横向对比；⑤ 学科级细粒度分析</w:t>
            </w:r>
          </w:p>
        </w:tc>
      </w:tr>
      <w:tr w14:paraId="060EB61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0E9529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局限性</w:t>
            </w:r>
          </w:p>
        </w:tc>
        <w:tc>
          <w:tcPr>
            <w:tcW w:w="801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3E7B37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Ceiling Effect：前沿模型已 &gt;85%（MMLU-Pro 将选项从 4 个扩到 10 个并剔除简单题来缓解）；② 数据污染风险：部分测试题可能出现在预训练数据中；③ 与真实使用不一致：4 选 1 vs 开放生成；④ 辛普森悖论风险：总分掩盖学科差异</w:t>
            </w:r>
          </w:p>
        </w:tc>
      </w:tr>
      <w:tr w14:paraId="77C6F0E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751D6F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Post-training 位置</w:t>
            </w:r>
          </w:p>
        </w:tc>
        <w:tc>
          <w:tcPr>
            <w:tcW w:w="801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3D4BC1">
            <w:pPr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系统评估中的通用知识基准——衡量预训练覆盖、微调/对齐后的知识保持</w:t>
            </w:r>
          </w:p>
        </w:tc>
      </w:tr>
      <w:bookmarkEnd w:id="401"/>
      <w:bookmarkEnd w:id="402"/>
    </w:tbl>
    <w:p w14:paraId="5DEE63E7">
      <w:pPr>
        <w:pStyle w:val="4"/>
        <w:bidi w:val="0"/>
      </w:pPr>
      <w:bookmarkStart w:id="403" w:name="_Toc31488"/>
      <w:bookmarkStart w:id="404" w:name="vZRLJ"/>
      <w:r>
        <w:t>6.3.3 结果解读</w:t>
      </w:r>
      <w:bookmarkEnd w:id="403"/>
    </w:p>
    <w:bookmarkEnd w:id="404"/>
    <w:p w14:paraId="59E9B63A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405" w:name="rS41Y"/>
      <w:r>
        <w:rPr>
          <w:rFonts w:ascii="宋体" w:hAnsi="Courier New" w:eastAsia="宋体"/>
          <w:color w:val="000000"/>
          <w:sz w:val="20"/>
        </w:rPr>
        <w:t>lm_eval --model hf --model_args pretrained=mistralai/Mistral-7B-v0.1 \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--tasks mmlu --num_fewshot 5 --seed 42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405"/>
    <w:p w14:paraId="74966960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406" w:name="qlwH0"/>
      <w:r>
        <w:rPr>
          <w:rFonts w:ascii="宋体" w:hAnsi="Courier New" w:eastAsia="宋体"/>
          <w:color w:val="000000"/>
          <w:sz w:val="20"/>
        </w:rPr>
        <w:t>|  Task |Version| Metric | Value |   |Stderr|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|-------|------:|--------|-----:|---|-----:|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|  mmlu |   2.0 |acc     |0.6245|±  |0.0039|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406"/>
    <w:p w14:paraId="6537CF89">
      <w:pPr>
        <w:bidi w:val="0"/>
      </w:pPr>
      <w:bookmarkStart w:id="407" w:name="u04613a13"/>
      <w:r>
        <w:t>Stderr 的计算：</w:t>
      </w:r>
    </w:p>
    <w:bookmarkEnd w:id="407"/>
    <w:p w14:paraId="42225037">
      <w:pPr>
        <w:bidi w:val="0"/>
      </w:pPr>
      <m:oMathPara>
        <m:oMath>
          <w:bookmarkStart w:id="408" w:name="uc37991b4"/>
          <m:r>
            <m:rPr/>
            <w:rPr>
              <w:rFonts w:hint="default" w:ascii="Cambria Math" w:hAnsi="Cambria Math"/>
              <w:sz w:val="24"/>
            </w:rPr>
            <m:t>Stderr≈</m:t>
          </m:r>
          <m:rad>
            <m:radPr>
              <m:degHide m:val="1"/>
              <m:ctrlPr>
                <w:rPr>
                  <w:rFonts w:hint="default" w:ascii="Cambria Math" w:hAnsi="Cambria Math"/>
                  <w:sz w:val="24"/>
                </w:rPr>
              </m:ctrlPr>
            </m:radPr>
            <m:deg>
              <m:ctrlPr>
                <w:rPr>
                  <w:rFonts w:ascii="Cambria Math" w:hAnsi="Cambria Math"/>
                  <w:sz w:val="24"/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4"/>
                    </w:rPr>
                    <m:t>acc⋅(1−acc)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den>
              </m:f>
              <m:ctrlPr>
                <w:rPr>
                  <w:rFonts w:hint="default" w:ascii="Cambria Math" w:hAnsi="Cambria Math"/>
                  <w:sz w:val="24"/>
                </w:rPr>
              </m:ctrlPr>
            </m:e>
          </m:rad>
          <m:r>
            <m:rPr/>
            <w:rPr>
              <w:rFonts w:hint="default" w:ascii="Cambria Math" w:hAnsi="Cambria Math"/>
              <w:sz w:val="24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/>
                  <w:sz w:val="24"/>
                </w:rPr>
              </m:ctrlPr>
            </m:radPr>
            <m:deg>
              <m:ctrlPr>
                <w:rPr>
                  <w:rFonts w:hint="default" w:ascii="Cambria Math" w:hAnsi="Cambria Math"/>
                  <w:sz w:val="24"/>
                </w:rPr>
              </m:ctrlPr>
            </m:deg>
            <m:e>
              <m:f>
                <m:fPr>
                  <m:ctrlPr>
                    <w:rPr>
                      <w:rFonts w:hint="default" w:ascii="Cambria Math" w:hAnsi="Cambria Math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4"/>
                    </w:rPr>
                    <m:t>0.6245×0.3755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14042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den>
              </m:f>
              <m:ctrlPr>
                <w:rPr>
                  <w:rFonts w:hint="default" w:ascii="Cambria Math" w:hAnsi="Cambria Math"/>
                  <w:sz w:val="24"/>
                </w:rPr>
              </m:ctrlPr>
            </m:e>
          </m:rad>
          <m:r>
            <m:rPr/>
            <w:rPr>
              <w:rFonts w:hint="default" w:ascii="Cambria Math" w:hAnsi="Cambria Math"/>
              <w:sz w:val="24"/>
            </w:rPr>
            <m:t>≈0.00409</m:t>
          </m:r>
        </m:oMath>
      </m:oMathPara>
    </w:p>
    <w:bookmarkEnd w:id="408"/>
    <w:p w14:paraId="2E88A882">
      <w:pPr>
        <w:bidi w:val="0"/>
      </w:pPr>
      <w:bookmarkStart w:id="409" w:name="ufed55cb7"/>
      <w:r>
        <w:t xml:space="preserve">解读：真值有 95% 的概率落在 </w:t>
      </w:r>
      <m:oMath>
        <m:r>
          <m:rPr/>
          <w:rPr>
            <w:rFonts w:hint="default" w:ascii="Cambria Math" w:hAnsi="Cambria Math"/>
            <w:sz w:val="24"/>
          </w:rPr>
          <m:t>acc±1.96×Stderr≈[0.6165,0.6325]</m:t>
        </m:r>
      </m:oMath>
      <w:r>
        <w:t>区间。</w:t>
      </w:r>
    </w:p>
    <w:bookmarkEnd w:id="409"/>
    <w:p w14:paraId="7D74E448">
      <w:pPr>
        <w:pStyle w:val="4"/>
        <w:bidi w:val="0"/>
      </w:pPr>
      <w:bookmarkStart w:id="410" w:name="_Toc18750"/>
      <w:bookmarkStart w:id="411" w:name="vFaF6"/>
      <w:r>
        <w:t>6.3.4 分维度分析示例</w:t>
      </w:r>
      <w:bookmarkEnd w:id="410"/>
    </w:p>
    <w:bookmarkEnd w:id="411"/>
    <w:p w14:paraId="4A6E1B14">
      <w:pPr>
        <w:bidi w:val="0"/>
      </w:pPr>
      <w:bookmarkStart w:id="412" w:name="ub6e81b51"/>
      <w:r>
        <w:t>MMLU 按学科分组分析可以发现单一聚合值掩盖的差异：</w:t>
      </w:r>
    </w:p>
    <w:bookmarkEnd w:id="412"/>
    <w:p w14:paraId="396C358C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413" w:name="QRxXx"/>
      <w:r>
        <w:rPr>
          <w:rFonts w:ascii="宋体" w:hAnsi="Courier New" w:eastAsia="宋体"/>
          <w:color w:val="000000"/>
          <w:sz w:val="20"/>
        </w:rPr>
        <w:t>results_per_category = {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"STEM": avg(physics, chemistry, biology, ...),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"Humanities": avg(history, literature, philosophy, ...),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"Social Sciences": avg(law, economics, sociology, ...),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}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413"/>
    <w:tbl>
      <w:tblPr>
        <w:tblStyle w:val="16"/>
        <w:tblW w:w="9239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62"/>
        <w:gridCol w:w="2264"/>
        <w:gridCol w:w="2233"/>
        <w:gridCol w:w="1880"/>
      </w:tblGrid>
      <w:tr w14:paraId="7DE776E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E070F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bookmarkStart w:id="414" w:name="ubbb0df66"/>
            <w:r>
              <w:rPr>
                <w:b/>
              </w:rPr>
              <w:t>学科类别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72D94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模型A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90DE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模型B</w:t>
            </w:r>
          </w:p>
        </w:tc>
        <w:tc>
          <w:tcPr>
            <w:tcW w:w="188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7365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差距</w:t>
            </w:r>
          </w:p>
        </w:tc>
      </w:tr>
      <w:tr w14:paraId="06B682E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FDDB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415" w:name="u5b5e4e22"/>
            <w:r>
              <w:t>STEM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8B3AC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0.62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23816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0.71</w:t>
            </w:r>
          </w:p>
        </w:tc>
        <w:tc>
          <w:tcPr>
            <w:tcW w:w="188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09C6A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-0.09</w:t>
            </w:r>
          </w:p>
        </w:tc>
      </w:tr>
      <w:tr w14:paraId="7F0B26C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AA57A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人文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EC30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0.71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D311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0.63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EB323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+0.08</w:t>
            </w:r>
          </w:p>
        </w:tc>
      </w:tr>
      <w:tr w14:paraId="323FE02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6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81FD1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社科</w:t>
            </w:r>
          </w:p>
        </w:tc>
        <w:tc>
          <w:tcPr>
            <w:tcW w:w="2264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DE481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0.68</w:t>
            </w:r>
          </w:p>
        </w:tc>
        <w:tc>
          <w:tcPr>
            <w:tcW w:w="223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298A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0.67</w:t>
            </w:r>
          </w:p>
        </w:tc>
        <w:tc>
          <w:tcPr>
            <w:tcW w:w="188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7F4B9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+0.01</w:t>
            </w:r>
          </w:p>
        </w:tc>
      </w:tr>
      <w:bookmarkEnd w:id="415"/>
    </w:tbl>
    <w:p w14:paraId="4BB91E8F">
      <w:pPr>
        <w:bidi w:val="0"/>
      </w:pPr>
      <w:r>
        <w:t>诊断：模型 A 在人文上表现更好，模型 B 在 STEM 上更强。单一 MMLU 总分 0.67 vs 0.67 掩盖了这个重要的特性差异。</w:t>
      </w:r>
      <w:bookmarkEnd w:id="414"/>
      <w:bookmarkStart w:id="416" w:name="beTgP"/>
    </w:p>
    <w:bookmarkEnd w:id="416"/>
    <w:p w14:paraId="7F9C40C4">
      <w:pPr>
        <w:pStyle w:val="3"/>
        <w:bidi w:val="0"/>
      </w:pPr>
      <w:bookmarkStart w:id="417" w:name="_Toc21818"/>
      <w:bookmarkStart w:id="418" w:name="LoAns"/>
      <w:r>
        <w:t>6.4 案例分析：GSM8K 生成式评估</w:t>
      </w:r>
      <w:bookmarkEnd w:id="417"/>
    </w:p>
    <w:bookmarkEnd w:id="418"/>
    <w:p w14:paraId="59BD4803">
      <w:pPr>
        <w:pStyle w:val="4"/>
        <w:bidi w:val="0"/>
      </w:pPr>
      <w:bookmarkStart w:id="419" w:name="_Toc13523"/>
      <w:bookmarkStart w:id="420" w:name="RESHV"/>
      <w:r>
        <w:t>6.4.1 背景</w:t>
      </w:r>
      <w:bookmarkEnd w:id="419"/>
    </w:p>
    <w:bookmarkEnd w:id="420"/>
    <w:p w14:paraId="15ECD5BF">
      <w:pPr>
        <w:bidi w:val="0"/>
      </w:pPr>
      <w:bookmarkStart w:id="421" w:name="u0c7eb384"/>
      <w:r>
        <w:t>GSM8K（Grade School Math 8K）是评估 LLM 数学推理能力的标准基准，需要模型进行多步推理才能得出正确答案。</w:t>
      </w:r>
    </w:p>
    <w:bookmarkEnd w:id="421"/>
    <w:p w14:paraId="6534419D">
      <w:pPr>
        <w:pStyle w:val="4"/>
        <w:bidi w:val="0"/>
      </w:pPr>
      <w:bookmarkStart w:id="422" w:name="_Toc5199"/>
      <w:bookmarkStart w:id="423" w:name="jUyaa"/>
      <w:r>
        <w:t>6.4.2 详细分析</w:t>
      </w:r>
      <w:bookmarkEnd w:id="422"/>
    </w:p>
    <w:tbl>
      <w:tblPr>
        <w:tblStyle w:val="16"/>
        <w:tblW w:w="92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22"/>
        <w:gridCol w:w="8021"/>
      </w:tblGrid>
      <w:tr w14:paraId="533A86E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B8150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维度</w:t>
            </w:r>
          </w:p>
        </w:tc>
        <w:tc>
          <w:tcPr>
            <w:tcW w:w="8021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E524B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说明</w:t>
            </w:r>
          </w:p>
        </w:tc>
      </w:tr>
      <w:tr w14:paraId="7C01994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3E92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424" w:name="u5ddfa4c7"/>
            <w:r>
              <w:t>解决什么问题</w:t>
            </w:r>
          </w:p>
        </w:tc>
        <w:tc>
          <w:tcPr>
            <w:tcW w:w="8021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B495D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评估模型的多步数学推理能力——模型需要自主生成推理链并给出最终答案，而非从选项中选择</w:t>
            </w:r>
          </w:p>
        </w:tc>
      </w:tr>
      <w:tr w14:paraId="0CDA365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AFAD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输入数据</w:t>
            </w:r>
          </w:p>
        </w:tc>
        <w:tc>
          <w:tcPr>
            <w:tcW w:w="8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9D339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8,500 道小学数学应用题（1-8 年级）。8-shot 设置（8 个示范示例）</w:t>
            </w:r>
          </w:p>
        </w:tc>
      </w:tr>
      <w:tr w14:paraId="7315E0F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F5E10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输出结果</w:t>
            </w:r>
          </w:p>
        </w:tc>
        <w:tc>
          <w:tcPr>
            <w:tcW w:w="8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C76A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Exact Match 准确率：</w:t>
            </w:r>
            <m:oMath>
              <m:r>
                <m:rPr/>
                <w:rPr>
                  <w:rFonts w:hint="default" w:ascii="Cambria Math" w:hAnsi="Cambria Math"/>
                  <w:sz w:val="24"/>
                </w:rPr>
                <m:t>EM=</m:t>
              </m:r>
              <m:f>
                <m:fPr>
                  <m:ctrlPr>
                    <w:rPr>
                      <w:rFonts w:hint="default" w:ascii="Cambria Math" w:hAnsi="Cambria Math"/>
                      <w:sz w:val="24"/>
                    </w:rPr>
                  </m:ctrlPr>
                </m:fPr>
                <m:num>
                  <m:r>
                    <m:rPr/>
                    <w:rPr>
                      <w:rFonts w:hint="default" w:ascii="Cambria Math" w:hAnsi="Cambria Math"/>
                      <w:sz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den>
              </m:f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/>
                      <w:sz w:val="2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i=1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  <m:e>
                  <m:r>
                    <m:rPr>
                      <m:scr m:val="double-struck"/>
                    </m:rPr>
                    <w:rPr>
                      <w:rFonts w:hint="default" w:ascii="Cambria Math" w:hAnsi="Cambria Math" w:eastAsia="MS Mincho"/>
                      <w:sz w:val="24"/>
                    </w:rPr>
                    <m:t>1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nary>
              <m:r>
                <m:rPr/>
                <w:rPr>
                  <w:rFonts w:hint="default" w:ascii="Cambria Math" w:hAnsi="Cambria Math"/>
                  <w:sz w:val="24"/>
                </w:rPr>
                <m:t>[norm(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acc>
                    <m:accPr>
                      <m:ctrlPr>
                        <w:rPr>
                          <w:rFonts w:hint="default" w:ascii="Cambria Math" w:hAnsi="Cambria Math"/>
                          <w:sz w:val="24"/>
                        </w:rPr>
                      </m:ctrlPr>
                    </m:accPr>
                    <m:e>
                      <m:r>
                        <m:rPr/>
                        <w:rPr>
                          <w:rFonts w:hint="default" w:ascii="Cambria Math" w:hAnsi="Cambria Math"/>
                          <w:sz w:val="24"/>
                        </w:rPr>
                        <m:t>y</m:t>
                      </m:r>
                      <m:ctrlPr>
                        <w:rPr>
                          <w:rFonts w:ascii="Cambria Math" w:hAnsi="Cambria Math"/>
                          <w:sz w:val="24"/>
                        </w:rPr>
                      </m:ctrlPr>
                    </m:e>
                  </m:acc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)=norm(</m:t>
              </m:r>
              <m:sSubSup>
                <m:sSub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y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i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∗</m:t>
                  </m:r>
                  <m:ctrlPr>
                    <w:rPr>
                      <w:rFonts w:hint="default" w:ascii="Cambria Math" w:hAnsi="Cambria Math"/>
                      <w:sz w:val="24"/>
                    </w:rPr>
                  </m:ctrlPr>
                </m:sup>
              </m:sSubSup>
              <m:r>
                <m:rPr/>
                <w:rPr>
                  <w:rFonts w:hint="default" w:ascii="Cambria Math" w:hAnsi="Cambria Math"/>
                  <w:sz w:val="24"/>
                </w:rPr>
                <m:t>)]</m:t>
              </m:r>
            </m:oMath>
          </w:p>
        </w:tc>
      </w:tr>
      <w:tr w14:paraId="74B49B5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FBB0D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数学原理</w:t>
            </w:r>
          </w:p>
        </w:tc>
        <w:tc>
          <w:tcPr>
            <w:tcW w:w="8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D4571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生成式评估：模型输出是一个完整的推理链 + 最终答案。lm-eval 用正则表达式从自由文本中提取答案，与参考答案做 exact match</w:t>
            </w:r>
          </w:p>
        </w:tc>
      </w:tr>
      <w:tr w14:paraId="5A524F1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549BD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基本流程</w:t>
            </w:r>
          </w:p>
        </w:tc>
        <w:tc>
          <w:tcPr>
            <w:tcW w:w="8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8C7A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构建 8-shot prompt（精心挑选的数学示范题+答案）；② 模型自回归生成回复；③ 正则提取答案（匹配 #### 后的数字）；④ 标准化后与参考答案比较；⑤ 计算 exact_match 准确率；⑥ 计算 Stderr</w:t>
            </w:r>
          </w:p>
        </w:tc>
      </w:tr>
      <w:tr w14:paraId="00D5E6A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F2A7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优点</w:t>
            </w:r>
          </w:p>
        </w:tc>
        <w:tc>
          <w:tcPr>
            <w:tcW w:w="8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2ACC6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评估真实使用场景——模型需要自主生成答案；② 多步推理难度适中，有良好区分度（7B 模型通常 50-70%）；③ 与 MMLU 形成"知识 + 推理"互补评估</w:t>
            </w:r>
          </w:p>
        </w:tc>
      </w:tr>
      <w:tr w14:paraId="5F7CFE7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9E80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局限性</w:t>
            </w:r>
          </w:p>
        </w:tc>
        <w:tc>
          <w:tcPr>
            <w:tcW w:w="8021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B6C4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① 生成速度慢（比 Log-likelihood 慢 10-100×）；② 答案提取依赖正则表达式，可能误提取；③ 小学数学难度有限，不能全面反映推理能力；④ 不同解码策略（temperature/top_p）影响结果</w:t>
            </w:r>
          </w:p>
        </w:tc>
      </w:tr>
      <w:tr w14:paraId="14F5CCC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2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9CF29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Post-training 位置</w:t>
            </w:r>
          </w:p>
        </w:tc>
        <w:tc>
          <w:tcPr>
            <w:tcW w:w="802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15D7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推理能力评估基准——特别适合：① 评估 GRPO 等推理对齐方法的效果；② 检测微调后数学能力的保持程度；③ 异常诊断</w:t>
            </w:r>
          </w:p>
        </w:tc>
      </w:tr>
      <w:bookmarkEnd w:id="423"/>
      <w:bookmarkEnd w:id="424"/>
    </w:tbl>
    <w:p w14:paraId="040DA635">
      <w:pPr>
        <w:pStyle w:val="4"/>
        <w:bidi w:val="0"/>
      </w:pPr>
      <w:bookmarkStart w:id="425" w:name="_Toc8243"/>
      <w:bookmarkStart w:id="426" w:name="ojADr"/>
      <w:r>
        <w:t>6.4.3 答案提取示例</w:t>
      </w:r>
      <w:bookmarkEnd w:id="425"/>
    </w:p>
    <w:bookmarkEnd w:id="426"/>
    <w:p w14:paraId="1F270986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427" w:name="uLsQp"/>
      <w:r>
        <w:rPr>
          <w:rFonts w:ascii="宋体" w:hAnsi="Courier New" w:eastAsia="宋体"/>
          <w:color w:val="000000"/>
          <w:sz w:val="20"/>
        </w:rPr>
        <w:t>模型输出（生成文本）：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"首先，张三有 5 个苹果，李四给了他 3 个。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所以 5 + 3 = 8。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因此张三现在有 8 个苹果。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答案是 8。"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正则提取 → "8"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参考答案 → "8"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匹配结果：✅ Exact Match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427"/>
    <w:p w14:paraId="2E1949C9">
      <w:pPr>
        <w:pStyle w:val="4"/>
        <w:bidi w:val="0"/>
      </w:pPr>
      <w:bookmarkStart w:id="428" w:name="_Toc19949"/>
      <w:bookmarkStart w:id="429" w:name="mqTRs"/>
      <w:r>
        <w:t>6.4.4 异常诊断示例</w:t>
      </w:r>
      <w:bookmarkEnd w:id="428"/>
    </w:p>
    <w:bookmarkEnd w:id="429"/>
    <w:p w14:paraId="15F6D1D4">
      <w:pPr>
        <w:bidi w:val="0"/>
      </w:pPr>
      <w:bookmarkStart w:id="430" w:name="u607516a4"/>
      <w:r>
        <w:t>假设微调后 GSM8K 从 60% 骤降至 45%：这不是对齐税（正常 1-3%），需要排查：</w:t>
      </w:r>
    </w:p>
    <w:tbl>
      <w:tblPr>
        <w:tblStyle w:val="16"/>
        <w:tblW w:w="92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169"/>
        <w:gridCol w:w="3138"/>
        <w:gridCol w:w="1936"/>
      </w:tblGrid>
      <w:tr w14:paraId="4D452FB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16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0A5F7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怀疑方向</w:t>
            </w:r>
          </w:p>
        </w:tc>
        <w:tc>
          <w:tcPr>
            <w:tcW w:w="3138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C761D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验证方法</w:t>
            </w:r>
          </w:p>
        </w:tc>
        <w:tc>
          <w:tcPr>
            <w:tcW w:w="1936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1290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如果确认为真</w:t>
            </w:r>
          </w:p>
        </w:tc>
      </w:tr>
      <w:tr w14:paraId="760B28C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69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522E5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431" w:name="u4feb6755"/>
            <w:r>
              <w:t>数据污染（微调数据与 GSM8K 格式不匹配）</w:t>
            </w:r>
          </w:p>
        </w:tc>
        <w:tc>
          <w:tcPr>
            <w:tcW w:w="3138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03DC1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检查微调数据中数学推理样本格式</w:t>
            </w:r>
          </w:p>
        </w:tc>
        <w:tc>
          <w:tcPr>
            <w:tcW w:w="1936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002B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补充链式推理样本</w:t>
            </w:r>
          </w:p>
        </w:tc>
      </w:tr>
      <w:tr w14:paraId="183B8DD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C7DE3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灾难性遗忘</w:t>
            </w:r>
          </w:p>
        </w:tc>
        <w:tc>
          <w:tcPr>
            <w:tcW w:w="31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7D71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用 MATH 交叉验证</w:t>
            </w:r>
          </w:p>
        </w:tc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67609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补充数学 SFT 数据</w:t>
            </w:r>
          </w:p>
        </w:tc>
      </w:tr>
      <w:tr w14:paraId="1C81B22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69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8772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Tokenization 偏移</w:t>
            </w:r>
          </w:p>
        </w:tc>
        <w:tc>
          <w:tcPr>
            <w:tcW w:w="3138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5B449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检查数字编码是否一致</w:t>
            </w:r>
          </w:p>
        </w:tc>
        <w:tc>
          <w:tcPr>
            <w:tcW w:w="1936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DCD2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统一 tokenizer 版本</w:t>
            </w:r>
          </w:p>
        </w:tc>
      </w:tr>
      <w:tr w14:paraId="7F97050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169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CC7A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对齐税</w:t>
            </w:r>
          </w:p>
        </w:tc>
        <w:tc>
          <w:tcPr>
            <w:tcW w:w="3138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9B54F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对比微调前后 logits 分布</w:t>
            </w:r>
          </w:p>
        </w:tc>
        <w:tc>
          <w:tcPr>
            <w:tcW w:w="193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EFE1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数据质量控制</w:t>
            </w:r>
          </w:p>
        </w:tc>
      </w:tr>
      <w:bookmarkEnd w:id="431"/>
    </w:tbl>
    <w:p w14:paraId="17FF505B">
      <w:pPr>
        <w:bidi w:val="0"/>
      </w:pPr>
      <w:r>
        <w:rPr>
          <w:rFonts w:hint="eastAsia"/>
        </w:rPr>
        <w:t>🔗 详见《Evaluation Harness 技术深度解析》第 6.4 节：异常诊断的完整方法和多任务综合诊断案例。</w:t>
      </w:r>
      <w:bookmarkEnd w:id="430"/>
      <w:bookmarkStart w:id="432" w:name="j288O"/>
    </w:p>
    <w:bookmarkEnd w:id="432"/>
    <w:p w14:paraId="15E3C206">
      <w:pPr>
        <w:pStyle w:val="3"/>
        <w:bidi w:val="0"/>
      </w:pPr>
      <w:bookmarkStart w:id="433" w:name="_Toc8003"/>
      <w:bookmarkStart w:id="434" w:name="EihUL"/>
      <w:r>
        <w:t>6.5 统计显著性检验</w:t>
      </w:r>
      <w:bookmarkEnd w:id="433"/>
    </w:p>
    <w:bookmarkEnd w:id="434"/>
    <w:p w14:paraId="6C70C934">
      <w:pPr>
        <w:pStyle w:val="4"/>
        <w:bidi w:val="0"/>
      </w:pPr>
      <w:bookmarkStart w:id="435" w:name="_Toc28579"/>
      <w:bookmarkStart w:id="436" w:name="HvGIj"/>
      <w:r>
        <w:t>6.5.1 McNemar 检验（配对样本比较）</w:t>
      </w:r>
      <w:bookmarkEnd w:id="435"/>
    </w:p>
    <w:bookmarkEnd w:id="436"/>
    <w:p w14:paraId="7BA00382">
      <w:pPr>
        <w:bidi w:val="0"/>
      </w:pPr>
      <w:bookmarkStart w:id="437" w:name="u99778527"/>
      <w:r>
        <w:t>适合两个模型在同一组样本上的对比：</w:t>
      </w:r>
    </w:p>
    <w:bookmarkEnd w:id="437"/>
    <w:p w14:paraId="01317086">
      <w:pPr>
        <w:bidi w:val="0"/>
      </w:pPr>
      <m:oMathPara>
        <m:oMath>
          <m:sSup>
            <w:bookmarkStart w:id="438" w:name="ufcbf88b3"/>
            <m:sSupPr>
              <m:ctrlPr>
                <w:rPr>
                  <w:rFonts w:hint="default" w:ascii="Cambria Math" w:hAnsi="Cambria Math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4"/>
                </w:rPr>
                <m:t>χ</m:t>
              </m:r>
              <m:ctrlPr>
                <w:rPr>
                  <w:rFonts w:ascii="Cambria Math" w:hAnsi="Cambria Math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4"/>
                </w:rPr>
                <m:t>2</m:t>
              </m:r>
              <m:ctrlPr>
                <w:rPr>
                  <w:rFonts w:ascii="Cambria Math" w:hAnsi="Cambria Math"/>
                  <w:sz w:val="24"/>
                </w:rPr>
              </m:ctrlPr>
            </m:sup>
          </m:sSup>
          <m:r>
            <m:rPr/>
            <w:rPr>
              <w:rFonts w:hint="default" w:ascii="Cambria Math" w:hAnsi="Cambria Math"/>
              <w:sz w:val="24"/>
            </w:rPr>
            <m:t>=</m:t>
          </m:r>
          <m:f>
            <m:fPr>
              <m:ctrlPr>
                <w:rPr>
                  <w:rFonts w:hint="default" w:ascii="Cambria Math" w:hAnsi="Cambria Math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4"/>
                </w:rPr>
                <m:t>(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01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10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sSup>
                <m:sSup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)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/>
                      <w:sz w:val="24"/>
                    </w:rPr>
                    <m:t>2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/>
                  <w:sz w:val="24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01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4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/>
                      <w:sz w:val="24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n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4"/>
                    </w:rPr>
                    <m:t>10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4"/>
                </w:rPr>
              </m:ctrlPr>
            </m:den>
          </m:f>
        </m:oMath>
      </m:oMathPara>
    </w:p>
    <w:bookmarkEnd w:id="438"/>
    <w:p w14:paraId="5CB39781">
      <w:pPr>
        <w:bidi w:val="0"/>
      </w:pPr>
      <w:bookmarkStart w:id="439" w:name="u9356739d"/>
      <w:r>
        <w:t>其中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01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t xml:space="preserve"> 是模型 A 错误且模型 B 正确的样本数，</w:t>
      </w:r>
      <m:oMath>
        <m:sSub>
          <m:sSubPr>
            <m:ctrlPr>
              <w:rPr>
                <w:rFonts w:hint="default" w:ascii="Cambria Math" w:hAnsi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t xml:space="preserve"> 是模型 A 正确且模型 B 错误的样本数。自由度 </w:t>
      </w:r>
      <m:oMath>
        <m:r>
          <m:rPr/>
          <w:rPr>
            <w:rFonts w:hint="default" w:ascii="Cambria Math" w:hAnsi="Cambria Math"/>
            <w:sz w:val="24"/>
          </w:rPr>
          <m:t>df=1</m:t>
        </m:r>
      </m:oMath>
      <w:r>
        <w:t>。</w:t>
      </w:r>
    </w:p>
    <w:bookmarkEnd w:id="439"/>
    <w:p w14:paraId="044B096D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440" w:name="mS4nq"/>
      <w:r>
        <w:rPr>
          <w:rFonts w:ascii="宋体" w:hAnsi="Courier New" w:eastAsia="宋体"/>
          <w:color w:val="000000"/>
          <w:sz w:val="20"/>
        </w:rPr>
        <w:t>from scipy.stats import chi2_contingency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def mcnemar_test(model_a_correct, model_b_correct):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n_01 = sum(1 for a, b in zip(model_a_correct, model_b_correct) if not a and b)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n_10 = sum(1 for a, b in zip(model_a_correct, model_b_correct) if a and not b)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table = [[0, n_01], [n_10, 0]]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return chi2_contingency(table, correction=True).pvalue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440"/>
    <w:p w14:paraId="64423056">
      <w:pPr>
        <w:pStyle w:val="4"/>
        <w:bidi w:val="0"/>
      </w:pPr>
      <w:bookmarkStart w:id="441" w:name="_Toc30088"/>
      <w:bookmarkStart w:id="442" w:name="vPQPK"/>
      <w:r>
        <w:t>6.5.2 Bootstrap 置信区间</w:t>
      </w:r>
      <w:bookmarkEnd w:id="441"/>
    </w:p>
    <w:bookmarkEnd w:id="442"/>
    <w:p w14:paraId="6757E18A">
      <w:pPr>
        <w:bidi w:val="0"/>
      </w:pPr>
      <w:bookmarkStart w:id="443" w:name="u79ab34fa"/>
      <w:r>
        <w:t xml:space="preserve">对结果进行 </w:t>
      </w:r>
      <w:bookmarkStart w:id="444" w:name="SVv4m"/>
      <w:r>
        <w:t>B=10,000</w:t>
      </w:r>
      <w:bookmarkEnd w:id="444"/>
      <w:r>
        <w:t xml:space="preserve"> 次重采样，计算每个 bootstrap 样本的均值：</w:t>
      </w:r>
    </w:p>
    <w:bookmarkEnd w:id="443"/>
    <w:p w14:paraId="0E81A721">
      <w:pPr>
        <w:bidi w:val="0"/>
      </w:pPr>
      <m:oMathPara>
        <m:oMath>
          <m:sSub>
            <w:bookmarkStart w:id="445" w:name="u01dccd68"/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θ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lower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sSubSup>
            <m:sSubSupPr>
              <m:ctrlPr>
                <w:rPr>
                  <w:rFonts w:hint="default" w:ascii="Cambria Math" w:hAnsi="Cambria Math"/>
                  <w:sz w:val="24"/>
                </w:rPr>
              </m:ctrlPr>
            </m:sSubSupPr>
            <m:e>
              <m:acc>
                <m:accPr>
                  <m:ctrlPr>
                    <w:rPr>
                      <w:rFonts w:hint="default" w:ascii="Cambria Math" w:hAnsi="Cambria Math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θ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(α/2)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(boot)</m:t>
              </m:r>
              <m:ctrlPr>
                <w:rPr>
                  <w:rFonts w:hint="default" w:ascii="Cambria Math" w:hAnsi="Cambria Math"/>
                  <w:sz w:val="24"/>
                </w:rPr>
              </m:ctrlPr>
            </m:sup>
          </m:sSubSup>
          <m:r>
            <m:rPr/>
            <w:rPr>
              <w:rFonts w:hint="default" w:ascii="Cambria Math" w:hAnsi="Cambria Math"/>
              <w:sz w:val="24"/>
            </w:rPr>
            <m:t>, </m:t>
          </m:r>
          <m:sSub>
            <m:sSubPr>
              <m:ctrlPr>
                <w:rPr>
                  <w:rFonts w:hint="default" w:ascii="Cambria Math" w:hAnsi="Cambria Math"/>
                  <w:sz w:val="24"/>
                </w:rPr>
              </m:ctrlPr>
            </m:sSubPr>
            <m:e>
              <m:acc>
                <m:accPr>
                  <m:ctrlPr>
                    <w:rPr>
                      <w:rFonts w:hint="default" w:ascii="Cambria Math" w:hAnsi="Cambria Math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θ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upper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</m:sSub>
          <m:r>
            <m:rPr/>
            <w:rPr>
              <w:rFonts w:hint="default" w:ascii="Cambria Math" w:hAnsi="Cambria Math"/>
              <w:sz w:val="24"/>
            </w:rPr>
            <m:t>=</m:t>
          </m:r>
          <m:sSubSup>
            <m:sSubSupPr>
              <m:ctrlPr>
                <w:rPr>
                  <w:rFonts w:hint="default" w:ascii="Cambria Math" w:hAnsi="Cambria Math"/>
                  <w:sz w:val="24"/>
                </w:rPr>
              </m:ctrlPr>
            </m:sSubSupPr>
            <m:e>
              <m:acc>
                <m:accPr>
                  <m:ctrlPr>
                    <w:rPr>
                      <w:rFonts w:hint="default" w:ascii="Cambria Math" w:hAnsi="Cambria Math"/>
                      <w:sz w:val="24"/>
                    </w:rPr>
                  </m:ctrlPr>
                </m:accPr>
                <m:e>
                  <m:r>
                    <m:rPr/>
                    <w:rPr>
                      <w:rFonts w:hint="default" w:ascii="Cambria Math" w:hAnsi="Cambria Math"/>
                      <w:sz w:val="24"/>
                    </w:rPr>
                    <m:t>θ</m:t>
                  </m:r>
                  <m:ctrlPr>
                    <w:rPr>
                      <w:rFonts w:ascii="Cambria Math" w:hAnsi="Cambria Math"/>
                      <w:sz w:val="24"/>
                    </w:rPr>
                  </m:ctrlPr>
                </m:e>
              </m:acc>
              <m:ctrlPr>
                <w:rPr>
                  <w:rFonts w:hint="default" w:ascii="Cambria Math" w:hAnsi="Cambria Math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4"/>
                </w:rPr>
                <m:t>(1−α/2)</m:t>
              </m:r>
              <m:ctrlPr>
                <w:rPr>
                  <w:rFonts w:hint="default" w:ascii="Cambria Math" w:hAnsi="Cambria Math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4"/>
                </w:rPr>
                <m:t>(boot)</m:t>
              </m:r>
              <m:ctrlPr>
                <w:rPr>
                  <w:rFonts w:hint="default" w:ascii="Cambria Math" w:hAnsi="Cambria Math"/>
                  <w:sz w:val="24"/>
                </w:rPr>
              </m:ctrlPr>
            </m:sup>
          </m:sSubSup>
        </m:oMath>
      </m:oMathPara>
    </w:p>
    <w:bookmarkEnd w:id="445"/>
    <w:p w14:paraId="11E355FA">
      <w:pPr>
        <w:bidi w:val="0"/>
      </w:pPr>
      <w:bookmarkStart w:id="446" w:name="u0c7e943a"/>
      <w:r>
        <w:t>如果两个模型的置信区间不重叠，说明差异显著。</w:t>
      </w:r>
      <w:bookmarkEnd w:id="446"/>
      <w:bookmarkStart w:id="447" w:name="XoSrf"/>
    </w:p>
    <w:bookmarkEnd w:id="447"/>
    <w:p w14:paraId="641BE11F">
      <w:pPr>
        <w:pStyle w:val="3"/>
        <w:bidi w:val="0"/>
      </w:pPr>
      <w:bookmarkStart w:id="448" w:name="_Toc29240"/>
      <w:bookmarkStart w:id="449" w:name="ppJak"/>
      <w:r>
        <w:t>6.6 局限性分析</w:t>
      </w:r>
      <w:bookmarkEnd w:id="448"/>
    </w:p>
    <w:bookmarkEnd w:id="449"/>
    <w:p w14:paraId="7AB2DD42">
      <w:pPr>
        <w:pStyle w:val="4"/>
        <w:bidi w:val="0"/>
      </w:pPr>
      <w:bookmarkStart w:id="450" w:name="_Toc14016"/>
      <w:bookmarkStart w:id="451" w:name="KL6RF"/>
      <w:r>
        <w:t>6.6.1 Benchmark 污染</w:t>
      </w:r>
      <w:bookmarkEnd w:id="450"/>
    </w:p>
    <w:bookmarkEnd w:id="451"/>
    <w:p w14:paraId="01EE0A5F">
      <w:pPr>
        <w:bidi w:val="0"/>
      </w:pPr>
      <w:bookmarkStart w:id="452" w:name="u3119f979"/>
      <w:r>
        <w:t xml:space="preserve">数学表达：假设模型在训练中见过测试样本 </w:t>
      </w:r>
      <m:oMath>
        <m:r>
          <m:rPr/>
          <w:rPr>
            <w:rFonts w:hint="default" w:ascii="Cambria Math" w:hAnsi="Cambria Math"/>
            <w:sz w:val="24"/>
          </w:rPr>
          <m:t>(x,</m:t>
        </m:r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y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∗</m:t>
            </m:r>
            <m:ctrlPr>
              <w:rPr>
                <w:rFonts w:ascii="Cambria Math" w:hAnsi="Cambria Math"/>
                <w:sz w:val="24"/>
              </w:rPr>
            </m:ctrlPr>
          </m:sup>
        </m:sSup>
        <m:r>
          <m:rPr/>
          <w:rPr>
            <w:rFonts w:hint="default" w:ascii="Cambria Math" w:hAnsi="Cambria Math"/>
            <w:sz w:val="24"/>
          </w:rPr>
          <m:t>)</m:t>
        </m:r>
      </m:oMath>
      <w:r>
        <w:t>，其条件概率不再反映泛化能力：</w:t>
      </w:r>
    </w:p>
    <w:bookmarkEnd w:id="452"/>
    <w:p w14:paraId="27AE4CE3">
      <w:pPr>
        <w:bidi w:val="0"/>
      </w:pPr>
      <m:oMathPara>
        <m:oMath>
          <w:bookmarkStart w:id="453" w:name="u39fe9e73"/>
          <m:r>
            <m:rPr/>
            <w:rPr>
              <w:rFonts w:hint="default" w:ascii="Cambria Math" w:hAnsi="Cambria Math"/>
              <w:sz w:val="24"/>
            </w:rPr>
            <m:t>P(y|x;θ)→1 不是因为推理，而是因为记忆</m:t>
          </m:r>
        </m:oMath>
      </m:oMathPara>
    </w:p>
    <w:bookmarkEnd w:id="453"/>
    <w:p w14:paraId="740A1298">
      <w:pPr>
        <w:bidi w:val="0"/>
      </w:pPr>
      <w:bookmarkStart w:id="454" w:name="uf04991e3"/>
      <w:r>
        <w:t>检出方法：13-gram 重叠检查、perplexity 异常检测。</w:t>
      </w:r>
    </w:p>
    <w:bookmarkEnd w:id="454"/>
    <w:p w14:paraId="38842361">
      <w:pPr>
        <w:pStyle w:val="4"/>
        <w:bidi w:val="0"/>
      </w:pPr>
      <w:bookmarkStart w:id="455" w:name="_Toc18513"/>
      <w:bookmarkStart w:id="456" w:name="DpVDF"/>
      <w:r>
        <w:t>6.6.2 辛普森悖论</w:t>
      </w:r>
      <w:bookmarkEnd w:id="455"/>
    </w:p>
    <w:bookmarkEnd w:id="456"/>
    <w:p w14:paraId="41A1E964">
      <w:pPr>
        <w:bidi w:val="0"/>
      </w:pPr>
      <w:bookmarkStart w:id="457" w:name="ue6ac2454"/>
      <w:r>
        <w:t>聚合数据中的趋势可能在子分组中反转：</w:t>
      </w:r>
    </w:p>
    <w:tbl>
      <w:tblPr>
        <w:tblStyle w:val="16"/>
        <w:tblW w:w="9237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72"/>
        <w:gridCol w:w="3765"/>
        <w:gridCol w:w="3900"/>
      </w:tblGrid>
      <w:tr w14:paraId="1F3D0B7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B1DA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学科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641A8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模型A</w:t>
            </w:r>
          </w:p>
        </w:tc>
        <w:tc>
          <w:tcPr>
            <w:tcW w:w="390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3B27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模型B</w:t>
            </w:r>
          </w:p>
        </w:tc>
      </w:tr>
      <w:tr w14:paraId="3ED1A725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FC217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458" w:name="u3235653b"/>
            <w:r>
              <w:t>物理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0653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90/100 (90%)</w:t>
            </w:r>
          </w:p>
        </w:tc>
        <w:tc>
          <w:tcPr>
            <w:tcW w:w="390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1DBFE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80/100 (80%)</w:t>
            </w:r>
          </w:p>
        </w:tc>
      </w:tr>
      <w:tr w14:paraId="506B6DD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E4980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法律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0832D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10/100 (10%)</w:t>
            </w:r>
          </w:p>
        </w:tc>
        <w:tc>
          <w:tcPr>
            <w:tcW w:w="39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46877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5/50 (10%)</w:t>
            </w:r>
          </w:p>
        </w:tc>
      </w:tr>
      <w:tr w14:paraId="276FA5E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57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8E5CF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总计</w:t>
            </w:r>
          </w:p>
        </w:tc>
        <w:tc>
          <w:tcPr>
            <w:tcW w:w="3765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F93DE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100/200 (50%)</w:t>
            </w:r>
          </w:p>
        </w:tc>
        <w:tc>
          <w:tcPr>
            <w:tcW w:w="390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112E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85/150 (56.7%)</w:t>
            </w:r>
          </w:p>
        </w:tc>
      </w:tr>
      <w:bookmarkEnd w:id="458"/>
    </w:tbl>
    <w:p w14:paraId="7E34B24C">
      <w:pPr>
        <w:bidi w:val="0"/>
      </w:pPr>
    </w:p>
    <w:bookmarkEnd w:id="457"/>
    <w:p w14:paraId="1128307E">
      <w:pPr>
        <w:bidi w:val="0"/>
      </w:pPr>
      <w:bookmarkStart w:id="459" w:name="u1de1c255"/>
      <w:r>
        <w:t>模型 A 在物理和法律上都不差于模型 B，但总准确率低于 B——因为 A 的法律样本量大两倍，拖低了加权均值。</w:t>
      </w:r>
    </w:p>
    <w:p w14:paraId="1B8226D9">
      <w:pPr>
        <w:bidi w:val="0"/>
        <w:rPr>
          <w:rFonts w:hint="eastAsia"/>
        </w:rPr>
      </w:pPr>
      <w:r>
        <w:rPr>
          <w:rFonts w:hint="eastAsia"/>
        </w:rPr>
        <w:t>🔗 详见《Evaluation Harness 技术深度解析》第 8 节：所有局限性（污染、评估维度有限、评估模式不一致、聚合信息损失、反转现象、可复现性危机）的详细分析和应对方案。</w:t>
      </w:r>
      <w:bookmarkEnd w:id="459"/>
      <w:bookmarkStart w:id="460" w:name="uZGYA"/>
    </w:p>
    <w:p w14:paraId="5C8EA0BA">
      <w:pPr>
        <w:bidi w:val="0"/>
        <w:rPr>
          <w:rFonts w:hint="eastAsia"/>
        </w:rPr>
      </w:pPr>
    </w:p>
    <w:p w14:paraId="328CBCBA">
      <w:pPr>
        <w:bidi w:val="0"/>
        <w:rPr>
          <w:rFonts w:hint="eastAsia"/>
        </w:rPr>
      </w:pPr>
    </w:p>
    <w:p w14:paraId="7C6B0004">
      <w:pPr>
        <w:bidi w:val="0"/>
        <w:rPr>
          <w:rFonts w:hint="eastAsia"/>
        </w:rPr>
      </w:pPr>
    </w:p>
    <w:p w14:paraId="02A30AD5">
      <w:pPr>
        <w:bidi w:val="0"/>
        <w:rPr>
          <w:rFonts w:hint="eastAsia"/>
        </w:rPr>
      </w:pPr>
    </w:p>
    <w:p w14:paraId="53FF01AF">
      <w:pPr>
        <w:bidi w:val="0"/>
        <w:rPr>
          <w:rFonts w:hint="eastAsia"/>
        </w:rPr>
      </w:pPr>
    </w:p>
    <w:p w14:paraId="28C05B6E">
      <w:pPr>
        <w:bidi w:val="0"/>
        <w:rPr>
          <w:rFonts w:hint="eastAsia"/>
        </w:rPr>
      </w:pPr>
    </w:p>
    <w:p w14:paraId="5E2AD884">
      <w:pPr>
        <w:bidi w:val="0"/>
        <w:rPr>
          <w:rFonts w:hint="eastAsia"/>
        </w:rPr>
      </w:pPr>
    </w:p>
    <w:p w14:paraId="3CD34335">
      <w:pPr>
        <w:bidi w:val="0"/>
        <w:rPr>
          <w:rFonts w:hint="eastAsia"/>
        </w:rPr>
      </w:pPr>
    </w:p>
    <w:p w14:paraId="690F7DF4">
      <w:pPr>
        <w:bidi w:val="0"/>
        <w:rPr>
          <w:rFonts w:hint="eastAsia"/>
        </w:rPr>
      </w:pPr>
    </w:p>
    <w:p w14:paraId="789C9B50">
      <w:pPr>
        <w:bidi w:val="0"/>
        <w:rPr>
          <w:rFonts w:hint="eastAsia"/>
        </w:rPr>
      </w:pPr>
    </w:p>
    <w:p w14:paraId="5783334C">
      <w:pPr>
        <w:bidi w:val="0"/>
        <w:rPr>
          <w:rFonts w:hint="eastAsia"/>
        </w:rPr>
      </w:pPr>
    </w:p>
    <w:p w14:paraId="39F33C4B">
      <w:pPr>
        <w:bidi w:val="0"/>
        <w:rPr>
          <w:rFonts w:hint="eastAsia"/>
        </w:rPr>
      </w:pPr>
    </w:p>
    <w:p w14:paraId="2DC1D269">
      <w:pPr>
        <w:bidi w:val="0"/>
        <w:rPr>
          <w:rFonts w:hint="eastAsia"/>
        </w:rPr>
      </w:pPr>
    </w:p>
    <w:p w14:paraId="5E264397">
      <w:pPr>
        <w:bidi w:val="0"/>
        <w:ind w:left="0" w:leftChars="0" w:firstLine="0" w:firstLineChars="0"/>
        <w:rPr>
          <w:rFonts w:hint="eastAsia"/>
        </w:rPr>
      </w:pPr>
    </w:p>
    <w:bookmarkEnd w:id="460"/>
    <w:p w14:paraId="057BBBA8">
      <w:pPr>
        <w:pStyle w:val="2"/>
        <w:bidi w:val="0"/>
      </w:pPr>
      <w:bookmarkStart w:id="461" w:name="_Toc2382"/>
      <w:bookmarkStart w:id="462" w:name="YCf9Q"/>
      <w:r>
        <w:t>7. 综合案例分析：微调 → 对齐 → 评估 端到端管线</w:t>
      </w:r>
      <w:bookmarkEnd w:id="461"/>
    </w:p>
    <w:bookmarkEnd w:id="462"/>
    <w:p w14:paraId="65F73092">
      <w:pPr>
        <w:pStyle w:val="3"/>
        <w:bidi w:val="0"/>
      </w:pPr>
      <w:bookmarkStart w:id="463" w:name="_Toc27578"/>
      <w:bookmarkStart w:id="464" w:name="LN6k4"/>
      <w:r>
        <w:t>7.1 案例场景</w:t>
      </w:r>
      <w:bookmarkEnd w:id="463"/>
    </w:p>
    <w:bookmarkEnd w:id="464"/>
    <w:p w14:paraId="060A5507">
      <w:pPr>
        <w:bidi w:val="0"/>
      </w:pPr>
      <w:bookmarkStart w:id="465" w:name="u21e782c8"/>
      <w:r>
        <w:t>假设我们有一个 7B 基座模型，目标是训练一个能进行数学推理和安全对话的助手。完整的 Post-Training 管线如下：</w:t>
      </w:r>
    </w:p>
    <w:bookmarkEnd w:id="465"/>
    <w:p w14:paraId="2BA395C1">
      <w:pPr>
        <w:pStyle w:val="3"/>
        <w:bidi w:val="0"/>
      </w:pPr>
      <w:bookmarkStart w:id="466" w:name="_Toc253"/>
      <w:bookmarkStart w:id="467" w:name="QjxKN"/>
      <w:r>
        <w:t>7.2 阶段一：SFT（LoRA 微调）</w:t>
      </w:r>
      <w:bookmarkEnd w:id="466"/>
    </w:p>
    <w:bookmarkEnd w:id="467"/>
    <w:p w14:paraId="4146EA5D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468" w:name="XfpdZ"/>
      <w:r>
        <w:rPr>
          <w:rFonts w:ascii="宋体" w:hAnsi="Courier New" w:eastAsia="宋体"/>
          <w:color w:val="000000"/>
          <w:sz w:val="20"/>
        </w:rPr>
        <w:t>from peft import LoraConfig, get_peft_model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from trl import SFTTrainer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model = AutoModelForCausalLM.from_pretrained("Qwen/Qwen2.5-7B")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lora_config = LoraConfig(r=8, target_modules=["q_proj", "v_proj"])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model = get_peft_model(model, lora_config)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trainer = SFTTrainer(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model=model,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train_dataset=sft_data,     # 数学推理 + 通用对话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args=TrainingArguments(learning_rate=2e-4, num_train_epochs=3),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trainer.train()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468"/>
    <w:p w14:paraId="067BD774">
      <w:pPr>
        <w:bidi w:val="0"/>
      </w:pPr>
      <w:bookmarkStart w:id="469" w:name="ude389c22"/>
      <w:r>
        <w:t>目标：让模型学会基本的指令遵循和数学解题格式。</w:t>
      </w:r>
    </w:p>
    <w:bookmarkEnd w:id="469"/>
    <w:p w14:paraId="5472E278">
      <w:pPr>
        <w:pStyle w:val="3"/>
        <w:bidi w:val="0"/>
      </w:pPr>
      <w:bookmarkStart w:id="470" w:name="_Toc17810"/>
      <w:bookmarkStart w:id="471" w:name="Q2YMF"/>
      <w:r>
        <w:t>7.3 阶段二：DPO（偏好对齐）</w:t>
      </w:r>
      <w:bookmarkEnd w:id="470"/>
    </w:p>
    <w:bookmarkEnd w:id="471"/>
    <w:p w14:paraId="7331F471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472" w:name="MDkNK"/>
      <w:r>
        <w:rPr>
          <w:rFonts w:ascii="宋体" w:hAnsi="Courier New" w:eastAsia="宋体"/>
          <w:color w:val="000000"/>
          <w:sz w:val="20"/>
        </w:rPr>
        <w:t>from trl import DPOTrainer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dpo_trainer = DPOTrainer(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model=model, ref_model=ref_model,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train_dataset=preference_data,   # HH-RLHF + 安全偏好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args=DPOConfig(beta=0.1, learning_rate=5e-6),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dpo_trainer.train()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472"/>
    <w:p w14:paraId="790A7EDB">
      <w:pPr>
        <w:bidi w:val="0"/>
      </w:pPr>
      <w:bookmarkStart w:id="473" w:name="u2270319f"/>
      <w:r>
        <w:t>目标：让模型学会拒绝有害请求、提供更有帮助的回答。</w:t>
      </w:r>
    </w:p>
    <w:bookmarkEnd w:id="473"/>
    <w:p w14:paraId="6F483DF4">
      <w:pPr>
        <w:pStyle w:val="3"/>
        <w:bidi w:val="0"/>
      </w:pPr>
      <w:bookmarkStart w:id="474" w:name="_Toc31973"/>
      <w:bookmarkStart w:id="475" w:name="lw3og"/>
      <w:r>
        <w:t>7.4 阶段三：GRPO（推理增强，可选）</w:t>
      </w:r>
      <w:bookmarkEnd w:id="474"/>
    </w:p>
    <w:bookmarkEnd w:id="475"/>
    <w:p w14:paraId="072BAFBE">
      <w:pPr>
        <w:bidi w:val="0"/>
      </w:pPr>
      <w:bookmarkStart w:id="476" w:name="ue95b314c"/>
      <w:r>
        <w:t>如果数学推理能力仍不足，在数学题上做 GRPO（需可验证的奖励信号）。</w:t>
      </w:r>
    </w:p>
    <w:bookmarkEnd w:id="476"/>
    <w:p w14:paraId="25F54259">
      <w:pPr>
        <w:bidi w:val="0"/>
      </w:pPr>
      <w:bookmarkStart w:id="477" w:name="u3432e922"/>
      <w:r>
        <w:t>目标：增强模型的数学推理链生成能力。</w:t>
      </w:r>
    </w:p>
    <w:bookmarkEnd w:id="477"/>
    <w:p w14:paraId="3C28FE0D">
      <w:pPr>
        <w:pStyle w:val="3"/>
        <w:bidi w:val="0"/>
      </w:pPr>
      <w:bookmarkStart w:id="478" w:name="_Toc20770"/>
      <w:bookmarkStart w:id="479" w:name="kGyqN"/>
      <w:r>
        <w:t>7.5 阶段四：系统评估</w:t>
      </w:r>
      <w:bookmarkEnd w:id="478"/>
    </w:p>
    <w:bookmarkEnd w:id="479"/>
    <w:p w14:paraId="17AA43C4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480" w:name="QfIdv"/>
      <w:r>
        <w:rPr>
          <w:rFonts w:ascii="宋体" w:hAnsi="Courier New" w:eastAsia="宋体"/>
          <w:color w:val="000000"/>
          <w:sz w:val="20"/>
        </w:rPr>
        <w:t>lm_eval --model hf --model_args pretrained=./final_model \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--tasks "mmlu,gsm8k,hellaswag,truthfulqa" \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--num_fewshot 5 --seed 42 --log_samples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480"/>
    <w:p w14:paraId="7188FAD3">
      <w:pPr>
        <w:pStyle w:val="3"/>
        <w:bidi w:val="0"/>
      </w:pPr>
      <w:bookmarkStart w:id="481" w:name="_Toc2428"/>
      <w:bookmarkStart w:id="482" w:name="P1GqD"/>
      <w:r>
        <w:t>7.6 迭代决策树</w:t>
      </w:r>
      <w:bookmarkEnd w:id="481"/>
    </w:p>
    <w:bookmarkEnd w:id="482"/>
    <w:p w14:paraId="20670265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483" w:name="dIcCd"/>
      <w:r>
        <w:rPr>
          <w:rFonts w:ascii="宋体" w:hAnsi="Courier New" w:eastAsia="宋体"/>
          <w:color w:val="000000"/>
          <w:sz w:val="20"/>
        </w:rPr>
        <w:t>评估结果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├── MMLU ↓ &gt; 3% → 通用数据回放（在微调数据中混入 5-10% 通用 SFT 数据）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├── GSM8K &lt; 50% → 补充数学 SFT 数据 / GRPO 增强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├── TruthfulQA &lt; 50% → 补充诚实性偏好数据 → 迭代 DPO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└── HellaSwag 正常 → 常识推理保持良好 ✓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483"/>
    <w:p w14:paraId="16014CB2">
      <w:pPr>
        <w:spacing w:beforeLines="100" w:after="50" w:line="360" w:lineRule="auto"/>
        <w:ind w:left="0"/>
      </w:pPr>
      <w:bookmarkStart w:id="484" w:name="BdmXt"/>
      <w:r>
        <w:rPr>
          <w:rFonts w:ascii="宋体" w:eastAsia="宋体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bookmarkEnd w:id="484"/>
    <w:p w14:paraId="6BBCB342">
      <w:pPr>
        <w:pStyle w:val="2"/>
        <w:bidi w:val="0"/>
      </w:pPr>
      <w:bookmarkStart w:id="485" w:name="_Toc5676"/>
      <w:bookmarkStart w:id="486" w:name="XYh4t"/>
      <w:r>
        <w:t>8. 方法对比与总结</w:t>
      </w:r>
      <w:bookmarkEnd w:id="485"/>
    </w:p>
    <w:bookmarkEnd w:id="486"/>
    <w:p w14:paraId="74AC9A0C">
      <w:pPr>
        <w:pStyle w:val="3"/>
        <w:bidi w:val="0"/>
      </w:pPr>
      <w:bookmarkStart w:id="487" w:name="_Toc4114"/>
      <w:bookmarkStart w:id="488" w:name="ZUcUi"/>
      <w:r>
        <w:t>8.1 按目标选型决策树</w:t>
      </w:r>
      <w:bookmarkEnd w:id="487"/>
    </w:p>
    <w:bookmarkEnd w:id="488"/>
    <w:p w14:paraId="4F712491">
      <w:pPr>
        <w:pStyle w:val="27"/>
        <w:pBdr>
          <w:top w:val="single" w:color="000000" w:themeColor="text1" w:sz="4" w:space="1"/>
          <w:left w:val="single" w:color="000000" w:themeColor="text1" w:sz="4" w:space="4"/>
          <w:bottom w:val="single" w:color="000000" w:themeColor="text1" w:sz="4" w:space="1"/>
          <w:right w:val="single" w:color="000000" w:themeColor="text1" w:sz="4" w:space="4"/>
        </w:pBdr>
        <w:shd w:val="clear" w:color="auto" w:fill="F2F2F2"/>
        <w:spacing w:beforeLines="100" w:after="50" w:line="360" w:lineRule="auto"/>
        <w:ind w:left="0"/>
        <w:jc w:val="left"/>
      </w:pPr>
      <w:bookmarkStart w:id="489" w:name="GKHeR"/>
      <w:r>
        <w:rPr>
          <w:rFonts w:ascii="宋体" w:hAnsi="Courier New" w:eastAsia="宋体"/>
          <w:color w:val="000000"/>
          <w:sz w:val="20"/>
        </w:rPr>
        <w:t>你想优化什么？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├── 对齐（Helpfulness + Harmlessness）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 ├── 有大量 GPU（4×A100）→ RLHF (PPO)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 ├── 有限 GPU + 有偏好数据 → DPO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 ├── 无人类数据但有强 AI API → RLAIF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 └── 需要可审计的价值观 → Constitutional AI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├── 推理（Reasoning）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 ├── 有可验证奖励 → GRPO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   └── 无可验证奖励 → DPO on 推理偏好数据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│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>└── 显存极度有限（单卡 RTX 3090）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├── QLoRA + DPO（7B 模型仅 ~8GB 训练显存）</w:t>
      </w:r>
      <w:r>
        <w:rPr>
          <w:rFonts w:ascii="宋体" w:hAnsi="Courier New" w:eastAsia="宋体"/>
          <w:color w:val="000000"/>
          <w:sz w:val="20"/>
        </w:rPr>
        <w:br w:type="textWrapping"/>
      </w:r>
      <w:r>
        <w:rPr>
          <w:rFonts w:ascii="宋体" w:hAnsi="Courier New" w:eastAsia="宋体"/>
          <w:color w:val="000000"/>
          <w:sz w:val="20"/>
        </w:rPr>
        <w:t xml:space="preserve">    └── ORPO/SimPO（无需参考模型，更省）</w:t>
      </w:r>
      <w:r>
        <w:rPr>
          <w:rFonts w:ascii="宋体" w:hAnsi="Courier New" w:eastAsia="宋体"/>
          <w:color w:val="000000"/>
          <w:sz w:val="20"/>
        </w:rPr>
        <w:br w:type="textWrapping"/>
      </w:r>
    </w:p>
    <w:bookmarkEnd w:id="489"/>
    <w:p w14:paraId="08B5667D">
      <w:pPr>
        <w:pStyle w:val="3"/>
        <w:bidi w:val="0"/>
      </w:pPr>
      <w:bookmarkStart w:id="490" w:name="_Toc16114"/>
      <w:bookmarkStart w:id="491" w:name="onn0V"/>
      <w:r>
        <w:t>8.2 核心方法一句话总结</w:t>
      </w:r>
      <w:bookmarkEnd w:id="490"/>
    </w:p>
    <w:tbl>
      <w:tblPr>
        <w:tblStyle w:val="16"/>
        <w:tblW w:w="9239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696"/>
        <w:gridCol w:w="7543"/>
      </w:tblGrid>
      <w:tr w14:paraId="6930069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A62A3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方法</w:t>
            </w:r>
          </w:p>
        </w:tc>
        <w:tc>
          <w:tcPr>
            <w:tcW w:w="754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74F9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一句话总结</w:t>
            </w:r>
          </w:p>
        </w:tc>
      </w:tr>
      <w:tr w14:paraId="432B6D60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1D14B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492" w:name="u49e3f3bb"/>
            <w:r>
              <w:t>SFT</w:t>
            </w:r>
          </w:p>
        </w:tc>
        <w:tc>
          <w:tcPr>
            <w:tcW w:w="754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FE947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教会模型"回答问题"——Post-Training 的起点，不是终点</w:t>
            </w:r>
          </w:p>
        </w:tc>
      </w:tr>
      <w:tr w14:paraId="67AC7E9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D5D2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Full FT</w:t>
            </w:r>
          </w:p>
        </w:tc>
        <w:tc>
          <w:tcPr>
            <w:tcW w:w="75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92C4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更新所有参数——适应能力最强，但显存和遗忘风险最高</w:t>
            </w:r>
          </w:p>
        </w:tc>
      </w:tr>
      <w:tr w14:paraId="225C0D52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43FE5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LoRA</w:t>
            </w:r>
          </w:p>
        </w:tc>
        <w:tc>
          <w:tcPr>
            <w:tcW w:w="75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A945C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用低秩矩阵 BA 参数化更新——效果接近 Full FT，显存仅 1/7</w:t>
            </w:r>
          </w:p>
        </w:tc>
      </w:tr>
      <w:tr w14:paraId="676A783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3AFA8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QLoRA</w:t>
            </w:r>
          </w:p>
        </w:tc>
        <w:tc>
          <w:tcPr>
            <w:tcW w:w="75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DA617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4-bit 量化 + LoRA——65B 模型在消费级显卡上微调</w:t>
            </w:r>
          </w:p>
        </w:tc>
      </w:tr>
      <w:tr w14:paraId="35842FE7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551E9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RLHF (PPO)</w:t>
            </w:r>
          </w:p>
        </w:tc>
        <w:tc>
          <w:tcPr>
            <w:tcW w:w="75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85BC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训练裁判（RM）+ 用 PPO 优化选手——经典但极其复杂</w:t>
            </w:r>
          </w:p>
        </w:tc>
      </w:tr>
      <w:tr w14:paraId="23A8A66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00AC1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DPO</w:t>
            </w:r>
          </w:p>
        </w:tc>
        <w:tc>
          <w:tcPr>
            <w:tcW w:w="75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8206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省掉裁判和 RL，直接从"哪个更好"中学习——简单稳定</w:t>
            </w:r>
          </w:p>
        </w:tc>
      </w:tr>
      <w:tr w14:paraId="4157877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46E33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GRPO</w:t>
            </w:r>
          </w:p>
        </w:tc>
        <w:tc>
          <w:tcPr>
            <w:tcW w:w="75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960E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组内比较 + 可验证硬奖励——专攻推理，不需要人类</w:t>
            </w:r>
          </w:p>
        </w:tc>
      </w:tr>
      <w:tr w14:paraId="5EEB0DF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9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8CFD2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lm-eval</w:t>
            </w:r>
          </w:p>
        </w:tc>
        <w:tc>
          <w:tcPr>
            <w:tcW w:w="754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EA10B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200+ 标准化评估任务——让评估可复现、可比、可信</w:t>
            </w:r>
          </w:p>
        </w:tc>
      </w:tr>
      <w:bookmarkEnd w:id="491"/>
      <w:bookmarkEnd w:id="492"/>
    </w:tbl>
    <w:p w14:paraId="3B3CDCB2">
      <w:pPr>
        <w:pStyle w:val="3"/>
        <w:bidi w:val="0"/>
      </w:pPr>
      <w:bookmarkStart w:id="493" w:name="_Toc10057"/>
      <w:bookmarkStart w:id="494" w:name="px7fP"/>
      <w:r>
        <w:t>8.3 发展趋势</w:t>
      </w:r>
      <w:bookmarkEnd w:id="493"/>
    </w:p>
    <w:bookmarkEnd w:id="494"/>
    <w:p w14:paraId="58B63397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58" w:firstLine="0" w:firstLineChars="0"/>
        <w:textAlignment w:val="auto"/>
      </w:pPr>
      <w:bookmarkStart w:id="495" w:name="u3a6d1327"/>
      <w:r>
        <w:t>从复杂到简化：RLHF（4 模型）→ DPO（2 模型）→ ORPO/SimPO（1 模型）</w:t>
      </w:r>
    </w:p>
    <w:bookmarkEnd w:id="495"/>
    <w:p w14:paraId="795EE8AB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58" w:firstLine="0" w:firstLineChars="0"/>
        <w:textAlignment w:val="auto"/>
      </w:pPr>
      <w:bookmarkStart w:id="496" w:name="u95ee6a60"/>
      <w:r>
        <w:t>从人类到 AI：人类标注 → RLAIF → 可验证奖励（不需人或 AI 标注）</w:t>
      </w:r>
    </w:p>
    <w:bookmarkEnd w:id="496"/>
    <w:p w14:paraId="40EA6C71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58" w:firstLine="0" w:firstLineChars="0"/>
        <w:textAlignment w:val="auto"/>
      </w:pPr>
      <w:bookmarkStart w:id="497" w:name="u5bacc115"/>
      <w:r>
        <w:t>从通用到专业化：GRPO 专攻推理，Constitutional AI 专攻安全</w:t>
      </w:r>
    </w:p>
    <w:bookmarkEnd w:id="497"/>
    <w:p w14:paraId="07517C32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58" w:firstLine="0" w:firstLineChars="0"/>
        <w:textAlignment w:val="auto"/>
      </w:pPr>
      <w:bookmarkStart w:id="498" w:name="u2a357838"/>
      <w:r>
        <w:t>从静态到动态评估：LiveBench 等动态基准从根源上解决数据污染</w:t>
      </w:r>
    </w:p>
    <w:bookmarkEnd w:id="498"/>
    <w:p w14:paraId="52070E5D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958" w:firstLine="0" w:firstLineChars="0"/>
        <w:textAlignment w:val="auto"/>
      </w:pPr>
      <w:bookmarkStart w:id="499" w:name="u2d74c489"/>
      <w:r>
        <w:t>可验证奖励的崛起：对于有客观答案的任务，可验证奖励比人类偏好更精确、更便宜</w:t>
      </w:r>
    </w:p>
    <w:bookmarkEnd w:id="499"/>
    <w:p w14:paraId="58A50315">
      <w:pPr>
        <w:spacing w:beforeLines="100" w:after="50" w:line="360" w:lineRule="auto"/>
        <w:ind w:left="0"/>
        <w:rPr>
          <w:rFonts w:hint="eastAsia" w:eastAsia="宋体"/>
          <w:lang w:eastAsia="zh-CN"/>
        </w:rPr>
      </w:pPr>
      <w:bookmarkStart w:id="500" w:name="wzyN6"/>
    </w:p>
    <w:p w14:paraId="1EF5C3CA">
      <w:pPr>
        <w:spacing w:beforeLines="100" w:after="50" w:line="360" w:lineRule="auto"/>
        <w:ind w:left="0"/>
        <w:rPr>
          <w:rFonts w:hint="eastAsia" w:eastAsia="宋体"/>
          <w:lang w:eastAsia="zh-CN"/>
        </w:rPr>
      </w:pPr>
    </w:p>
    <w:p w14:paraId="0ECCD243">
      <w:pPr>
        <w:spacing w:beforeLines="100" w:after="50" w:line="360" w:lineRule="auto"/>
        <w:ind w:left="0"/>
        <w:rPr>
          <w:rFonts w:hint="eastAsia" w:eastAsia="宋体"/>
          <w:lang w:eastAsia="zh-CN"/>
        </w:rPr>
      </w:pPr>
    </w:p>
    <w:p w14:paraId="741C059B">
      <w:pPr>
        <w:spacing w:beforeLines="100" w:after="50" w:line="360" w:lineRule="auto"/>
        <w:ind w:left="0"/>
        <w:rPr>
          <w:rFonts w:hint="eastAsia" w:eastAsia="宋体"/>
          <w:lang w:eastAsia="zh-CN"/>
        </w:rPr>
      </w:pPr>
    </w:p>
    <w:p w14:paraId="4BE8F588">
      <w:pPr>
        <w:spacing w:beforeLines="100" w:after="50" w:line="360" w:lineRule="auto"/>
        <w:ind w:left="0"/>
        <w:rPr>
          <w:rFonts w:hint="eastAsia" w:eastAsia="宋体"/>
          <w:lang w:eastAsia="zh-CN"/>
        </w:rPr>
      </w:pPr>
    </w:p>
    <w:p w14:paraId="774AE4DC">
      <w:pPr>
        <w:spacing w:beforeLines="100" w:after="50" w:line="360" w:lineRule="auto"/>
        <w:ind w:left="0"/>
        <w:rPr>
          <w:rFonts w:hint="eastAsia" w:eastAsia="宋体"/>
          <w:lang w:eastAsia="zh-CN"/>
        </w:rPr>
      </w:pPr>
    </w:p>
    <w:p w14:paraId="11006ED4">
      <w:pPr>
        <w:spacing w:beforeLines="100" w:after="50" w:line="360" w:lineRule="auto"/>
        <w:ind w:left="0"/>
        <w:rPr>
          <w:rFonts w:hint="eastAsia" w:eastAsia="宋体"/>
          <w:lang w:eastAsia="zh-CN"/>
        </w:rPr>
      </w:pPr>
    </w:p>
    <w:p w14:paraId="6CFE337E">
      <w:pPr>
        <w:spacing w:beforeLines="100" w:after="50" w:line="360" w:lineRule="auto"/>
        <w:ind w:left="0"/>
        <w:rPr>
          <w:rFonts w:hint="eastAsia" w:eastAsia="宋体"/>
          <w:lang w:eastAsia="zh-CN"/>
        </w:rPr>
      </w:pPr>
    </w:p>
    <w:bookmarkEnd w:id="500"/>
    <w:p w14:paraId="051A4108">
      <w:pPr>
        <w:pStyle w:val="2"/>
        <w:bidi w:val="0"/>
      </w:pPr>
      <w:bookmarkStart w:id="501" w:name="_Toc28494"/>
      <w:bookmarkStart w:id="502" w:name="L4A30"/>
      <w:r>
        <w:t>9. 参考文献</w:t>
      </w:r>
      <w:bookmarkEnd w:id="501"/>
    </w:p>
    <w:bookmarkEnd w:id="502"/>
    <w:p w14:paraId="2F85F369">
      <w:pPr>
        <w:pStyle w:val="3"/>
        <w:bidi w:val="0"/>
      </w:pPr>
      <w:bookmarkStart w:id="503" w:name="_Toc13393"/>
      <w:bookmarkStart w:id="504" w:name="OIKMa"/>
      <w:r>
        <w:t>核心论文</w:t>
      </w:r>
      <w:bookmarkEnd w:id="503"/>
    </w:p>
    <w:tbl>
      <w:tblPr>
        <w:tblStyle w:val="16"/>
        <w:tblW w:w="92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56"/>
        <w:gridCol w:w="5933"/>
        <w:gridCol w:w="927"/>
        <w:gridCol w:w="1927"/>
      </w:tblGrid>
      <w:tr w14:paraId="2882D92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5AD68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#</w:t>
            </w:r>
          </w:p>
        </w:tc>
        <w:tc>
          <w:tcPr>
            <w:tcW w:w="593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20EF4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论文</w:t>
            </w:r>
          </w:p>
        </w:tc>
        <w:tc>
          <w:tcPr>
            <w:tcW w:w="92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0B6F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年份</w:t>
            </w:r>
          </w:p>
        </w:tc>
        <w:tc>
          <w:tcPr>
            <w:tcW w:w="1927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B43E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主题</w:t>
            </w:r>
          </w:p>
        </w:tc>
      </w:tr>
      <w:tr w14:paraId="6D7429E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50973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505" w:name="ud355e4af"/>
            <w:r>
              <w:t>1</w:t>
            </w:r>
          </w:p>
        </w:tc>
        <w:tc>
          <w:tcPr>
            <w:tcW w:w="593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A491D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Ouyang et al., Training language models to follow instructions with human feedback</w:t>
            </w:r>
          </w:p>
        </w:tc>
        <w:tc>
          <w:tcPr>
            <w:tcW w:w="92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BD975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2022</w:t>
            </w:r>
          </w:p>
        </w:tc>
        <w:tc>
          <w:tcPr>
            <w:tcW w:w="1927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2C580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RLHF / InstructGPT</w:t>
            </w:r>
          </w:p>
        </w:tc>
      </w:tr>
      <w:tr w14:paraId="2815510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C2709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2</w:t>
            </w:r>
          </w:p>
        </w:tc>
        <w:tc>
          <w:tcPr>
            <w:tcW w:w="59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92C6C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Rafailov et al., Direct Preference Optimization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63332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2023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17F3F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DPO</w:t>
            </w:r>
          </w:p>
        </w:tc>
      </w:tr>
      <w:tr w14:paraId="57E9856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B6247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3</w:t>
            </w:r>
          </w:p>
        </w:tc>
        <w:tc>
          <w:tcPr>
            <w:tcW w:w="59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79E90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DeepSeek-AI, DeepSeek-R1: Incentivizing Reasoning Capability in LLMs via RL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0AF56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2025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BB8B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GRPO / 推理对齐</w:t>
            </w:r>
          </w:p>
        </w:tc>
      </w:tr>
      <w:tr w14:paraId="6506AA0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CEB33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4</w:t>
            </w:r>
          </w:p>
        </w:tc>
        <w:tc>
          <w:tcPr>
            <w:tcW w:w="59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384D0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Bai et al., Constitutional AI: Harmlessness from AI Feedback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78739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2022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4013F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宪法 AI</w:t>
            </w:r>
          </w:p>
        </w:tc>
      </w:tr>
      <w:tr w14:paraId="05CCF74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CE127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5</w:t>
            </w:r>
          </w:p>
        </w:tc>
        <w:tc>
          <w:tcPr>
            <w:tcW w:w="59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A5A95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Lee et al., RLAIF: Scaling RLHF with AI Feedback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7D71F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2023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3A19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RLAIF</w:t>
            </w:r>
          </w:p>
        </w:tc>
      </w:tr>
      <w:tr w14:paraId="2202507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DB07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6</w:t>
            </w:r>
          </w:p>
        </w:tc>
        <w:tc>
          <w:tcPr>
            <w:tcW w:w="59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05EE4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Hu et al., LoRA: Low-Rank Adaptation of Large Language Models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FA59B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2021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53793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参数高效微调</w:t>
            </w:r>
          </w:p>
        </w:tc>
      </w:tr>
      <w:tr w14:paraId="6D467A5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FCD36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7</w:t>
            </w:r>
          </w:p>
        </w:tc>
        <w:tc>
          <w:tcPr>
            <w:tcW w:w="59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2E307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Dettmers et al., QLoRA: Efficient Finetuning of Quantized Language Models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40FEF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2023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DC37B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量化微调</w:t>
            </w:r>
          </w:p>
        </w:tc>
      </w:tr>
      <w:tr w14:paraId="31CD543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A38A1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8</w:t>
            </w:r>
          </w:p>
        </w:tc>
        <w:tc>
          <w:tcPr>
            <w:tcW w:w="59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4F929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Taori et al., Alpaca: A Strong, Replicable Instruction-Following Model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62AFB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2023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7DB2C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SFT / Self-Instruct</w:t>
            </w:r>
          </w:p>
        </w:tc>
      </w:tr>
      <w:tr w14:paraId="2B56AB3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154AC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9</w:t>
            </w:r>
          </w:p>
        </w:tc>
        <w:tc>
          <w:tcPr>
            <w:tcW w:w="59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306A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Hendrycks et al., Measuring Massive Multitask Language Understanding (MMLU)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D1EF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2020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1636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评估基准</w:t>
            </w:r>
          </w:p>
        </w:tc>
      </w:tr>
      <w:tr w14:paraId="74BEB59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2B8DF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10</w:t>
            </w:r>
          </w:p>
        </w:tc>
        <w:tc>
          <w:tcPr>
            <w:tcW w:w="59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C9EB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Cobbe et al., Training Verifiers to Solve Math Word Problems (GSM8K)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821A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2021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E04DE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评估基准</w:t>
            </w:r>
          </w:p>
        </w:tc>
      </w:tr>
      <w:tr w14:paraId="1CBB3FB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A17B3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11</w:t>
            </w:r>
          </w:p>
        </w:tc>
        <w:tc>
          <w:tcPr>
            <w:tcW w:w="59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58DEF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Gao et al., A Framework for Few-Shot Language Model Evaluation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EBB05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2023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254F7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评估框架</w:t>
            </w:r>
          </w:p>
        </w:tc>
      </w:tr>
      <w:tr w14:paraId="0C93C33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6B805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12</w:t>
            </w:r>
          </w:p>
        </w:tc>
        <w:tc>
          <w:tcPr>
            <w:tcW w:w="59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98A8C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Hong et al., ORPO: Monolithic Preference Optimization without Reference Model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4F3C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2024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B1FE6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DPO 变体</w:t>
            </w:r>
          </w:p>
        </w:tc>
      </w:tr>
      <w:tr w14:paraId="61D68E4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B7DFA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13</w:t>
            </w:r>
          </w:p>
        </w:tc>
        <w:tc>
          <w:tcPr>
            <w:tcW w:w="59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6CB53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Meng et al., SimPO: Simple Preference Optimization with a Reference-Free Reward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AEBAE2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2024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4B187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DPO 变体</w:t>
            </w:r>
          </w:p>
        </w:tc>
      </w:tr>
      <w:tr w14:paraId="473206CF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928DF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14</w:t>
            </w:r>
          </w:p>
        </w:tc>
        <w:tc>
          <w:tcPr>
            <w:tcW w:w="593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640D0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Liu et al., DoRA: Weight-Decomposed Low-Rank Adaptation</w:t>
            </w:r>
          </w:p>
        </w:tc>
        <w:tc>
          <w:tcPr>
            <w:tcW w:w="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EA91F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2024</w:t>
            </w:r>
          </w:p>
        </w:tc>
        <w:tc>
          <w:tcPr>
            <w:tcW w:w="1927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BD166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LoRA 改进</w:t>
            </w:r>
          </w:p>
        </w:tc>
      </w:tr>
      <w:tr w14:paraId="42376E2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90A1F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15</w:t>
            </w:r>
          </w:p>
        </w:tc>
        <w:tc>
          <w:tcPr>
            <w:tcW w:w="593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2E5B81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Meng et al., PiSSA: Principal Singular Values and Singular Vectors Adaptation</w:t>
            </w:r>
          </w:p>
        </w:tc>
        <w:tc>
          <w:tcPr>
            <w:tcW w:w="92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20A50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2024</w:t>
            </w:r>
          </w:p>
        </w:tc>
        <w:tc>
          <w:tcPr>
            <w:tcW w:w="1927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E27DC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LoRA 改进</w:t>
            </w:r>
          </w:p>
        </w:tc>
      </w:tr>
      <w:bookmarkEnd w:id="505"/>
    </w:tbl>
    <w:p w14:paraId="2885009B"/>
    <w:bookmarkEnd w:id="504"/>
    <w:p w14:paraId="2D318157">
      <w:pPr>
        <w:pStyle w:val="3"/>
        <w:bidi w:val="0"/>
      </w:pPr>
      <w:bookmarkStart w:id="506" w:name="_Toc28035"/>
      <w:bookmarkStart w:id="507" w:name="sv11m"/>
      <w:r>
        <w:t>核心开源项目</w:t>
      </w:r>
      <w:bookmarkEnd w:id="506"/>
    </w:p>
    <w:tbl>
      <w:tblPr>
        <w:tblStyle w:val="16"/>
        <w:tblW w:w="9239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431"/>
        <w:gridCol w:w="2076"/>
        <w:gridCol w:w="3732"/>
      </w:tblGrid>
      <w:tr w14:paraId="4872912B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F68B02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项目</w:t>
            </w:r>
          </w:p>
        </w:tc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66A455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维护方</w:t>
            </w:r>
          </w:p>
        </w:tc>
        <w:tc>
          <w:tcPr>
            <w:tcW w:w="3732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16C8EF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用途</w:t>
            </w:r>
          </w:p>
        </w:tc>
      </w:tr>
      <w:tr w14:paraId="33C05626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66A2B2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bookmarkStart w:id="508" w:name="u091e53a0"/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"https://github.com/EleutherAI/lm-evaluation-harness" \h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olor w:val="0000FF"/>
                <w:sz w:val="24"/>
                <w:szCs w:val="24"/>
              </w:rPr>
              <w:t>lm-evaluation-harness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FF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B46E1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EleutherAI</w:t>
            </w:r>
          </w:p>
        </w:tc>
        <w:tc>
          <w:tcPr>
            <w:tcW w:w="3732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F6E10C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标准化评估框架</w:t>
            </w:r>
          </w:p>
        </w:tc>
      </w:tr>
      <w:tr w14:paraId="53B5BE5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232986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"https://github.com/huggingface/peft" \h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olor w:val="0000FF"/>
                <w:sz w:val="24"/>
                <w:szCs w:val="24"/>
              </w:rPr>
              <w:t>PEFT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FF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54127D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HuggingFace</w:t>
            </w:r>
          </w:p>
        </w:tc>
        <w:tc>
          <w:tcPr>
            <w:tcW w:w="37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CA6148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LoRA / QLoRA / DoRA</w:t>
            </w:r>
          </w:p>
        </w:tc>
      </w:tr>
      <w:tr w14:paraId="240B9DE4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C75BF6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"https://github.com/huggingface/trl" \h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olor w:val="0000FF"/>
                <w:sz w:val="24"/>
                <w:szCs w:val="24"/>
              </w:rPr>
              <w:t>TRL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FF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26AB0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HuggingFace</w:t>
            </w:r>
          </w:p>
        </w:tc>
        <w:tc>
          <w:tcPr>
            <w:tcW w:w="37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227215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SFT / DPO / PPO Trainer</w:t>
            </w:r>
          </w:p>
        </w:tc>
      </w:tr>
      <w:tr w14:paraId="2B44AEC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284E0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"https://github.com/TimDettmers/bitsandbytes" \h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olor w:val="0000FF"/>
                <w:sz w:val="24"/>
                <w:szCs w:val="24"/>
              </w:rPr>
              <w:t>BitsAndBytes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FF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C6415F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Tim Dettmers</w:t>
            </w:r>
          </w:p>
        </w:tc>
        <w:tc>
          <w:tcPr>
            <w:tcW w:w="37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91A93A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4-bit / 8-bit 量化</w:t>
            </w:r>
          </w:p>
        </w:tc>
      </w:tr>
      <w:tr w14:paraId="02667A2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C9D07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"https://github.com/hiyouga/LLaMA-Factory" \h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olor w:val="0000FF"/>
                <w:sz w:val="24"/>
                <w:szCs w:val="24"/>
              </w:rPr>
              <w:t>LLaMA-Factory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FF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4A7DA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hiyouga</w:t>
            </w:r>
          </w:p>
        </w:tc>
        <w:tc>
          <w:tcPr>
            <w:tcW w:w="37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038E2F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一站式微调/对齐平台</w:t>
            </w:r>
          </w:p>
        </w:tc>
      </w:tr>
      <w:tr w14:paraId="10A510C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90EF9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"https://github.com/OpenRLHF/OpenRLHF" \h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olor w:val="0000FF"/>
                <w:sz w:val="24"/>
                <w:szCs w:val="24"/>
              </w:rPr>
              <w:t>OpenRLHF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FF"/>
                <w:sz w:val="24"/>
                <w:szCs w:val="24"/>
              </w:rPr>
              <w:fldChar w:fldCharType="end"/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9203A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OpenRLHF</w:t>
            </w:r>
          </w:p>
        </w:tc>
        <w:tc>
          <w:tcPr>
            <w:tcW w:w="3732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959E3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分布式 RLHF 训练</w:t>
            </w:r>
          </w:p>
        </w:tc>
      </w:tr>
      <w:tr w14:paraId="03F75FB8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431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F07C47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HYPERLINK "https://github.com/volcengine/verl" \h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b w:val="0"/>
                <w:i w:val="0"/>
                <w:color w:val="0000FF"/>
                <w:sz w:val="24"/>
                <w:szCs w:val="24"/>
              </w:rPr>
              <w:t>veRL</w:t>
            </w:r>
            <w:r>
              <w:rPr>
                <w:rFonts w:hint="eastAsia" w:ascii="宋体" w:hAnsi="宋体" w:eastAsia="宋体" w:cs="宋体"/>
                <w:b w:val="0"/>
                <w:i w:val="0"/>
                <w:color w:val="0000FF"/>
                <w:sz w:val="24"/>
                <w:szCs w:val="24"/>
              </w:rPr>
              <w:fldChar w:fldCharType="end"/>
            </w:r>
          </w:p>
        </w:tc>
        <w:tc>
          <w:tcPr>
            <w:tcW w:w="2076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7D700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字节跳动</w:t>
            </w:r>
          </w:p>
        </w:tc>
        <w:tc>
          <w:tcPr>
            <w:tcW w:w="3732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96E38A">
            <w:pPr>
              <w:snapToGrid w:val="0"/>
              <w:spacing w:beforeLines="100" w:after="50" w:line="240" w:lineRule="auto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sz w:val="24"/>
                <w:szCs w:val="24"/>
              </w:rPr>
              <w:t>高性能 RLHF</w:t>
            </w:r>
          </w:p>
        </w:tc>
      </w:tr>
      <w:bookmarkEnd w:id="507"/>
      <w:bookmarkEnd w:id="508"/>
    </w:tbl>
    <w:p w14:paraId="3E6628A7">
      <w:pPr>
        <w:pStyle w:val="3"/>
        <w:bidi w:val="0"/>
      </w:pPr>
      <w:bookmarkStart w:id="509" w:name="_Toc19176"/>
      <w:bookmarkStart w:id="510" w:name="NVlJl"/>
      <w:r>
        <w:t>本地参考文档</w:t>
      </w:r>
      <w:bookmarkEnd w:id="509"/>
    </w:p>
    <w:tbl>
      <w:tblPr>
        <w:tblStyle w:val="16"/>
        <w:tblW w:w="9243" w:type="dxa"/>
        <w:jc w:val="center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600"/>
        <w:gridCol w:w="5643"/>
      </w:tblGrid>
      <w:tr w14:paraId="0A864B5C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60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A8D70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文档</w:t>
            </w:r>
          </w:p>
        </w:tc>
        <w:tc>
          <w:tcPr>
            <w:tcW w:w="564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6C5E9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  <w:lang w:val="en-US" w:eastAsia="en-US"/>
              </w:rPr>
            </w:pPr>
            <w:r>
              <w:rPr>
                <w:b/>
              </w:rPr>
              <w:t>内容</w:t>
            </w:r>
          </w:p>
        </w:tc>
      </w:tr>
      <w:tr w14:paraId="65D3CFE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00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D7AD3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bookmarkStart w:id="511" w:name="u7c513127"/>
            <w:r>
              <w:t>《Evaluation Harness 技术深度解析》</w:t>
            </w:r>
          </w:p>
        </w:tc>
        <w:tc>
          <w:tcPr>
            <w:tcW w:w="5643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89629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评估架构（第 1-2 节）、Benchmark 定义（第 3 节）、Harness 使用（第 5-6 节）、统计检验（第 7 节）、局限性（第 8 节）</w:t>
            </w:r>
          </w:p>
        </w:tc>
      </w:tr>
      <w:tr w14:paraId="04F4F50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8F2AE5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《Alignment 技术笔记》</w:t>
            </w:r>
          </w:p>
        </w:tc>
        <w:tc>
          <w:tcPr>
            <w:tcW w:w="56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B294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SFT 局限（第 1.3 节）、RLHF 三段完整推导（第 3 节）、DPO 数学推导（第 4 节）、GRPO 与 DeepSeek-R1（第 7 节）、评估基准（第 8.4 节）</w:t>
            </w:r>
          </w:p>
        </w:tc>
      </w:tr>
      <w:tr w14:paraId="5C1B6FC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47ABC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《Fine-tuning 技术笔记》</w:t>
            </w:r>
          </w:p>
        </w:tc>
        <w:tc>
          <w:tcPr>
            <w:tcW w:w="56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03A6A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数学定义（第 1 节）、Full FT vs PEFT（第 4 节）、LoRA 本征维度理论（第 5 节）、QLoRA 量化原理（第 6 节）、Alpaca（第 7 节）、数据格式（第 8 节）、超参数（第 9 节）</w:t>
            </w:r>
          </w:p>
        </w:tc>
      </w:tr>
      <w:tr w14:paraId="7934AB29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21928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lm_eval_example_commands.md</w:t>
            </w:r>
          </w:p>
        </w:tc>
        <w:tc>
          <w:tcPr>
            <w:tcW w:w="56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0CCF4B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lm-eval 命令完整参考</w:t>
            </w:r>
          </w:p>
        </w:tc>
      </w:tr>
      <w:tr w14:paraId="771B035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B94ED7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tool_usage_examples.md</w:t>
            </w:r>
          </w:p>
        </w:tc>
        <w:tc>
          <w:tcPr>
            <w:tcW w:w="5643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2469BD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各工具代码示例</w:t>
            </w:r>
          </w:p>
        </w:tc>
      </w:tr>
      <w:tr w14:paraId="1F5686E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600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AF2069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lang w:val="en-US" w:eastAsia="en-US"/>
              </w:rPr>
            </w:pPr>
            <w:r>
              <w:t>references.md</w:t>
            </w:r>
          </w:p>
        </w:tc>
        <w:tc>
          <w:tcPr>
            <w:tcW w:w="5643" w:type="dxa"/>
            <w:tcBorders>
              <w:top w:val="nil"/>
              <w:left w:val="nil"/>
              <w:bottom w:val="single" w:color="auto" w:sz="12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066AE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lang w:val="en-US" w:eastAsia="en-US"/>
              </w:rPr>
            </w:pPr>
            <w:r>
              <w:t>完整参考文献列表</w:t>
            </w:r>
          </w:p>
        </w:tc>
      </w:tr>
      <w:bookmarkEnd w:id="510"/>
      <w:bookmarkEnd w:id="511"/>
    </w:tbl>
    <w:p w14:paraId="718F6361">
      <w:pPr>
        <w:spacing w:beforeLines="100" w:after="50" w:line="360" w:lineRule="auto"/>
        <w:ind w:left="0" w:leftChars="0" w:firstLine="0" w:firstLineChars="0"/>
      </w:pPr>
      <w:bookmarkStart w:id="512" w:name="uba82061b"/>
    </w:p>
    <w:bookmarkEnd w:id="512"/>
    <w:sectPr>
      <w:pgSz w:w="11907" w:h="16839"/>
      <w:pgMar w:top="1440" w:right="1440" w:bottom="1440" w:left="144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95D4F"/>
    <w:multiLevelType w:val="singleLevel"/>
    <w:tmpl w:val="91995D4F"/>
    <w:lvl w:ilvl="0" w:tentative="0">
      <w:start w:val="1"/>
      <w:numFmt w:val="decimal"/>
      <w:lvlText w:val="%1."/>
      <w:lvlJc w:val="left"/>
      <w:pPr>
        <w:ind w:left="960" w:hanging="360"/>
      </w:pPr>
    </w:lvl>
  </w:abstractNum>
  <w:abstractNum w:abstractNumId="1">
    <w:nsid w:val="C353C7EB"/>
    <w:multiLevelType w:val="singleLevel"/>
    <w:tmpl w:val="C353C7E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D8ED5E3D"/>
    <w:multiLevelType w:val="singleLevel"/>
    <w:tmpl w:val="D8ED5E3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3A894EF"/>
    <w:multiLevelType w:val="singleLevel"/>
    <w:tmpl w:val="E3A894E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E4FFBB6"/>
    <w:multiLevelType w:val="singleLevel"/>
    <w:tmpl w:val="FE4FFBB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180DAD88"/>
    <w:multiLevelType w:val="singleLevel"/>
    <w:tmpl w:val="180DAD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31CE9476"/>
    <w:multiLevelType w:val="singleLevel"/>
    <w:tmpl w:val="31CE947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BF412A5"/>
    <w:multiLevelType w:val="singleLevel"/>
    <w:tmpl w:val="6BF412A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6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overrideTableStyleFontSizeAndJustification" w:uri="http://schemas.microsoft.com/office/word" w:val="1"/>
  </w:compat>
  <w:rsids>
    <w:rsidRoot w:val="00000000"/>
    <w:rsid w:val="05E707A5"/>
    <w:rsid w:val="0A4265E0"/>
    <w:rsid w:val="10572145"/>
    <w:rsid w:val="1F2724C2"/>
    <w:rsid w:val="386A5F92"/>
    <w:rsid w:val="798E7A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qFormat="1" w:uiPriority="99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843" w:firstLineChars="200"/>
      <w:jc w:val="both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qFormat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toc 3"/>
    <w:basedOn w:val="1"/>
    <w:next w:val="1"/>
    <w:semiHidden/>
    <w:unhideWhenUsed/>
    <w:uiPriority w:val="99"/>
    <w:pPr>
      <w:ind w:left="840" w:leftChars="400"/>
    </w:pPr>
  </w:style>
  <w:style w:type="paragraph" w:styleId="10">
    <w:name w:val="header"/>
    <w:basedOn w:val="1"/>
    <w:link w:val="20"/>
    <w:unhideWhenUsed/>
    <w:qFormat/>
    <w:uiPriority w:val="99"/>
    <w:pPr>
      <w:tabs>
        <w:tab w:val="center" w:pos="4680"/>
        <w:tab w:val="right" w:pos="9360"/>
      </w:tabs>
    </w:pPr>
  </w:style>
  <w:style w:type="paragraph" w:styleId="11">
    <w:name w:val="toc 1"/>
    <w:basedOn w:val="1"/>
    <w:next w:val="1"/>
    <w:semiHidden/>
    <w:unhideWhenUsed/>
    <w:uiPriority w:val="99"/>
  </w:style>
  <w:style w:type="paragraph" w:styleId="12">
    <w:name w:val="Subtitle"/>
    <w:basedOn w:val="1"/>
    <w:next w:val="1"/>
    <w:link w:val="25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3">
    <w:name w:val="toc 2"/>
    <w:basedOn w:val="1"/>
    <w:next w:val="1"/>
    <w:semiHidden/>
    <w:unhideWhenUsed/>
    <w:uiPriority w:val="99"/>
    <w:pPr>
      <w:ind w:left="420" w:leftChars="200"/>
    </w:pPr>
  </w:style>
  <w:style w:type="paragraph" w:styleId="14">
    <w:name w:val="Title"/>
    <w:basedOn w:val="1"/>
    <w:next w:val="1"/>
    <w:link w:val="26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6">
    <w:name w:val="Table Grid"/>
    <w:basedOn w:val="15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8">
    <w:name w:val="Emphasis"/>
    <w:basedOn w:val="17"/>
    <w:qFormat/>
    <w:uiPriority w:val="20"/>
    <w:rPr>
      <w:i/>
      <w:iCs/>
    </w:rPr>
  </w:style>
  <w:style w:type="character" w:styleId="19">
    <w:name w:val="Hyperlink"/>
    <w:basedOn w:val="17"/>
    <w:unhideWhenUsed/>
    <w:uiPriority w:val="99"/>
    <w:rPr>
      <w:color w:val="0000FF" w:themeColor="hyperlink"/>
      <w:u w:val="single"/>
    </w:rPr>
  </w:style>
  <w:style w:type="character" w:customStyle="1" w:styleId="20">
    <w:name w:val="Header Char"/>
    <w:basedOn w:val="17"/>
    <w:link w:val="10"/>
    <w:qFormat/>
    <w:uiPriority w:val="99"/>
  </w:style>
  <w:style w:type="character" w:customStyle="1" w:styleId="21">
    <w:name w:val="Heading 1 Char"/>
    <w:basedOn w:val="17"/>
    <w:link w:val="2"/>
    <w:qFormat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22">
    <w:name w:val="Heading 2 Char"/>
    <w:basedOn w:val="17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3">
    <w:name w:val="Heading 3 Char"/>
    <w:basedOn w:val="17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4">
    <w:name w:val="Heading 4 Char"/>
    <w:basedOn w:val="17"/>
    <w:link w:val="5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5">
    <w:name w:val="Subtitle Char"/>
    <w:basedOn w:val="17"/>
    <w:link w:val="1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6">
    <w:name w:val="Title Char"/>
    <w:basedOn w:val="17"/>
    <w:link w:val="14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7">
    <w:name w:val="_Style 23"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51</Pages>
  <Words>3575</Words>
  <Characters>7126</Characters>
  <TotalTime>2</TotalTime>
  <ScaleCrop>false</ScaleCrop>
  <LinksUpToDate>false</LinksUpToDate>
  <CharactersWithSpaces>8420</CharactersWithSpaces>
  <Application>WPS Office_12.1.0.26373_F1E327BC-269C-435d-A152-05C5408002CA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2026-06-15T01:44:32Z</dcterms:created>
  <dc:creator>YaXinHu</dc:creator>
  <cp:lastModifiedBy>胡亚鑫</cp:lastModifiedBy>
  <dcterms:modified xsi:type="dcterms:W3CDTF">2026-06-15T03:08:09Z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eyJoZGlkIjoiZDQ2ZmI5NzMyYTRiZGZmNjQzYWFlMWQ5ZWQ5MjlmZjEiLCJ1c2VySWQiOiIxNzI1NDgwOTEyIn0=</vt:lpwstr>
  </property>
  <property fmtid="{D5CDD505-2E9C-101B-9397-08002B2CF9AE}" pid="3" name="KSOProductBuildVer">
    <vt:lpwstr>2052-12.1.0.26373</vt:lpwstr>
  </property>
  <property fmtid="{D5CDD505-2E9C-101B-9397-08002B2CF9AE}" pid="4" name="ICV">
    <vt:lpwstr>F3180B396FC7480CA6075FBD49EA7814_12</vt:lpwstr>
  </property>
</Properties>
</file>