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52024">
      <w:pPr>
        <w:spacing w:before="840" w:after="240"/>
        <w:jc w:val="center"/>
      </w:pPr>
      <w:r>
        <w:rPr>
          <w:rFonts w:ascii="Noto Sans SC Thin" w:hAnsi="Noto Sans SC Thin" w:eastAsia="Noto Sans SC Thin"/>
          <w:b/>
          <w:i w:val="0"/>
          <w:color w:val="2E74B5"/>
          <w:sz w:val="22"/>
        </w:rPr>
        <w:t>研究计划书  ·  RESEARCH PROPOSAL</w:t>
      </w:r>
    </w:p>
    <w:p w14:paraId="1C972C4B">
      <w:pPr>
        <w:pStyle w:val="32"/>
        <w:jc w:val="center"/>
      </w:pPr>
      <w:r>
        <w:rPr>
          <w:rFonts w:ascii="Noto Sans SC Thin" w:hAnsi="Noto Sans SC Thin" w:eastAsia="Noto Sans SC Thin"/>
          <w:b/>
          <w:i w:val="0"/>
          <w:color w:val="17365D"/>
          <w:sz w:val="54"/>
        </w:rPr>
        <w:t>双层在策略蒸馏驱动的</w:t>
      </w:r>
      <w:r>
        <w:rPr>
          <w:rFonts w:ascii="Noto Sans SC Thin" w:hAnsi="Noto Sans SC Thin" w:eastAsia="Noto Sans SC Thin"/>
          <w:b/>
          <w:i w:val="0"/>
          <w:color w:val="17365D"/>
          <w:sz w:val="54"/>
        </w:rPr>
        <w:br w:type="textWrapping"/>
      </w:r>
      <w:r>
        <w:rPr>
          <w:rFonts w:ascii="Noto Sans SC Thin" w:hAnsi="Noto Sans SC Thin" w:eastAsia="Noto Sans SC Thin"/>
          <w:b/>
          <w:i w:val="0"/>
          <w:color w:val="17365D"/>
          <w:sz w:val="54"/>
        </w:rPr>
        <w:t>会话式图像分割</w:t>
      </w:r>
    </w:p>
    <w:p w14:paraId="1F01376A">
      <w:pPr>
        <w:pStyle w:val="27"/>
        <w:jc w:val="center"/>
      </w:pPr>
      <w:r>
        <w:rPr>
          <w:rFonts w:ascii="Noto Sans SC Thin" w:hAnsi="Noto Sans SC Thin" w:eastAsia="Noto Sans SC Thin"/>
          <w:b w:val="0"/>
          <w:i/>
          <w:color w:val="667085"/>
          <w:sz w:val="27"/>
        </w:rPr>
        <w:t>Dual-Level On-Policy Distillation for Conversational Image Segmentation</w:t>
      </w:r>
    </w:p>
    <w:p w14:paraId="36783810">
      <w:pPr>
        <w:spacing w:before="240" w:after="560"/>
        <w:jc w:val="center"/>
      </w:pPr>
      <w:r>
        <w:rPr>
          <w:rFonts w:ascii="Noto Sans SC Thin" w:hAnsi="Noto Sans SC Thin" w:eastAsia="Noto Sans SC Thin"/>
          <w:b/>
          <w:i w:val="0"/>
          <w:color w:val="2E74B5"/>
          <w:sz w:val="22"/>
        </w:rPr>
        <w:t>项目简称：DL-OPD / ConverOPD</w:t>
      </w:r>
    </w:p>
    <w:tbl>
      <w:tblPr>
        <w:tblStyle w:val="33"/>
        <w:tblW w:w="9360" w:type="dxa"/>
        <w:tblInd w:w="12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fixed"/>
        <w:tblCellMar>
          <w:top w:w="0" w:type="dxa"/>
          <w:left w:w="108" w:type="dxa"/>
          <w:bottom w:w="0" w:type="dxa"/>
          <w:right w:w="108" w:type="dxa"/>
        </w:tblCellMar>
      </w:tblPr>
      <w:tblGrid>
        <w:gridCol w:w="4680"/>
        <w:gridCol w:w="4680"/>
      </w:tblGrid>
      <w:tr w14:paraId="775CC5AE">
        <w:tblPrEx>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CellMar>
            <w:top w:w="0" w:type="dxa"/>
            <w:left w:w="108" w:type="dxa"/>
            <w:bottom w:w="0" w:type="dxa"/>
            <w:right w:w="108" w:type="dxa"/>
          </w:tblCellMar>
        </w:tblPrEx>
        <w:tc>
          <w:tcPr>
            <w:tcW w:w="4680" w:type="dxa"/>
            <w:shd w:val="clear" w:color="auto" w:fill="F4F6F9"/>
            <w:tcMar>
              <w:top w:w="80" w:type="dxa"/>
              <w:left w:w="120" w:type="dxa"/>
              <w:bottom w:w="80" w:type="dxa"/>
              <w:right w:w="120" w:type="dxa"/>
            </w:tcMar>
            <w:vAlign w:val="center"/>
          </w:tcPr>
          <w:p w14:paraId="02E0F0FD">
            <w:pPr>
              <w:jc w:val="center"/>
            </w:pPr>
            <w:r>
              <w:rPr>
                <w:rFonts w:ascii="Noto Sans SC Thin" w:hAnsi="Noto Sans SC Thin" w:eastAsia="Noto Sans SC Thin"/>
                <w:b/>
                <w:i w:val="0"/>
                <w:color w:val="17365D"/>
                <w:sz w:val="20"/>
              </w:rPr>
              <w:t>项目负责人</w:t>
            </w:r>
          </w:p>
        </w:tc>
        <w:tc>
          <w:tcPr>
            <w:tcW w:w="4680" w:type="dxa"/>
            <w:tcMar>
              <w:top w:w="80" w:type="dxa"/>
              <w:left w:w="120" w:type="dxa"/>
              <w:bottom w:w="80" w:type="dxa"/>
              <w:right w:w="120" w:type="dxa"/>
            </w:tcMar>
            <w:vAlign w:val="center"/>
          </w:tcPr>
          <w:p w14:paraId="11D7D1D5">
            <w:pPr>
              <w:jc w:val="center"/>
            </w:pPr>
            <w:r>
              <w:rPr>
                <w:rFonts w:ascii="Noto Sans SC Thin" w:hAnsi="Noto Sans SC Thin" w:eastAsia="Noto Sans SC Thin"/>
                <w:b w:val="0"/>
                <w:i w:val="0"/>
                <w:color w:val="111827"/>
                <w:sz w:val="20"/>
              </w:rPr>
              <w:t>程乐超</w:t>
            </w:r>
          </w:p>
        </w:tc>
      </w:tr>
      <w:tr w14:paraId="75095632">
        <w:tblPrEx>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CellMar>
            <w:top w:w="0" w:type="dxa"/>
            <w:left w:w="108" w:type="dxa"/>
            <w:bottom w:w="0" w:type="dxa"/>
            <w:right w:w="108" w:type="dxa"/>
          </w:tblCellMar>
        </w:tblPrEx>
        <w:tc>
          <w:tcPr>
            <w:tcW w:w="4680" w:type="dxa"/>
            <w:shd w:val="clear" w:color="auto" w:fill="F4F6F9"/>
            <w:tcMar>
              <w:top w:w="80" w:type="dxa"/>
              <w:left w:w="120" w:type="dxa"/>
              <w:bottom w:w="80" w:type="dxa"/>
              <w:right w:w="120" w:type="dxa"/>
            </w:tcMar>
            <w:vAlign w:val="center"/>
          </w:tcPr>
          <w:p w14:paraId="3079A2D9">
            <w:pPr>
              <w:jc w:val="center"/>
            </w:pPr>
            <w:r>
              <w:rPr>
                <w:rFonts w:ascii="Noto Sans SC Thin" w:hAnsi="Noto Sans SC Thin" w:eastAsia="Noto Sans SC Thin"/>
                <w:b/>
                <w:i w:val="0"/>
                <w:color w:val="17365D"/>
                <w:sz w:val="20"/>
              </w:rPr>
              <w:t>依托单位</w:t>
            </w:r>
          </w:p>
        </w:tc>
        <w:tc>
          <w:tcPr>
            <w:tcW w:w="4680" w:type="dxa"/>
            <w:tcMar>
              <w:top w:w="80" w:type="dxa"/>
              <w:left w:w="120" w:type="dxa"/>
              <w:bottom w:w="80" w:type="dxa"/>
              <w:right w:w="120" w:type="dxa"/>
            </w:tcMar>
            <w:vAlign w:val="center"/>
          </w:tcPr>
          <w:p w14:paraId="6EE17B46">
            <w:pPr>
              <w:jc w:val="center"/>
            </w:pPr>
            <w:r>
              <w:rPr>
                <w:rFonts w:ascii="Noto Sans SC Thin" w:hAnsi="Noto Sans SC Thin" w:eastAsia="Noto Sans SC Thin"/>
                <w:b w:val="0"/>
                <w:i w:val="0"/>
                <w:color w:val="111827"/>
                <w:sz w:val="20"/>
              </w:rPr>
              <w:t>合肥工业大学</w:t>
            </w:r>
          </w:p>
        </w:tc>
      </w:tr>
      <w:tr w14:paraId="61349B80">
        <w:tblPrEx>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CellMar>
            <w:top w:w="0" w:type="dxa"/>
            <w:left w:w="108" w:type="dxa"/>
            <w:bottom w:w="0" w:type="dxa"/>
            <w:right w:w="108" w:type="dxa"/>
          </w:tblCellMar>
        </w:tblPrEx>
        <w:tc>
          <w:tcPr>
            <w:tcW w:w="4680" w:type="dxa"/>
            <w:shd w:val="clear" w:color="auto" w:fill="F4F6F9"/>
            <w:tcMar>
              <w:top w:w="80" w:type="dxa"/>
              <w:left w:w="120" w:type="dxa"/>
              <w:bottom w:w="80" w:type="dxa"/>
              <w:right w:w="120" w:type="dxa"/>
            </w:tcMar>
            <w:vAlign w:val="center"/>
          </w:tcPr>
          <w:p w14:paraId="6F3BBC39">
            <w:pPr>
              <w:jc w:val="center"/>
            </w:pPr>
            <w:r>
              <w:rPr>
                <w:rFonts w:ascii="Noto Sans SC Thin" w:hAnsi="Noto Sans SC Thin" w:eastAsia="Noto Sans SC Thin"/>
                <w:b/>
                <w:i w:val="0"/>
                <w:color w:val="17365D"/>
                <w:sz w:val="20"/>
              </w:rPr>
              <w:t>研究方向</w:t>
            </w:r>
          </w:p>
        </w:tc>
        <w:tc>
          <w:tcPr>
            <w:tcW w:w="4680" w:type="dxa"/>
            <w:tcMar>
              <w:top w:w="80" w:type="dxa"/>
              <w:left w:w="120" w:type="dxa"/>
              <w:bottom w:w="80" w:type="dxa"/>
              <w:right w:w="120" w:type="dxa"/>
            </w:tcMar>
            <w:vAlign w:val="center"/>
          </w:tcPr>
          <w:p w14:paraId="3317EAD8">
            <w:pPr>
              <w:jc w:val="center"/>
            </w:pPr>
            <w:r>
              <w:rPr>
                <w:rFonts w:ascii="Noto Sans SC Thin" w:hAnsi="Noto Sans SC Thin" w:eastAsia="Noto Sans SC Thin"/>
                <w:b w:val="0"/>
                <w:i w:val="0"/>
                <w:color w:val="111827"/>
                <w:sz w:val="20"/>
              </w:rPr>
              <w:t>会话式图像分割 · 在策略蒸馏 · 数据闭环</w:t>
            </w:r>
          </w:p>
        </w:tc>
      </w:tr>
      <w:tr w14:paraId="4088854B">
        <w:tblPrEx>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CellMar>
            <w:top w:w="0" w:type="dxa"/>
            <w:left w:w="108" w:type="dxa"/>
            <w:bottom w:w="0" w:type="dxa"/>
            <w:right w:w="108" w:type="dxa"/>
          </w:tblCellMar>
        </w:tblPrEx>
        <w:tc>
          <w:tcPr>
            <w:tcW w:w="4680" w:type="dxa"/>
            <w:shd w:val="clear" w:color="auto" w:fill="F4F6F9"/>
            <w:tcMar>
              <w:top w:w="80" w:type="dxa"/>
              <w:left w:w="120" w:type="dxa"/>
              <w:bottom w:w="80" w:type="dxa"/>
              <w:right w:w="120" w:type="dxa"/>
            </w:tcMar>
            <w:vAlign w:val="center"/>
          </w:tcPr>
          <w:p w14:paraId="4505B096">
            <w:pPr>
              <w:jc w:val="center"/>
            </w:pPr>
            <w:r>
              <w:rPr>
                <w:rFonts w:ascii="Noto Sans SC Thin" w:hAnsi="Noto Sans SC Thin" w:eastAsia="Noto Sans SC Thin"/>
                <w:b/>
                <w:i w:val="0"/>
                <w:color w:val="17365D"/>
                <w:sz w:val="20"/>
              </w:rPr>
              <w:t>版本日期</w:t>
            </w:r>
          </w:p>
        </w:tc>
        <w:tc>
          <w:tcPr>
            <w:tcW w:w="4680" w:type="dxa"/>
            <w:tcMar>
              <w:top w:w="80" w:type="dxa"/>
              <w:left w:w="120" w:type="dxa"/>
              <w:bottom w:w="80" w:type="dxa"/>
              <w:right w:w="120" w:type="dxa"/>
            </w:tcMar>
            <w:vAlign w:val="center"/>
          </w:tcPr>
          <w:p w14:paraId="7ACBF4D8">
            <w:pPr>
              <w:jc w:val="center"/>
            </w:pPr>
            <w:r>
              <w:rPr>
                <w:rFonts w:ascii="Noto Sans SC Thin" w:hAnsi="Noto Sans SC Thin" w:eastAsia="Noto Sans SC Thin"/>
                <w:b w:val="0"/>
                <w:i w:val="0"/>
                <w:color w:val="111827"/>
                <w:sz w:val="20"/>
              </w:rPr>
              <w:t>V1.0 · 2026年8月</w:t>
            </w:r>
          </w:p>
        </w:tc>
      </w:tr>
    </w:tbl>
    <w:p w14:paraId="1B4C0CD7">
      <w:pPr>
        <w:spacing w:before="1080"/>
        <w:jc w:val="center"/>
      </w:pPr>
      <w:r>
        <w:rPr>
          <w:rFonts w:ascii="Noto Sans SC Thin" w:hAnsi="Noto Sans SC Thin" w:eastAsia="Noto Sans SC Thin"/>
          <w:b/>
          <w:i w:val="0"/>
          <w:color w:val="2E74B5"/>
          <w:sz w:val="20"/>
        </w:rPr>
        <w:t>项目定位</w:t>
      </w:r>
    </w:p>
    <w:p w14:paraId="040E38FE">
      <w:pPr>
        <w:spacing w:line="288" w:lineRule="auto"/>
        <w:ind w:left="648" w:right="648"/>
        <w:jc w:val="center"/>
      </w:pPr>
      <w:r>
        <w:rPr>
          <w:rFonts w:ascii="Noto Sans SC Thin" w:hAnsi="Noto Sans SC Thin" w:eastAsia="Noto Sans SC Thin"/>
          <w:b w:val="0"/>
          <w:i w:val="0"/>
          <w:color w:val="344054"/>
          <w:sz w:val="21"/>
        </w:rPr>
        <w:t>面向抽象意图、功能、可供性及物理安全推理，将学生实时错误同时转化为动态训练数据与教师纠错状态，构建“数据层—预测层”协同演化的会话式分割方法。</w:t>
      </w:r>
    </w:p>
    <w:p w14:paraId="3A57E2EC">
      <w:r>
        <w:br w:type="page"/>
      </w:r>
    </w:p>
    <w:p w14:paraId="6E408DFD">
      <w:pPr>
        <w:pStyle w:val="3"/>
      </w:pPr>
      <w:r>
        <w:t>项目摘要</w:t>
      </w:r>
    </w:p>
    <w:p w14:paraId="5FD02ED0">
      <w:pPr>
        <w:keepLines w:val="0"/>
        <w:spacing w:before="0" w:after="120" w:line="300" w:lineRule="auto"/>
        <w:jc w:val="both"/>
      </w:pPr>
      <w:r>
        <w:rPr>
          <w:rFonts w:ascii="Noto Sans SC Thin" w:hAnsi="Noto Sans SC Thin" w:eastAsia="Noto Sans SC Thin"/>
          <w:b w:val="0"/>
          <w:i w:val="0"/>
          <w:color w:val="111827"/>
          <w:sz w:val="22"/>
        </w:rPr>
        <w:t>会话式图像分割（Conversational Image Segmentation, CIS）要求模型根据自然语言中的抽象意图、空间关系、事件、功能可供性以及物理安全约束输出像素级掩码。ConVerSeg-Net</w:t>
      </w:r>
      <w:r>
        <w:rPr>
          <w:rFonts w:hint="eastAsia"/>
          <w:b w:val="0"/>
          <w:i w:val="0"/>
          <w:color w:val="111827"/>
          <w:sz w:val="22"/>
          <w:lang w:val="en-US" w:eastAsia="zh-CN"/>
        </w:rPr>
        <w:t xml:space="preserve">  [1] </w:t>
      </w:r>
      <w:r>
        <w:rPr>
          <w:rFonts w:ascii="Noto Sans SC Thin" w:hAnsi="Noto Sans SC Thin" w:eastAsia="Noto Sans SC Thin"/>
          <w:b w:val="0"/>
          <w:i w:val="0"/>
          <w:color w:val="111827"/>
          <w:sz w:val="22"/>
        </w:rPr>
        <w:t>通过融合SAM2的分割先验与Qwen2.5-VL的图文推理能力，为该任务建立了强基线，但其训练仍主要依赖固定数据分布和静态监督：模型在训练中不会围绕自身正在产生的错误获得针对性纠正，数据引擎也不会随学生能力变化而调整。</w:t>
      </w:r>
    </w:p>
    <w:p w14:paraId="3632538E">
      <w:pPr>
        <w:keepLines w:val="0"/>
        <w:spacing w:before="0" w:after="120" w:line="300" w:lineRule="auto"/>
        <w:jc w:val="both"/>
      </w:pPr>
      <w:r>
        <w:rPr>
          <w:rFonts w:hint="eastAsia"/>
          <w:b w:val="0"/>
          <w:i w:val="0"/>
          <w:color w:val="111827"/>
          <w:sz w:val="22"/>
          <w:lang w:val="en-US" w:eastAsia="zh-CN"/>
        </w:rPr>
        <w:t>我们认为</w:t>
      </w:r>
      <w:r>
        <w:rPr>
          <w:rFonts w:ascii="Noto Sans SC Thin" w:hAnsi="Noto Sans SC Thin" w:eastAsia="Noto Sans SC Thin"/>
          <w:b w:val="0"/>
          <w:i w:val="0"/>
          <w:color w:val="111827"/>
          <w:sz w:val="22"/>
        </w:rPr>
        <w:t>模型最有价值的监督并非来自静态教师对固定样本的重复输出，而是来自教师对“当前学生真实会犯的错误”进行纠正，并据此决定下一批最值得生成和训练的数据。</w:t>
      </w:r>
      <w:r>
        <w:rPr>
          <w:rFonts w:hint="eastAsia"/>
          <w:b w:val="0"/>
          <w:i w:val="0"/>
          <w:color w:val="111827"/>
          <w:sz w:val="22"/>
          <w:lang w:val="en-US" w:eastAsia="zh-CN"/>
        </w:rPr>
        <w:t>故据此</w:t>
      </w:r>
      <w:r>
        <w:rPr>
          <w:rFonts w:ascii="Noto Sans SC Thin" w:hAnsi="Noto Sans SC Thin" w:eastAsia="Noto Sans SC Thin"/>
          <w:b w:val="0"/>
          <w:i w:val="0"/>
          <w:color w:val="111827"/>
          <w:sz w:val="22"/>
        </w:rPr>
        <w:t>提出双层在策略蒸馏框架DL-OPD。内层Mask-Policy OPD将分割重新表述为掩码状态策略：学生先产生当前掩码，冻结教师在该学生状态上进行语义与几何纠错，并联合开展像素、边界与中间表征蒸馏；进一步通过Iterative-to-Single-Pass Collapse将多步纠错能力折叠回单次推理。外层Data-Policy OPD根据学生在五类会话概念、负提示、边界和校准维度上的实时错误画像，自适应选择图像、提示生成操作与样本配比，经</w:t>
      </w:r>
      <w:r>
        <w:rPr>
          <w:rFonts w:ascii="Noto Sans SC Thin" w:hAnsi="Noto Sans SC Thin" w:eastAsia="Noto Sans SC Thin"/>
          <w:b w:val="0"/>
          <w:i w:val="0"/>
          <w:color w:val="FF0000"/>
          <w:sz w:val="22"/>
          <w:u w:val="single"/>
        </w:rPr>
        <w:t>多级教师验证</w:t>
      </w:r>
      <w:r>
        <w:commentReference w:id="0"/>
      </w:r>
      <w:r>
        <w:rPr>
          <w:rFonts w:ascii="Noto Sans SC Thin" w:hAnsi="Noto Sans SC Thin" w:eastAsia="Noto Sans SC Thin"/>
          <w:b w:val="0"/>
          <w:i w:val="0"/>
          <w:color w:val="111827"/>
          <w:sz w:val="22"/>
        </w:rPr>
        <w:t>后构建短生命周期困难样本池。</w:t>
      </w:r>
    </w:p>
    <w:p w14:paraId="2E518CA6">
      <w:pPr>
        <w:keepLines w:val="0"/>
        <w:spacing w:before="0" w:after="120" w:line="300" w:lineRule="auto"/>
        <w:jc w:val="both"/>
      </w:pPr>
      <w:r>
        <w:rPr>
          <w:rFonts w:ascii="Noto Sans SC Thin" w:hAnsi="Noto Sans SC Thin" w:eastAsia="Noto Sans SC Thin"/>
          <w:b w:val="0"/>
          <w:i w:val="0"/>
          <w:color w:val="111827"/>
          <w:sz w:val="22"/>
        </w:rPr>
        <w:t>项目将系统研究：学生诱导状态是否优于固定腐化或历史状态；错误驱动的数据策略是否优于随机扩增；两层OPD是否产生互补增益；训练时多步纠错能否在保持单步推理效率的同时提升抽象概念分割、负提示抑制与边界质量。预期形成一套可复现的算法、训练代码、困难提示测试集及完整实验体系，为会话式视觉理解与具身感知中的高价值数据闭环提供方法基础。</w:t>
      </w:r>
    </w:p>
    <w:tbl>
      <w:tblPr>
        <w:tblStyle w:val="33"/>
        <w:tblW w:w="9360" w:type="dxa"/>
        <w:tblInd w:w="120" w:type="dxa"/>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Layout w:type="fixed"/>
        <w:tblCellMar>
          <w:top w:w="0" w:type="dxa"/>
          <w:left w:w="108" w:type="dxa"/>
          <w:bottom w:w="0" w:type="dxa"/>
          <w:right w:w="108" w:type="dxa"/>
        </w:tblCellMar>
      </w:tblPr>
      <w:tblGrid>
        <w:gridCol w:w="9360"/>
      </w:tblGrid>
      <w:tr w14:paraId="5B9017A2">
        <w:tblPrEx>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CellMar>
            <w:top w:w="0" w:type="dxa"/>
            <w:left w:w="108" w:type="dxa"/>
            <w:bottom w:w="0" w:type="dxa"/>
            <w:right w:w="108" w:type="dxa"/>
          </w:tblCellMar>
        </w:tblPrEx>
        <w:tc>
          <w:tcPr>
            <w:tcW w:w="9360" w:type="dxa"/>
            <w:shd w:val="clear" w:color="auto" w:fill="EAF2F8"/>
            <w:tcMar>
              <w:top w:w="80" w:type="dxa"/>
              <w:left w:w="120" w:type="dxa"/>
              <w:bottom w:w="80" w:type="dxa"/>
              <w:right w:w="120" w:type="dxa"/>
            </w:tcMar>
            <w:vAlign w:val="center"/>
          </w:tcPr>
          <w:p w14:paraId="1B03BEAD">
            <w:pPr>
              <w:spacing w:before="40" w:after="40" w:line="283" w:lineRule="auto"/>
            </w:pPr>
            <w:r>
              <w:rPr>
                <w:rFonts w:ascii="Noto Sans SC Thin" w:hAnsi="Noto Sans SC Thin" w:eastAsia="Noto Sans SC Thin"/>
                <w:b/>
                <w:i w:val="0"/>
                <w:color w:val="17365D"/>
                <w:sz w:val="22"/>
              </w:rPr>
              <w:t>核心假设：</w:t>
            </w:r>
            <w:r>
              <w:rPr>
                <w:rFonts w:ascii="Noto Sans SC Thin" w:hAnsi="Noto Sans SC Thin" w:eastAsia="Noto Sans SC Thin"/>
                <w:b w:val="0"/>
                <w:i w:val="0"/>
                <w:color w:val="111827"/>
                <w:sz w:val="22"/>
              </w:rPr>
              <w:t>模型最有价值的监督并非来自静态教师对固定样本的重复输出，而是来自教师对“当前学生真实会犯的错误”进行纠正，并据此决定下一批最值得生成和训练的数据。</w:t>
            </w:r>
          </w:p>
        </w:tc>
      </w:tr>
    </w:tbl>
    <w:p w14:paraId="7DA916B8">
      <w:pPr>
        <w:spacing w:after="20"/>
      </w:pPr>
    </w:p>
    <w:p w14:paraId="59BA799C">
      <w:pPr>
        <w:pStyle w:val="3"/>
      </w:pPr>
      <w:r>
        <w:t>1. 研究背景与问题提出</w:t>
      </w:r>
    </w:p>
    <w:p w14:paraId="0EFE0FCC">
      <w:pPr>
        <w:pStyle w:val="4"/>
      </w:pPr>
      <w:r>
        <w:t>1.1 会话式图像分割的研究需求</w:t>
      </w:r>
    </w:p>
    <w:p w14:paraId="22265298">
      <w:pPr>
        <w:keepLines w:val="0"/>
        <w:spacing w:before="0" w:after="120" w:line="300" w:lineRule="auto"/>
        <w:jc w:val="both"/>
      </w:pPr>
      <w:r>
        <w:rPr>
          <w:rFonts w:ascii="Noto Sans SC Thin" w:hAnsi="Noto Sans SC Thin" w:eastAsia="Noto Sans SC Thin"/>
          <w:b w:val="0"/>
          <w:i w:val="0"/>
          <w:color w:val="111827"/>
          <w:sz w:val="22"/>
        </w:rPr>
        <w:t>传统指代表达分割主要处理类别、属性和简单空间关系，例如“左边的苹果”。实际人机交互中的视觉指令则经常包含隐含目标和物理约束，例如“哪些行李可以取下而不破坏堆叠稳定性”或“哪里适合安全放置热锅”。此类任务不仅要求语义识别和像素定位，还要求模型联合理解关系、功能、可供性、事件与直觉物理。</w:t>
      </w:r>
    </w:p>
    <w:p w14:paraId="3E24370E">
      <w:pPr>
        <w:keepLines w:val="0"/>
        <w:spacing w:before="0" w:after="120" w:line="300" w:lineRule="auto"/>
        <w:jc w:val="both"/>
      </w:pPr>
      <w:r>
        <w:rPr>
          <w:rFonts w:ascii="Noto Sans SC Thin" w:hAnsi="Noto Sans SC Thin" w:eastAsia="Noto Sans SC Thin"/>
          <w:b w:val="0"/>
          <w:i w:val="0"/>
          <w:color w:val="111827"/>
          <w:sz w:val="22"/>
        </w:rPr>
        <w:t>ConVerSeg将此类问题组织为Entity、Spatial &amp; Layout、Relations &amp; Events、Affordances &amp; Functions以及Physics &amp; Safety五类概念，并采用SAM2图像编码器、Qwen2.5-VL提示编码器和SAM2掩码解码器实现单次前向预测[1]。该设计具备较强的结构基础，但仍存在三个关键缺口。</w:t>
      </w:r>
    </w:p>
    <w:p w14:paraId="173E1510">
      <w:pPr>
        <w:numPr>
          <w:ilvl w:val="0"/>
          <w:numId w:val="7"/>
        </w:numPr>
        <w:spacing w:after="80" w:line="290" w:lineRule="auto"/>
        <w:ind w:left="540" w:hanging="279"/>
      </w:pPr>
      <w:r>
        <w:rPr>
          <w:rFonts w:ascii="Noto Sans SC Thin" w:hAnsi="Noto Sans SC Thin" w:eastAsia="Noto Sans SC Thin"/>
          <w:b w:val="0"/>
          <w:i w:val="0"/>
          <w:color w:val="111827"/>
          <w:sz w:val="22"/>
        </w:rPr>
        <w:t>静态监督缺口：训练样本和标签在优化前已经确定，教师并不关注学生当前正在产生的错误分布。</w:t>
      </w:r>
    </w:p>
    <w:p w14:paraId="35DCDB66">
      <w:pPr>
        <w:numPr>
          <w:ilvl w:val="0"/>
          <w:numId w:val="7"/>
        </w:numPr>
        <w:spacing w:after="80" w:line="290" w:lineRule="auto"/>
        <w:ind w:left="540" w:hanging="279"/>
      </w:pPr>
      <w:r>
        <w:rPr>
          <w:rFonts w:ascii="Noto Sans SC Thin" w:hAnsi="Noto Sans SC Thin" w:eastAsia="Noto Sans SC Thin"/>
          <w:b w:val="0"/>
          <w:i w:val="0"/>
          <w:color w:val="111827"/>
          <w:sz w:val="22"/>
        </w:rPr>
        <w:t>数据闭环缺口：自动数据引擎主要按预设模板生成样本，无法根据模型阶段性弱项动态调整概念类别、难度和生成操作。</w:t>
      </w:r>
    </w:p>
    <w:p w14:paraId="04B5D2DE">
      <w:pPr>
        <w:numPr>
          <w:ilvl w:val="0"/>
          <w:numId w:val="7"/>
        </w:numPr>
        <w:spacing w:after="80" w:line="290" w:lineRule="auto"/>
        <w:ind w:left="540" w:hanging="279"/>
      </w:pPr>
      <w:r>
        <w:rPr>
          <w:rFonts w:ascii="Noto Sans SC Thin" w:hAnsi="Noto Sans SC Thin" w:eastAsia="Noto Sans SC Thin"/>
          <w:b w:val="0"/>
          <w:i w:val="0"/>
          <w:color w:val="111827"/>
          <w:sz w:val="22"/>
        </w:rPr>
        <w:t>推理—训练错位：标准知识蒸馏通常在固定输入上匹配教师输出，不能覆盖学生部署时访问的错误状态。</w:t>
      </w:r>
    </w:p>
    <w:p w14:paraId="7815FC93">
      <w:pPr>
        <w:pStyle w:val="4"/>
      </w:pPr>
      <w:r>
        <w:t>1.2 为什么需要双层OPD</w:t>
      </w:r>
    </w:p>
    <w:p w14:paraId="06B7BC9C">
      <w:pPr>
        <w:keepLines w:val="0"/>
        <w:spacing w:before="0" w:after="120" w:line="300" w:lineRule="auto"/>
        <w:jc w:val="both"/>
      </w:pPr>
      <w:r>
        <w:rPr>
          <w:rFonts w:ascii="Noto Sans SC Thin" w:hAnsi="Noto Sans SC Thin" w:eastAsia="Noto Sans SC Thin"/>
          <w:b w:val="0"/>
          <w:i w:val="0"/>
          <w:color w:val="111827"/>
          <w:sz w:val="22"/>
        </w:rPr>
        <w:t>标准On-Policy Distillation的核心是让学生在自身产生的轨迹上接受教师的密集监督，从而缓解离线蒸馏中的分布偏移。对于非自回归分割任务，不能简单照搬语言模型的token轨迹；必须重新定义“策略状态”和“动作”。本项目将学生掩码视为预测状态，将数据选择与提示生成视为训练分布策略，由此构建预测层和数据层两个on-policy环。</w:t>
      </w:r>
    </w:p>
    <w:p w14:paraId="07D656F1">
      <w:pPr>
        <w:spacing w:before="80" w:after="160"/>
        <w:jc w:val="center"/>
      </w:pPr>
      <w:r>
        <w:rPr>
          <w:rFonts w:ascii="Cambria Math" w:hAnsi="Cambria Math" w:eastAsia="Noto Sans SC Thin"/>
          <w:b w:val="0"/>
          <w:i/>
          <w:color w:val="17365D"/>
          <w:sz w:val="21"/>
        </w:rPr>
        <w:t>预测层：qₛᵏ⁺¹ = πθ(I, p, qₛᵏ)    数据层：(I, p) ~ 𝒟θ</w:t>
      </w:r>
    </w:p>
    <w:p w14:paraId="01135730">
      <w:pPr>
        <w:keepLines w:val="0"/>
        <w:spacing w:before="0" w:after="120" w:line="300" w:lineRule="auto"/>
        <w:jc w:val="both"/>
      </w:pPr>
      <w:r>
        <w:rPr>
          <w:rFonts w:ascii="Noto Sans SC Thin" w:hAnsi="Noto Sans SC Thin" w:eastAsia="Noto Sans SC Thin"/>
          <w:b w:val="0"/>
          <w:i w:val="0"/>
          <w:color w:val="111827"/>
          <w:sz w:val="22"/>
        </w:rPr>
        <w:t>该表述使教师不再只回答“正确掩码是什么”，而是回答“面对当前学生的具体错误，应该如何纠正”；数据引擎也不再只回答“还能生成什么数据”，而是回答“当前学生下一步最需要什么数据”。</w:t>
      </w:r>
    </w:p>
    <w:p w14:paraId="1CBD0C20">
      <w:pPr>
        <w:pStyle w:val="3"/>
      </w:pPr>
      <w:r>
        <w:t>2. 研究目标与科学问题</w:t>
      </w:r>
    </w:p>
    <w:p w14:paraId="0628B5E4">
      <w:pPr>
        <w:pStyle w:val="4"/>
      </w:pPr>
      <w:r>
        <w:t>2.1 总体目标</w:t>
      </w:r>
    </w:p>
    <w:p w14:paraId="38378769">
      <w:pPr>
        <w:keepLines w:val="0"/>
        <w:spacing w:before="0" w:after="120" w:line="300" w:lineRule="auto"/>
        <w:jc w:val="both"/>
      </w:pPr>
      <w:r>
        <w:rPr>
          <w:rFonts w:ascii="Noto Sans SC Thin" w:hAnsi="Noto Sans SC Thin" w:eastAsia="Noto Sans SC Thin"/>
          <w:b w:val="0"/>
          <w:i w:val="0"/>
          <w:color w:val="111827"/>
          <w:sz w:val="22"/>
        </w:rPr>
        <w:t>构建面向会话式图像分割的双层在策略蒸馏框架，在不显著增加部署成本的前提下，提高模型对抽象意图、功能可供性、物理安全、负提示和复杂边界的理解与分割能力，并形成可解释、可扩展的数据—模型协同演化机制。</w:t>
      </w:r>
    </w:p>
    <w:p w14:paraId="79FA8C45">
      <w:pPr>
        <w:pStyle w:val="4"/>
      </w:pPr>
      <w:r>
        <w:t>2.2 具体目标</w:t>
      </w:r>
    </w:p>
    <w:p w14:paraId="404CAA52">
      <w:pPr>
        <w:pStyle w:val="16"/>
        <w:spacing w:after="80" w:line="290" w:lineRule="auto"/>
        <w:ind w:left="540" w:hanging="279"/>
      </w:pPr>
      <w:r>
        <w:rPr>
          <w:rFonts w:ascii="Noto Sans SC Thin" w:hAnsi="Noto Sans SC Thin" w:eastAsia="Noto Sans SC Thin"/>
          <w:b w:val="0"/>
          <w:i w:val="0"/>
          <w:color w:val="111827"/>
          <w:sz w:val="22"/>
        </w:rPr>
        <w:t>建立学生掩码状态驱动的教师纠错机制，使训练监督覆盖当前学生真实访问的错误区域。</w:t>
      </w:r>
    </w:p>
    <w:p w14:paraId="74B0F5F3">
      <w:pPr>
        <w:pStyle w:val="16"/>
        <w:spacing w:after="80" w:line="290" w:lineRule="auto"/>
        <w:ind w:left="540" w:hanging="279"/>
      </w:pPr>
      <w:r>
        <w:rPr>
          <w:rFonts w:ascii="Noto Sans SC Thin" w:hAnsi="Noto Sans SC Thin" w:eastAsia="Noto Sans SC Thin"/>
          <w:b w:val="0"/>
          <w:i w:val="0"/>
          <w:color w:val="111827"/>
          <w:sz w:val="22"/>
        </w:rPr>
        <w:t>建立学生错误画像驱动的数据选择和困难提示生成机制，提高单位新增样本的训练价值。</w:t>
      </w:r>
    </w:p>
    <w:p w14:paraId="0DB9C9DE">
      <w:pPr>
        <w:pStyle w:val="16"/>
        <w:spacing w:after="80" w:line="290" w:lineRule="auto"/>
        <w:ind w:left="540" w:hanging="279"/>
      </w:pPr>
      <w:r>
        <w:rPr>
          <w:rFonts w:ascii="Noto Sans SC Thin" w:hAnsi="Noto Sans SC Thin" w:eastAsia="Noto Sans SC Thin"/>
          <w:b w:val="0"/>
          <w:i w:val="0"/>
          <w:color w:val="111827"/>
          <w:sz w:val="22"/>
        </w:rPr>
        <w:t>设计语义、几何和中间表征联合蒸馏目标，并将两步纠错能力折叠至单步推理。</w:t>
      </w:r>
    </w:p>
    <w:p w14:paraId="6E736CE1">
      <w:pPr>
        <w:pStyle w:val="16"/>
        <w:spacing w:after="80" w:line="290" w:lineRule="auto"/>
        <w:ind w:left="540" w:hanging="279"/>
      </w:pPr>
      <w:r>
        <w:rPr>
          <w:rFonts w:ascii="Noto Sans SC Thin" w:hAnsi="Noto Sans SC Thin" w:eastAsia="Noto Sans SC Thin"/>
          <w:b w:val="0"/>
          <w:i w:val="0"/>
          <w:color w:val="111827"/>
          <w:sz w:val="22"/>
        </w:rPr>
        <w:t>构建包含抽象概念、负提示、最小语义对和掩码腐化恢复的评价体系。</w:t>
      </w:r>
    </w:p>
    <w:p w14:paraId="395ED74A">
      <w:pPr>
        <w:pStyle w:val="4"/>
      </w:pPr>
      <w:r>
        <w:t>2.3 拟解决的科学问题</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850"/>
        <w:gridCol w:w="3850"/>
        <w:gridCol w:w="4660"/>
      </w:tblGrid>
      <w:tr w14:paraId="5FA1D0B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850" w:type="dxa"/>
            <w:shd w:val="clear" w:color="auto" w:fill="E8EEF5"/>
            <w:tcMar>
              <w:top w:w="80" w:type="dxa"/>
              <w:left w:w="120" w:type="dxa"/>
              <w:bottom w:w="80" w:type="dxa"/>
              <w:right w:w="120" w:type="dxa"/>
            </w:tcMar>
            <w:vAlign w:val="center"/>
          </w:tcPr>
          <w:p w14:paraId="661BE097">
            <w:pPr>
              <w:spacing w:after="0" w:line="259" w:lineRule="auto"/>
              <w:jc w:val="center"/>
            </w:pPr>
            <w:r>
              <w:rPr>
                <w:rFonts w:ascii="Noto Sans SC Thin" w:hAnsi="Noto Sans SC Thin" w:eastAsia="Noto Sans SC Thin"/>
                <w:b/>
                <w:i w:val="0"/>
                <w:color w:val="17365D"/>
                <w:sz w:val="18"/>
              </w:rPr>
              <w:t>编号</w:t>
            </w:r>
          </w:p>
        </w:tc>
        <w:tc>
          <w:tcPr>
            <w:tcW w:w="3850" w:type="dxa"/>
            <w:shd w:val="clear" w:color="auto" w:fill="E8EEF5"/>
            <w:tcMar>
              <w:top w:w="80" w:type="dxa"/>
              <w:left w:w="120" w:type="dxa"/>
              <w:bottom w:w="80" w:type="dxa"/>
              <w:right w:w="120" w:type="dxa"/>
            </w:tcMar>
            <w:vAlign w:val="center"/>
          </w:tcPr>
          <w:p w14:paraId="1E60BD9D">
            <w:pPr>
              <w:spacing w:after="0" w:line="259" w:lineRule="auto"/>
              <w:jc w:val="center"/>
            </w:pPr>
            <w:r>
              <w:rPr>
                <w:rFonts w:ascii="Noto Sans SC Thin" w:hAnsi="Noto Sans SC Thin" w:eastAsia="Noto Sans SC Thin"/>
                <w:b/>
                <w:i w:val="0"/>
                <w:color w:val="17365D"/>
                <w:sz w:val="18"/>
              </w:rPr>
              <w:t>科学问题</w:t>
            </w:r>
          </w:p>
        </w:tc>
        <w:tc>
          <w:tcPr>
            <w:tcW w:w="4660" w:type="dxa"/>
            <w:shd w:val="clear" w:color="auto" w:fill="E8EEF5"/>
            <w:tcMar>
              <w:top w:w="80" w:type="dxa"/>
              <w:left w:w="120" w:type="dxa"/>
              <w:bottom w:w="80" w:type="dxa"/>
              <w:right w:w="120" w:type="dxa"/>
            </w:tcMar>
            <w:vAlign w:val="center"/>
          </w:tcPr>
          <w:p w14:paraId="0684AC78">
            <w:pPr>
              <w:spacing w:after="0" w:line="259" w:lineRule="auto"/>
              <w:jc w:val="center"/>
            </w:pPr>
            <w:r>
              <w:rPr>
                <w:rFonts w:ascii="Noto Sans SC Thin" w:hAnsi="Noto Sans SC Thin" w:eastAsia="Noto Sans SC Thin"/>
                <w:b/>
                <w:i w:val="0"/>
                <w:color w:val="17365D"/>
                <w:sz w:val="18"/>
              </w:rPr>
              <w:t>可检验判断</w:t>
            </w:r>
          </w:p>
        </w:tc>
      </w:tr>
      <w:tr w14:paraId="35528A1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303BED87">
            <w:pPr>
              <w:spacing w:after="0" w:line="264" w:lineRule="auto"/>
              <w:jc w:val="center"/>
            </w:pPr>
            <w:r>
              <w:rPr>
                <w:rFonts w:ascii="Noto Sans SC Thin" w:hAnsi="Noto Sans SC Thin" w:eastAsia="Noto Sans SC Thin"/>
                <w:b w:val="0"/>
                <w:i w:val="0"/>
                <w:color w:val="111827"/>
                <w:sz w:val="18"/>
              </w:rPr>
              <w:t>Q1</w:t>
            </w:r>
          </w:p>
        </w:tc>
        <w:tc>
          <w:tcPr>
            <w:tcW w:w="3850" w:type="dxa"/>
            <w:tcMar>
              <w:top w:w="80" w:type="dxa"/>
              <w:left w:w="120" w:type="dxa"/>
              <w:bottom w:w="80" w:type="dxa"/>
              <w:right w:w="120" w:type="dxa"/>
            </w:tcMar>
            <w:vAlign w:val="center"/>
          </w:tcPr>
          <w:p w14:paraId="658A7DB9">
            <w:pPr>
              <w:spacing w:after="0" w:line="264" w:lineRule="auto"/>
              <w:jc w:val="left"/>
            </w:pPr>
            <w:r>
              <w:rPr>
                <w:rFonts w:ascii="Noto Sans SC Thin" w:hAnsi="Noto Sans SC Thin" w:eastAsia="Noto Sans SC Thin"/>
                <w:b w:val="0"/>
                <w:i w:val="0"/>
                <w:color w:val="111827"/>
                <w:sz w:val="18"/>
              </w:rPr>
              <w:t>分割任务中的on-policy状态应如何定义？</w:t>
            </w:r>
          </w:p>
        </w:tc>
        <w:tc>
          <w:tcPr>
            <w:tcW w:w="4660" w:type="dxa"/>
            <w:tcMar>
              <w:top w:w="80" w:type="dxa"/>
              <w:left w:w="120" w:type="dxa"/>
              <w:bottom w:w="80" w:type="dxa"/>
              <w:right w:w="120" w:type="dxa"/>
            </w:tcMar>
            <w:vAlign w:val="center"/>
          </w:tcPr>
          <w:p w14:paraId="2FDDEB32">
            <w:pPr>
              <w:spacing w:after="0" w:line="264" w:lineRule="auto"/>
              <w:jc w:val="left"/>
            </w:pPr>
            <w:r>
              <w:rPr>
                <w:rFonts w:ascii="Noto Sans SC Thin" w:hAnsi="Noto Sans SC Thin" w:eastAsia="Noto Sans SC Thin"/>
                <w:b w:val="0"/>
                <w:i w:val="0"/>
                <w:color w:val="111827"/>
                <w:sz w:val="18"/>
              </w:rPr>
              <w:t>当前学生掩码状态应显著优于随机腐化、历史学生状态和固定教师输出。</w:t>
            </w:r>
          </w:p>
        </w:tc>
      </w:tr>
      <w:tr w14:paraId="5CFB4F2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shd w:val="clear" w:color="auto" w:fill="FAFBFC"/>
            <w:tcMar>
              <w:top w:w="80" w:type="dxa"/>
              <w:left w:w="120" w:type="dxa"/>
              <w:bottom w:w="80" w:type="dxa"/>
              <w:right w:w="120" w:type="dxa"/>
            </w:tcMar>
            <w:vAlign w:val="center"/>
          </w:tcPr>
          <w:p w14:paraId="566E4833">
            <w:pPr>
              <w:spacing w:after="0" w:line="264" w:lineRule="auto"/>
              <w:jc w:val="center"/>
            </w:pPr>
            <w:r>
              <w:rPr>
                <w:rFonts w:ascii="Noto Sans SC Thin" w:hAnsi="Noto Sans SC Thin" w:eastAsia="Noto Sans SC Thin"/>
                <w:b w:val="0"/>
                <w:i w:val="0"/>
                <w:color w:val="111827"/>
                <w:sz w:val="18"/>
              </w:rPr>
              <w:t>Q2</w:t>
            </w:r>
          </w:p>
        </w:tc>
        <w:tc>
          <w:tcPr>
            <w:tcW w:w="3850" w:type="dxa"/>
            <w:shd w:val="clear" w:color="auto" w:fill="FAFBFC"/>
            <w:tcMar>
              <w:top w:w="80" w:type="dxa"/>
              <w:left w:w="120" w:type="dxa"/>
              <w:bottom w:w="80" w:type="dxa"/>
              <w:right w:w="120" w:type="dxa"/>
            </w:tcMar>
            <w:vAlign w:val="center"/>
          </w:tcPr>
          <w:p w14:paraId="6432AD60">
            <w:pPr>
              <w:spacing w:after="0" w:line="264" w:lineRule="auto"/>
              <w:jc w:val="left"/>
            </w:pPr>
            <w:r>
              <w:rPr>
                <w:rFonts w:ascii="Noto Sans SC Thin" w:hAnsi="Noto Sans SC Thin" w:eastAsia="Noto Sans SC Thin"/>
                <w:b w:val="0"/>
                <w:i w:val="0"/>
                <w:color w:val="111827"/>
                <w:sz w:val="18"/>
              </w:rPr>
              <w:t>教师如何同时传递抽象语义和精细几何？</w:t>
            </w:r>
          </w:p>
        </w:tc>
        <w:tc>
          <w:tcPr>
            <w:tcW w:w="4660" w:type="dxa"/>
            <w:shd w:val="clear" w:color="auto" w:fill="FAFBFC"/>
            <w:tcMar>
              <w:top w:w="80" w:type="dxa"/>
              <w:left w:w="120" w:type="dxa"/>
              <w:bottom w:w="80" w:type="dxa"/>
              <w:right w:w="120" w:type="dxa"/>
            </w:tcMar>
            <w:vAlign w:val="center"/>
          </w:tcPr>
          <w:p w14:paraId="331B166C">
            <w:pPr>
              <w:spacing w:after="0" w:line="264" w:lineRule="auto"/>
              <w:jc w:val="left"/>
            </w:pPr>
            <w:r>
              <w:rPr>
                <w:rFonts w:ascii="Noto Sans SC Thin" w:hAnsi="Noto Sans SC Thin" w:eastAsia="Noto Sans SC Thin"/>
                <w:b w:val="0"/>
                <w:i w:val="0"/>
                <w:color w:val="111827"/>
                <w:sz w:val="18"/>
              </w:rPr>
              <w:t>像素、边界与选层表征联合蒸馏应在Physics/Affordance及边界指标上产生互补增益。</w:t>
            </w:r>
          </w:p>
        </w:tc>
      </w:tr>
      <w:tr w14:paraId="65EE369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27E116B8">
            <w:pPr>
              <w:spacing w:after="0" w:line="264" w:lineRule="auto"/>
              <w:jc w:val="center"/>
            </w:pPr>
            <w:r>
              <w:rPr>
                <w:rFonts w:ascii="Noto Sans SC Thin" w:hAnsi="Noto Sans SC Thin" w:eastAsia="Noto Sans SC Thin"/>
                <w:b w:val="0"/>
                <w:i w:val="0"/>
                <w:color w:val="111827"/>
                <w:sz w:val="18"/>
              </w:rPr>
              <w:t>Q3</w:t>
            </w:r>
          </w:p>
        </w:tc>
        <w:tc>
          <w:tcPr>
            <w:tcW w:w="3850" w:type="dxa"/>
            <w:tcMar>
              <w:top w:w="80" w:type="dxa"/>
              <w:left w:w="120" w:type="dxa"/>
              <w:bottom w:w="80" w:type="dxa"/>
              <w:right w:w="120" w:type="dxa"/>
            </w:tcMar>
            <w:vAlign w:val="center"/>
          </w:tcPr>
          <w:p w14:paraId="2237A14F">
            <w:pPr>
              <w:spacing w:after="0" w:line="264" w:lineRule="auto"/>
              <w:jc w:val="center"/>
            </w:pPr>
            <w:r>
              <w:rPr>
                <w:rFonts w:ascii="Noto Sans SC Thin" w:hAnsi="Noto Sans SC Thin" w:eastAsia="Noto Sans SC Thin"/>
                <w:b w:val="0"/>
                <w:i w:val="0"/>
                <w:color w:val="111827"/>
                <w:sz w:val="18"/>
              </w:rPr>
              <w:t>数据策略如何随学生能力变化？</w:t>
            </w:r>
          </w:p>
        </w:tc>
        <w:tc>
          <w:tcPr>
            <w:tcW w:w="4660" w:type="dxa"/>
            <w:tcMar>
              <w:top w:w="80" w:type="dxa"/>
              <w:left w:w="120" w:type="dxa"/>
              <w:bottom w:w="80" w:type="dxa"/>
              <w:right w:w="120" w:type="dxa"/>
            </w:tcMar>
            <w:vAlign w:val="center"/>
          </w:tcPr>
          <w:p w14:paraId="71567865">
            <w:pPr>
              <w:spacing w:after="0" w:line="264" w:lineRule="auto"/>
              <w:jc w:val="left"/>
            </w:pPr>
            <w:r>
              <w:rPr>
                <w:rFonts w:ascii="Noto Sans SC Thin" w:hAnsi="Noto Sans SC Thin" w:eastAsia="Noto Sans SC Thin"/>
                <w:b w:val="0"/>
                <w:i w:val="0"/>
                <w:color w:val="111827"/>
                <w:sz w:val="18"/>
              </w:rPr>
              <w:t>错误驱动生成在相同新增样本预算下应优于随机生成和静态类别均衡。</w:t>
            </w:r>
          </w:p>
        </w:tc>
      </w:tr>
      <w:tr w14:paraId="36EF320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shd w:val="clear" w:color="auto" w:fill="FAFBFC"/>
            <w:tcMar>
              <w:top w:w="80" w:type="dxa"/>
              <w:left w:w="120" w:type="dxa"/>
              <w:bottom w:w="80" w:type="dxa"/>
              <w:right w:w="120" w:type="dxa"/>
            </w:tcMar>
            <w:vAlign w:val="center"/>
          </w:tcPr>
          <w:p w14:paraId="2065758F">
            <w:pPr>
              <w:spacing w:after="0" w:line="264" w:lineRule="auto"/>
              <w:jc w:val="center"/>
            </w:pPr>
            <w:r>
              <w:rPr>
                <w:rFonts w:ascii="Noto Sans SC Thin" w:hAnsi="Noto Sans SC Thin" w:eastAsia="Noto Sans SC Thin"/>
                <w:b w:val="0"/>
                <w:i w:val="0"/>
                <w:color w:val="111827"/>
                <w:sz w:val="18"/>
              </w:rPr>
              <w:t>Q4</w:t>
            </w:r>
          </w:p>
        </w:tc>
        <w:tc>
          <w:tcPr>
            <w:tcW w:w="3850" w:type="dxa"/>
            <w:shd w:val="clear" w:color="auto" w:fill="FAFBFC"/>
            <w:tcMar>
              <w:top w:w="80" w:type="dxa"/>
              <w:left w:w="120" w:type="dxa"/>
              <w:bottom w:w="80" w:type="dxa"/>
              <w:right w:w="120" w:type="dxa"/>
            </w:tcMar>
            <w:vAlign w:val="center"/>
          </w:tcPr>
          <w:p w14:paraId="11E226AB">
            <w:pPr>
              <w:spacing w:after="0" w:line="264" w:lineRule="auto"/>
              <w:jc w:val="center"/>
            </w:pPr>
            <w:r>
              <w:rPr>
                <w:rFonts w:ascii="Noto Sans SC Thin" w:hAnsi="Noto Sans SC Thin" w:eastAsia="Noto Sans SC Thin"/>
                <w:b w:val="0"/>
                <w:i w:val="0"/>
                <w:color w:val="111827"/>
                <w:sz w:val="18"/>
              </w:rPr>
              <w:t>双层闭环是否会造成偏差放大？</w:t>
            </w:r>
          </w:p>
        </w:tc>
        <w:tc>
          <w:tcPr>
            <w:tcW w:w="4660" w:type="dxa"/>
            <w:shd w:val="clear" w:color="auto" w:fill="FAFBFC"/>
            <w:tcMar>
              <w:top w:w="80" w:type="dxa"/>
              <w:left w:w="120" w:type="dxa"/>
              <w:bottom w:w="80" w:type="dxa"/>
              <w:right w:w="120" w:type="dxa"/>
            </w:tcMar>
            <w:vAlign w:val="center"/>
          </w:tcPr>
          <w:p w14:paraId="133D2346">
            <w:pPr>
              <w:spacing w:after="0" w:line="264" w:lineRule="auto"/>
              <w:jc w:val="left"/>
            </w:pPr>
            <w:r>
              <w:rPr>
                <w:rFonts w:ascii="Noto Sans SC Thin" w:hAnsi="Noto Sans SC Thin" w:eastAsia="Noto Sans SC Thin"/>
                <w:b w:val="0"/>
                <w:i w:val="0"/>
                <w:color w:val="111827"/>
                <w:sz w:val="18"/>
              </w:rPr>
              <w:t>通过覆盖下限、短生命周期缓存、教师置信门控和基础数据锚定控制反馈环风险。</w:t>
            </w:r>
          </w:p>
        </w:tc>
      </w:tr>
    </w:tbl>
    <w:p w14:paraId="45A929E9">
      <w:pPr>
        <w:spacing w:after="20"/>
      </w:pPr>
    </w:p>
    <w:p w14:paraId="07B3C983">
      <w:pPr>
        <w:pStyle w:val="3"/>
      </w:pPr>
      <w:r>
        <w:t>3. 总体框架与研究假设</w:t>
      </w:r>
    </w:p>
    <w:p w14:paraId="59CD387A">
      <w:pPr>
        <w:keepNext/>
        <w:jc w:val="center"/>
      </w:pPr>
      <w:r>
        <w:drawing>
          <wp:inline distT="0" distB="0" distL="114300" distR="114300">
            <wp:extent cx="5806440" cy="30778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806440" cy="3078289"/>
                    </a:xfrm>
                    <a:prstGeom prst="rect">
                      <a:avLst/>
                    </a:prstGeom>
                  </pic:spPr>
                </pic:pic>
              </a:graphicData>
            </a:graphic>
          </wp:inline>
        </w:drawing>
      </w:r>
    </w:p>
    <w:p w14:paraId="69DA4FB1">
      <w:pPr>
        <w:spacing w:before="40" w:after="160"/>
        <w:jc w:val="center"/>
      </w:pPr>
      <w:r>
        <w:rPr>
          <w:rFonts w:ascii="Noto Sans SC Thin" w:hAnsi="Noto Sans SC Thin" w:eastAsia="Noto Sans SC Thin"/>
          <w:b w:val="0"/>
          <w:i w:val="0"/>
          <w:color w:val="667085"/>
          <w:sz w:val="18"/>
        </w:rPr>
        <w:t>图1  DL-OPD总体框架：外层动态塑造训练分布，内层在学生掩码状态上实施教师纠错。</w:t>
      </w:r>
    </w:p>
    <w:p w14:paraId="20A30ED6">
      <w:pPr>
        <w:keepLines w:val="0"/>
        <w:spacing w:before="0" w:after="120" w:line="300" w:lineRule="auto"/>
        <w:jc w:val="both"/>
      </w:pPr>
      <w:r>
        <w:rPr>
          <w:rFonts w:ascii="Noto Sans SC Thin" w:hAnsi="Noto Sans SC Thin" w:eastAsia="Noto Sans SC Thin"/>
          <w:b w:val="0"/>
          <w:i w:val="0"/>
          <w:color w:val="111827"/>
          <w:sz w:val="22"/>
        </w:rPr>
        <w:t>框架包含两个时间尺度。内层以mini-batch为单位更新模型，在学生刚生成的掩码状态上执行在线或近在线蒸馏；外层以训练周期为单位更新数据策略，通过诊断集和未标注图像池形成错误画像、生成困难提示、执行教师验证并刷新Hard Buffer。</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850"/>
        <w:gridCol w:w="4250"/>
        <w:gridCol w:w="4260"/>
      </w:tblGrid>
      <w:tr w14:paraId="47D5EF9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850" w:type="dxa"/>
            <w:shd w:val="clear" w:color="auto" w:fill="E8EEF5"/>
            <w:tcMar>
              <w:top w:w="80" w:type="dxa"/>
              <w:left w:w="120" w:type="dxa"/>
              <w:bottom w:w="80" w:type="dxa"/>
              <w:right w:w="120" w:type="dxa"/>
            </w:tcMar>
            <w:vAlign w:val="center"/>
          </w:tcPr>
          <w:p w14:paraId="070C2A7D">
            <w:pPr>
              <w:spacing w:after="0" w:line="259" w:lineRule="auto"/>
              <w:jc w:val="center"/>
            </w:pPr>
            <w:r>
              <w:rPr>
                <w:rFonts w:ascii="Noto Sans SC Thin" w:hAnsi="Noto Sans SC Thin" w:eastAsia="Noto Sans SC Thin"/>
                <w:b/>
                <w:i w:val="0"/>
                <w:color w:val="17365D"/>
                <w:sz w:val="18"/>
              </w:rPr>
              <w:t>假设</w:t>
            </w:r>
          </w:p>
        </w:tc>
        <w:tc>
          <w:tcPr>
            <w:tcW w:w="4250" w:type="dxa"/>
            <w:shd w:val="clear" w:color="auto" w:fill="E8EEF5"/>
            <w:tcMar>
              <w:top w:w="80" w:type="dxa"/>
              <w:left w:w="120" w:type="dxa"/>
              <w:bottom w:w="80" w:type="dxa"/>
              <w:right w:w="120" w:type="dxa"/>
            </w:tcMar>
            <w:vAlign w:val="center"/>
          </w:tcPr>
          <w:p w14:paraId="4C6B864E">
            <w:pPr>
              <w:spacing w:after="0" w:line="259" w:lineRule="auto"/>
              <w:jc w:val="center"/>
            </w:pPr>
            <w:r>
              <w:rPr>
                <w:rFonts w:ascii="Noto Sans SC Thin" w:hAnsi="Noto Sans SC Thin" w:eastAsia="Noto Sans SC Thin"/>
                <w:b/>
                <w:i w:val="0"/>
                <w:color w:val="17365D"/>
                <w:sz w:val="18"/>
              </w:rPr>
              <w:t>内容</w:t>
            </w:r>
          </w:p>
        </w:tc>
        <w:tc>
          <w:tcPr>
            <w:tcW w:w="4260" w:type="dxa"/>
            <w:shd w:val="clear" w:color="auto" w:fill="E8EEF5"/>
            <w:tcMar>
              <w:top w:w="80" w:type="dxa"/>
              <w:left w:w="120" w:type="dxa"/>
              <w:bottom w:w="80" w:type="dxa"/>
              <w:right w:w="120" w:type="dxa"/>
            </w:tcMar>
            <w:vAlign w:val="center"/>
          </w:tcPr>
          <w:p w14:paraId="3CA98917">
            <w:pPr>
              <w:spacing w:after="0" w:line="259" w:lineRule="auto"/>
              <w:jc w:val="center"/>
            </w:pPr>
            <w:r>
              <w:rPr>
                <w:rFonts w:ascii="Noto Sans SC Thin" w:hAnsi="Noto Sans SC Thin" w:eastAsia="Noto Sans SC Thin"/>
                <w:b/>
                <w:i w:val="0"/>
                <w:color w:val="17365D"/>
                <w:sz w:val="18"/>
              </w:rPr>
              <w:t>主要证据</w:t>
            </w:r>
          </w:p>
        </w:tc>
      </w:tr>
      <w:tr w14:paraId="0AECCD8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69CDF526">
            <w:pPr>
              <w:spacing w:after="0" w:line="264" w:lineRule="auto"/>
              <w:jc w:val="center"/>
            </w:pPr>
            <w:r>
              <w:rPr>
                <w:rFonts w:ascii="Noto Sans SC Thin" w:hAnsi="Noto Sans SC Thin" w:eastAsia="Noto Sans SC Thin"/>
                <w:b w:val="0"/>
                <w:i w:val="0"/>
                <w:color w:val="111827"/>
                <w:sz w:val="18"/>
              </w:rPr>
              <w:t>H1</w:t>
            </w:r>
          </w:p>
        </w:tc>
        <w:tc>
          <w:tcPr>
            <w:tcW w:w="4250" w:type="dxa"/>
            <w:tcMar>
              <w:top w:w="80" w:type="dxa"/>
              <w:left w:w="120" w:type="dxa"/>
              <w:bottom w:w="80" w:type="dxa"/>
              <w:right w:w="120" w:type="dxa"/>
            </w:tcMar>
            <w:vAlign w:val="center"/>
          </w:tcPr>
          <w:p w14:paraId="4BF9F945">
            <w:pPr>
              <w:spacing w:after="0" w:line="264" w:lineRule="auto"/>
              <w:jc w:val="left"/>
            </w:pPr>
            <w:r>
              <w:rPr>
                <w:rFonts w:ascii="Noto Sans SC Thin" w:hAnsi="Noto Sans SC Thin" w:eastAsia="Noto Sans SC Thin"/>
                <w:b w:val="0"/>
                <w:i w:val="0"/>
                <w:color w:val="111827"/>
                <w:sz w:val="18"/>
              </w:rPr>
              <w:t>学生诱导的状态比固定腐化状态更接近部署分布。</w:t>
            </w:r>
          </w:p>
        </w:tc>
        <w:tc>
          <w:tcPr>
            <w:tcW w:w="4260" w:type="dxa"/>
            <w:tcMar>
              <w:top w:w="80" w:type="dxa"/>
              <w:left w:w="120" w:type="dxa"/>
              <w:bottom w:w="80" w:type="dxa"/>
              <w:right w:w="120" w:type="dxa"/>
            </w:tcMar>
            <w:vAlign w:val="center"/>
          </w:tcPr>
          <w:p w14:paraId="6C51A180">
            <w:pPr>
              <w:spacing w:after="0" w:line="264" w:lineRule="auto"/>
              <w:jc w:val="left"/>
            </w:pPr>
            <w:r>
              <w:rPr>
                <w:rFonts w:ascii="Noto Sans SC Thin" w:hAnsi="Noto Sans SC Thin" w:eastAsia="Noto Sans SC Thin"/>
                <w:b w:val="0"/>
                <w:i w:val="0"/>
                <w:color w:val="111827"/>
                <w:sz w:val="18"/>
              </w:rPr>
              <w:t>Current-state OPD &gt; Historical-state KD &gt; Random-corruption KD。</w:t>
            </w:r>
          </w:p>
        </w:tc>
      </w:tr>
      <w:tr w14:paraId="06D9612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shd w:val="clear" w:color="auto" w:fill="FAFBFC"/>
            <w:tcMar>
              <w:top w:w="80" w:type="dxa"/>
              <w:left w:w="120" w:type="dxa"/>
              <w:bottom w:w="80" w:type="dxa"/>
              <w:right w:w="120" w:type="dxa"/>
            </w:tcMar>
            <w:vAlign w:val="center"/>
          </w:tcPr>
          <w:p w14:paraId="0E14A3E1">
            <w:pPr>
              <w:spacing w:after="0" w:line="264" w:lineRule="auto"/>
              <w:jc w:val="center"/>
            </w:pPr>
            <w:r>
              <w:rPr>
                <w:rFonts w:ascii="Noto Sans SC Thin" w:hAnsi="Noto Sans SC Thin" w:eastAsia="Noto Sans SC Thin"/>
                <w:b w:val="0"/>
                <w:i w:val="0"/>
                <w:color w:val="111827"/>
                <w:sz w:val="18"/>
              </w:rPr>
              <w:t>H2</w:t>
            </w:r>
          </w:p>
        </w:tc>
        <w:tc>
          <w:tcPr>
            <w:tcW w:w="4250" w:type="dxa"/>
            <w:shd w:val="clear" w:color="auto" w:fill="FAFBFC"/>
            <w:tcMar>
              <w:top w:w="80" w:type="dxa"/>
              <w:left w:w="120" w:type="dxa"/>
              <w:bottom w:w="80" w:type="dxa"/>
              <w:right w:w="120" w:type="dxa"/>
            </w:tcMar>
            <w:vAlign w:val="center"/>
          </w:tcPr>
          <w:p w14:paraId="2598E752">
            <w:pPr>
              <w:spacing w:after="0" w:line="264" w:lineRule="auto"/>
              <w:jc w:val="left"/>
            </w:pPr>
            <w:r>
              <w:rPr>
                <w:rFonts w:ascii="Noto Sans SC Thin" w:hAnsi="Noto Sans SC Thin" w:eastAsia="Noto Sans SC Thin"/>
                <w:b w:val="0"/>
                <w:i w:val="0"/>
                <w:color w:val="111827"/>
                <w:sz w:val="18"/>
              </w:rPr>
              <w:t>学生错误驱动的数据策略具有更高边际训练价值。</w:t>
            </w:r>
          </w:p>
        </w:tc>
        <w:tc>
          <w:tcPr>
            <w:tcW w:w="4260" w:type="dxa"/>
            <w:shd w:val="clear" w:color="auto" w:fill="FAFBFC"/>
            <w:tcMar>
              <w:top w:w="80" w:type="dxa"/>
              <w:left w:w="120" w:type="dxa"/>
              <w:bottom w:w="80" w:type="dxa"/>
              <w:right w:w="120" w:type="dxa"/>
            </w:tcMar>
            <w:vAlign w:val="center"/>
          </w:tcPr>
          <w:p w14:paraId="5D9A1DD1">
            <w:pPr>
              <w:spacing w:after="0" w:line="264" w:lineRule="auto"/>
              <w:jc w:val="left"/>
            </w:pPr>
            <w:r>
              <w:rPr>
                <w:rFonts w:ascii="Noto Sans SC Thin" w:hAnsi="Noto Sans SC Thin" w:eastAsia="Noto Sans SC Thin"/>
                <w:b w:val="0"/>
                <w:i w:val="0"/>
                <w:color w:val="111827"/>
                <w:sz w:val="18"/>
              </w:rPr>
              <w:t>相同数据预算下，Error-Data &gt; Random-Augment。</w:t>
            </w:r>
          </w:p>
        </w:tc>
      </w:tr>
      <w:tr w14:paraId="2C6F89D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60F61E46">
            <w:pPr>
              <w:spacing w:after="0" w:line="264" w:lineRule="auto"/>
              <w:jc w:val="center"/>
            </w:pPr>
            <w:r>
              <w:rPr>
                <w:rFonts w:ascii="Noto Sans SC Thin" w:hAnsi="Noto Sans SC Thin" w:eastAsia="Noto Sans SC Thin"/>
                <w:b w:val="0"/>
                <w:i w:val="0"/>
                <w:color w:val="111827"/>
                <w:sz w:val="18"/>
              </w:rPr>
              <w:t>H3</w:t>
            </w:r>
          </w:p>
        </w:tc>
        <w:tc>
          <w:tcPr>
            <w:tcW w:w="4250" w:type="dxa"/>
            <w:tcMar>
              <w:top w:w="80" w:type="dxa"/>
              <w:left w:w="120" w:type="dxa"/>
              <w:bottom w:w="80" w:type="dxa"/>
              <w:right w:w="120" w:type="dxa"/>
            </w:tcMar>
            <w:vAlign w:val="center"/>
          </w:tcPr>
          <w:p w14:paraId="40E9231E">
            <w:pPr>
              <w:spacing w:after="0" w:line="264" w:lineRule="auto"/>
              <w:jc w:val="center"/>
            </w:pPr>
            <w:r>
              <w:rPr>
                <w:rFonts w:ascii="Noto Sans SC Thin" w:hAnsi="Noto Sans SC Thin" w:eastAsia="Noto Sans SC Thin"/>
                <w:b w:val="0"/>
                <w:i w:val="0"/>
                <w:color w:val="111827"/>
                <w:sz w:val="18"/>
              </w:rPr>
              <w:t>数据层与预测层存在互补而非冗余关系。</w:t>
            </w:r>
          </w:p>
        </w:tc>
        <w:tc>
          <w:tcPr>
            <w:tcW w:w="4260" w:type="dxa"/>
            <w:tcMar>
              <w:top w:w="80" w:type="dxa"/>
              <w:left w:w="120" w:type="dxa"/>
              <w:bottom w:w="80" w:type="dxa"/>
              <w:right w:w="120" w:type="dxa"/>
            </w:tcMar>
            <w:vAlign w:val="center"/>
          </w:tcPr>
          <w:p w14:paraId="0A36C9DB">
            <w:pPr>
              <w:spacing w:after="0" w:line="264" w:lineRule="auto"/>
              <w:jc w:val="left"/>
            </w:pPr>
            <w:r>
              <w:rPr>
                <w:rFonts w:ascii="Noto Sans SC Thin" w:hAnsi="Noto Sans SC Thin" w:eastAsia="Noto Sans SC Thin"/>
                <w:b w:val="0"/>
                <w:i w:val="0"/>
                <w:color w:val="111827"/>
                <w:sz w:val="18"/>
              </w:rPr>
              <w:t>DL-OPD增益高于任一单层方法，并在不同概念类别上呈现差异化贡献。</w:t>
            </w:r>
          </w:p>
        </w:tc>
      </w:tr>
      <w:tr w14:paraId="5A395D8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850" w:type="dxa"/>
            <w:shd w:val="clear" w:color="auto" w:fill="FAFBFC"/>
            <w:tcMar>
              <w:top w:w="80" w:type="dxa"/>
              <w:left w:w="120" w:type="dxa"/>
              <w:bottom w:w="80" w:type="dxa"/>
              <w:right w:w="120" w:type="dxa"/>
            </w:tcMar>
            <w:vAlign w:val="center"/>
          </w:tcPr>
          <w:p w14:paraId="741ABD9C">
            <w:pPr>
              <w:spacing w:after="0" w:line="264" w:lineRule="auto"/>
              <w:jc w:val="center"/>
            </w:pPr>
            <w:r>
              <w:rPr>
                <w:rFonts w:ascii="Noto Sans SC Thin" w:hAnsi="Noto Sans SC Thin" w:eastAsia="Noto Sans SC Thin"/>
                <w:b w:val="0"/>
                <w:i w:val="0"/>
                <w:color w:val="111827"/>
                <w:sz w:val="18"/>
              </w:rPr>
              <w:t>H4</w:t>
            </w:r>
          </w:p>
        </w:tc>
        <w:tc>
          <w:tcPr>
            <w:tcW w:w="4250" w:type="dxa"/>
            <w:shd w:val="clear" w:color="auto" w:fill="FAFBFC"/>
            <w:tcMar>
              <w:top w:w="80" w:type="dxa"/>
              <w:left w:w="120" w:type="dxa"/>
              <w:bottom w:w="80" w:type="dxa"/>
              <w:right w:w="120" w:type="dxa"/>
            </w:tcMar>
            <w:vAlign w:val="center"/>
          </w:tcPr>
          <w:p w14:paraId="7BF0F64B">
            <w:pPr>
              <w:spacing w:after="0" w:line="264" w:lineRule="auto"/>
              <w:jc w:val="center"/>
            </w:pPr>
            <w:r>
              <w:rPr>
                <w:rFonts w:ascii="Noto Sans SC Thin" w:hAnsi="Noto Sans SC Thin" w:eastAsia="Noto Sans SC Thin"/>
                <w:b w:val="0"/>
                <w:i w:val="0"/>
                <w:color w:val="111827"/>
                <w:sz w:val="18"/>
              </w:rPr>
              <w:t>多步纠错知识可被压缩至单步推理。</w:t>
            </w:r>
          </w:p>
        </w:tc>
        <w:tc>
          <w:tcPr>
            <w:tcW w:w="4260" w:type="dxa"/>
            <w:shd w:val="clear" w:color="auto" w:fill="FAFBFC"/>
            <w:tcMar>
              <w:top w:w="80" w:type="dxa"/>
              <w:left w:w="120" w:type="dxa"/>
              <w:bottom w:w="80" w:type="dxa"/>
              <w:right w:w="120" w:type="dxa"/>
            </w:tcMar>
            <w:vAlign w:val="center"/>
          </w:tcPr>
          <w:p w14:paraId="01421D0B">
            <w:pPr>
              <w:spacing w:after="0" w:line="264" w:lineRule="auto"/>
              <w:jc w:val="left"/>
            </w:pPr>
            <w:r>
              <w:rPr>
                <w:rFonts w:ascii="Noto Sans SC Thin" w:hAnsi="Noto Sans SC Thin" w:eastAsia="Noto Sans SC Thin"/>
                <w:b w:val="0"/>
                <w:i w:val="0"/>
                <w:color w:val="111827"/>
                <w:sz w:val="18"/>
              </w:rPr>
              <w:t>One-pass Collapse接近Two-pass性能，同时保持接近基线的延迟。</w:t>
            </w:r>
          </w:p>
        </w:tc>
      </w:tr>
    </w:tbl>
    <w:p w14:paraId="7C9864C3">
      <w:pPr>
        <w:spacing w:after="20"/>
      </w:pPr>
    </w:p>
    <w:p w14:paraId="60216322">
      <w:pPr>
        <w:pStyle w:val="3"/>
      </w:pPr>
      <w:r>
        <w:t>4. 研究内容一：Mask-Policy OPD</w:t>
      </w:r>
    </w:p>
    <w:p w14:paraId="2035EF65">
      <w:pPr>
        <w:pStyle w:val="4"/>
      </w:pPr>
      <w:r>
        <w:t>4.1 掩码状态策略建模</w:t>
      </w:r>
    </w:p>
    <w:p w14:paraId="3523ED4F">
      <w:pPr>
        <w:keepLines w:val="0"/>
        <w:spacing w:before="0" w:after="120" w:line="300" w:lineRule="auto"/>
        <w:jc w:val="both"/>
      </w:pPr>
      <w:r>
        <w:rPr>
          <w:rFonts w:ascii="Noto Sans SC Thin" w:hAnsi="Noto Sans SC Thin" w:eastAsia="Noto Sans SC Thin"/>
          <w:b w:val="0"/>
          <w:i w:val="0"/>
          <w:color w:val="111827"/>
          <w:sz w:val="22"/>
        </w:rPr>
        <w:t>定义状态sᵏ=(I,p,qₛᵏ)，其中qₛᵏ为当前学生的概率掩码。初始状态为空掩码，学生完成第一次预测qₛ¹；教师以停止梯度的qₛ¹为条件产生纠错目标qₜ²；学生在同一状态上产生qₛ²。教师监督因此随学生参数更新而改变。</w:t>
      </w:r>
    </w:p>
    <w:p w14:paraId="527D0A98">
      <w:pPr>
        <w:spacing w:before="80" w:after="160"/>
        <w:jc w:val="center"/>
      </w:pPr>
      <w:r>
        <w:rPr>
          <w:rFonts w:ascii="Cambria Math" w:hAnsi="Cambria Math" w:eastAsia="Noto Sans SC Thin"/>
          <w:b w:val="0"/>
          <w:i/>
          <w:color w:val="17365D"/>
          <w:sz w:val="21"/>
        </w:rPr>
        <w:t>qₛ¹ = πθ(I,p,0),   qₜ² = πT(I,p,sg(qₛ¹)),   qₛ² = πθ(I,p,sg(qₛ¹))</w:t>
      </w:r>
    </w:p>
    <w:p w14:paraId="21F19FFE">
      <w:pPr>
        <w:pStyle w:val="4"/>
      </w:pPr>
      <w:r>
        <w:t>4.2 MaskStateEncoder</w:t>
      </w:r>
    </w:p>
    <w:p w14:paraId="5A9F4A79">
      <w:pPr>
        <w:keepLines w:val="0"/>
        <w:spacing w:before="0" w:after="120" w:line="300" w:lineRule="auto"/>
        <w:jc w:val="both"/>
      </w:pPr>
      <w:r>
        <w:rPr>
          <w:rFonts w:ascii="Noto Sans SC Thin" w:hAnsi="Noto Sans SC Thin" w:eastAsia="Noto Sans SC Thin"/>
          <w:b w:val="0"/>
          <w:i w:val="0"/>
          <w:color w:val="111827"/>
          <w:sz w:val="22"/>
        </w:rPr>
        <w:t>在ConVerSeg的Dense Language Adapter与SAM2 Mask Decoder之间加入MaskStateEncoder。该模块将学生概率掩码编码至SAM2 dense prompt空间，与Qwen EOS对应的全局图文表示融合。第一版采用三层卷积和直接相加；后续比较门控融合、Mask Token以及正负点采样三种变体。</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300"/>
        <w:gridCol w:w="3860"/>
        <w:gridCol w:w="3200"/>
      </w:tblGrid>
      <w:tr w14:paraId="223EF47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2300" w:type="dxa"/>
            <w:shd w:val="clear" w:color="auto" w:fill="E8EEF5"/>
            <w:tcMar>
              <w:top w:w="80" w:type="dxa"/>
              <w:left w:w="120" w:type="dxa"/>
              <w:bottom w:w="80" w:type="dxa"/>
              <w:right w:w="120" w:type="dxa"/>
            </w:tcMar>
            <w:vAlign w:val="center"/>
          </w:tcPr>
          <w:p w14:paraId="3F883209">
            <w:pPr>
              <w:spacing w:after="0" w:line="259" w:lineRule="auto"/>
              <w:jc w:val="center"/>
            </w:pPr>
            <w:r>
              <w:rPr>
                <w:rFonts w:ascii="Noto Sans SC Thin" w:hAnsi="Noto Sans SC Thin" w:eastAsia="Noto Sans SC Thin"/>
                <w:b/>
                <w:i w:val="0"/>
                <w:color w:val="17365D"/>
                <w:sz w:val="18"/>
              </w:rPr>
              <w:t>组件</w:t>
            </w:r>
          </w:p>
        </w:tc>
        <w:tc>
          <w:tcPr>
            <w:tcW w:w="3860" w:type="dxa"/>
            <w:shd w:val="clear" w:color="auto" w:fill="E8EEF5"/>
            <w:tcMar>
              <w:top w:w="80" w:type="dxa"/>
              <w:left w:w="120" w:type="dxa"/>
              <w:bottom w:w="80" w:type="dxa"/>
              <w:right w:w="120" w:type="dxa"/>
            </w:tcMar>
            <w:vAlign w:val="center"/>
          </w:tcPr>
          <w:p w14:paraId="5655DED5">
            <w:pPr>
              <w:spacing w:after="0" w:line="259" w:lineRule="auto"/>
              <w:jc w:val="center"/>
            </w:pPr>
            <w:r>
              <w:rPr>
                <w:rFonts w:ascii="Noto Sans SC Thin" w:hAnsi="Noto Sans SC Thin" w:eastAsia="Noto Sans SC Thin"/>
                <w:b/>
                <w:i w:val="0"/>
                <w:color w:val="17365D"/>
                <w:sz w:val="18"/>
              </w:rPr>
              <w:t>输入/输出</w:t>
            </w:r>
          </w:p>
        </w:tc>
        <w:tc>
          <w:tcPr>
            <w:tcW w:w="3200" w:type="dxa"/>
            <w:shd w:val="clear" w:color="auto" w:fill="E8EEF5"/>
            <w:tcMar>
              <w:top w:w="80" w:type="dxa"/>
              <w:left w:w="120" w:type="dxa"/>
              <w:bottom w:w="80" w:type="dxa"/>
              <w:right w:w="120" w:type="dxa"/>
            </w:tcMar>
            <w:vAlign w:val="center"/>
          </w:tcPr>
          <w:p w14:paraId="6E2AEAB7">
            <w:pPr>
              <w:spacing w:after="0" w:line="259" w:lineRule="auto"/>
              <w:jc w:val="center"/>
            </w:pPr>
            <w:r>
              <w:rPr>
                <w:rFonts w:ascii="Noto Sans SC Thin" w:hAnsi="Noto Sans SC Thin" w:eastAsia="Noto Sans SC Thin"/>
                <w:b/>
                <w:i w:val="0"/>
                <w:color w:val="17365D"/>
                <w:sz w:val="18"/>
              </w:rPr>
              <w:t>训练状态</w:t>
            </w:r>
          </w:p>
        </w:tc>
      </w:tr>
      <w:tr w14:paraId="1923972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376F8390">
            <w:pPr>
              <w:spacing w:after="0" w:line="264" w:lineRule="auto"/>
              <w:jc w:val="left"/>
            </w:pPr>
            <w:r>
              <w:rPr>
                <w:rFonts w:ascii="Noto Sans SC Thin" w:hAnsi="Noto Sans SC Thin" w:eastAsia="Noto Sans SC Thin"/>
                <w:b w:val="0"/>
                <w:i w:val="0"/>
                <w:color w:val="111827"/>
                <w:sz w:val="18"/>
              </w:rPr>
              <w:t>SAM2 Image Encoder</w:t>
            </w:r>
          </w:p>
        </w:tc>
        <w:tc>
          <w:tcPr>
            <w:tcW w:w="3860" w:type="dxa"/>
            <w:tcMar>
              <w:top w:w="80" w:type="dxa"/>
              <w:left w:w="120" w:type="dxa"/>
              <w:bottom w:w="80" w:type="dxa"/>
              <w:right w:w="120" w:type="dxa"/>
            </w:tcMar>
            <w:vAlign w:val="center"/>
          </w:tcPr>
          <w:p w14:paraId="559AC7B8">
            <w:pPr>
              <w:spacing w:after="0" w:line="264" w:lineRule="auto"/>
              <w:jc w:val="center"/>
            </w:pPr>
            <w:r>
              <w:rPr>
                <w:rFonts w:ascii="Noto Sans SC Thin" w:hAnsi="Noto Sans SC Thin" w:eastAsia="Noto Sans SC Thin"/>
                <w:b w:val="0"/>
                <w:i w:val="0"/>
                <w:color w:val="111827"/>
                <w:sz w:val="18"/>
              </w:rPr>
              <w:t>I → zimg</w:t>
            </w:r>
          </w:p>
        </w:tc>
        <w:tc>
          <w:tcPr>
            <w:tcW w:w="3200" w:type="dxa"/>
            <w:tcMar>
              <w:top w:w="80" w:type="dxa"/>
              <w:left w:w="120" w:type="dxa"/>
              <w:bottom w:w="80" w:type="dxa"/>
              <w:right w:w="120" w:type="dxa"/>
            </w:tcMar>
            <w:vAlign w:val="center"/>
          </w:tcPr>
          <w:p w14:paraId="00080B2B">
            <w:pPr>
              <w:spacing w:after="0" w:line="264" w:lineRule="auto"/>
              <w:jc w:val="center"/>
            </w:pPr>
            <w:r>
              <w:rPr>
                <w:rFonts w:ascii="Noto Sans SC Thin" w:hAnsi="Noto Sans SC Thin" w:eastAsia="Noto Sans SC Thin"/>
                <w:b w:val="0"/>
                <w:i w:val="0"/>
                <w:color w:val="111827"/>
                <w:sz w:val="18"/>
              </w:rPr>
              <w:t>冻结</w:t>
            </w:r>
          </w:p>
        </w:tc>
      </w:tr>
      <w:tr w14:paraId="6DE9ECF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300" w:type="dxa"/>
            <w:shd w:val="clear" w:color="auto" w:fill="FAFBFC"/>
            <w:tcMar>
              <w:top w:w="80" w:type="dxa"/>
              <w:left w:w="120" w:type="dxa"/>
              <w:bottom w:w="80" w:type="dxa"/>
              <w:right w:w="120" w:type="dxa"/>
            </w:tcMar>
            <w:vAlign w:val="center"/>
          </w:tcPr>
          <w:p w14:paraId="23DC472F">
            <w:pPr>
              <w:spacing w:after="0" w:line="264" w:lineRule="auto"/>
              <w:jc w:val="left"/>
            </w:pPr>
            <w:r>
              <w:rPr>
                <w:rFonts w:ascii="Noto Sans SC Thin" w:hAnsi="Noto Sans SC Thin" w:eastAsia="Noto Sans SC Thin"/>
                <w:b w:val="0"/>
                <w:i w:val="0"/>
                <w:color w:val="111827"/>
                <w:sz w:val="18"/>
              </w:rPr>
              <w:t>Qwen2.5-VL Prompt Encoder</w:t>
            </w:r>
          </w:p>
        </w:tc>
        <w:tc>
          <w:tcPr>
            <w:tcW w:w="3860" w:type="dxa"/>
            <w:shd w:val="clear" w:color="auto" w:fill="FAFBFC"/>
            <w:tcMar>
              <w:top w:w="80" w:type="dxa"/>
              <w:left w:w="120" w:type="dxa"/>
              <w:bottom w:w="80" w:type="dxa"/>
              <w:right w:w="120" w:type="dxa"/>
            </w:tcMar>
            <w:vAlign w:val="center"/>
          </w:tcPr>
          <w:p w14:paraId="659E9212">
            <w:pPr>
              <w:spacing w:after="0" w:line="264" w:lineRule="auto"/>
              <w:jc w:val="left"/>
            </w:pPr>
            <w:r>
              <w:rPr>
                <w:rFonts w:ascii="Noto Sans SC Thin" w:hAnsi="Noto Sans SC Thin" w:eastAsia="Noto Sans SC Thin"/>
                <w:b w:val="0"/>
                <w:i w:val="0"/>
                <w:color w:val="111827"/>
                <w:sz w:val="18"/>
              </w:rPr>
              <w:t>(I,p) → token/EOS states</w:t>
            </w:r>
          </w:p>
        </w:tc>
        <w:tc>
          <w:tcPr>
            <w:tcW w:w="3200" w:type="dxa"/>
            <w:shd w:val="clear" w:color="auto" w:fill="FAFBFC"/>
            <w:tcMar>
              <w:top w:w="80" w:type="dxa"/>
              <w:left w:w="120" w:type="dxa"/>
              <w:bottom w:w="80" w:type="dxa"/>
              <w:right w:w="120" w:type="dxa"/>
            </w:tcMar>
            <w:vAlign w:val="center"/>
          </w:tcPr>
          <w:p w14:paraId="4066F13A">
            <w:pPr>
              <w:spacing w:after="0" w:line="264" w:lineRule="auto"/>
              <w:jc w:val="center"/>
            </w:pPr>
            <w:r>
              <w:rPr>
                <w:rFonts w:ascii="Noto Sans SC Thin" w:hAnsi="Noto Sans SC Thin" w:eastAsia="Noto Sans SC Thin"/>
                <w:b w:val="0"/>
                <w:i w:val="0"/>
                <w:color w:val="111827"/>
                <w:sz w:val="18"/>
              </w:rPr>
              <w:t>LoRA微调</w:t>
            </w:r>
          </w:p>
        </w:tc>
      </w:tr>
      <w:tr w14:paraId="7D6004A2">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40C68633">
            <w:pPr>
              <w:spacing w:after="0" w:line="264" w:lineRule="auto"/>
              <w:jc w:val="center"/>
            </w:pPr>
            <w:r>
              <w:rPr>
                <w:rFonts w:ascii="Noto Sans SC Thin" w:hAnsi="Noto Sans SC Thin" w:eastAsia="Noto Sans SC Thin"/>
                <w:b w:val="0"/>
                <w:i w:val="0"/>
                <w:color w:val="111827"/>
                <w:sz w:val="18"/>
              </w:rPr>
              <w:t>Language Adapters</w:t>
            </w:r>
          </w:p>
        </w:tc>
        <w:tc>
          <w:tcPr>
            <w:tcW w:w="3860" w:type="dxa"/>
            <w:tcMar>
              <w:top w:w="80" w:type="dxa"/>
              <w:left w:w="120" w:type="dxa"/>
              <w:bottom w:w="80" w:type="dxa"/>
              <w:right w:w="120" w:type="dxa"/>
            </w:tcMar>
            <w:vAlign w:val="center"/>
          </w:tcPr>
          <w:p w14:paraId="5A44E7A7">
            <w:pPr>
              <w:spacing w:after="0" w:line="264" w:lineRule="auto"/>
              <w:jc w:val="left"/>
            </w:pPr>
            <w:r>
              <w:rPr>
                <w:rFonts w:ascii="Noto Sans SC Thin" w:hAnsi="Noto Sans SC Thin" w:eastAsia="Noto Sans SC Thin"/>
                <w:b w:val="0"/>
                <w:i w:val="0"/>
                <w:color w:val="111827"/>
                <w:sz w:val="18"/>
              </w:rPr>
              <w:t>text states → sparse/dense prompts</w:t>
            </w:r>
          </w:p>
        </w:tc>
        <w:tc>
          <w:tcPr>
            <w:tcW w:w="3200" w:type="dxa"/>
            <w:tcMar>
              <w:top w:w="80" w:type="dxa"/>
              <w:left w:w="120" w:type="dxa"/>
              <w:bottom w:w="80" w:type="dxa"/>
              <w:right w:w="120" w:type="dxa"/>
            </w:tcMar>
            <w:vAlign w:val="center"/>
          </w:tcPr>
          <w:p w14:paraId="0E324C3D">
            <w:pPr>
              <w:spacing w:after="0" w:line="264" w:lineRule="auto"/>
              <w:jc w:val="center"/>
            </w:pPr>
            <w:r>
              <w:rPr>
                <w:rFonts w:ascii="Noto Sans SC Thin" w:hAnsi="Noto Sans SC Thin" w:eastAsia="Noto Sans SC Thin"/>
                <w:b w:val="0"/>
                <w:i w:val="0"/>
                <w:color w:val="111827"/>
                <w:sz w:val="18"/>
              </w:rPr>
              <w:t>训练</w:t>
            </w:r>
          </w:p>
        </w:tc>
      </w:tr>
      <w:tr w14:paraId="2A8CB63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300" w:type="dxa"/>
            <w:shd w:val="clear" w:color="auto" w:fill="FAFBFC"/>
            <w:tcMar>
              <w:top w:w="80" w:type="dxa"/>
              <w:left w:w="120" w:type="dxa"/>
              <w:bottom w:w="80" w:type="dxa"/>
              <w:right w:w="120" w:type="dxa"/>
            </w:tcMar>
            <w:vAlign w:val="center"/>
          </w:tcPr>
          <w:p w14:paraId="15DE37F7">
            <w:pPr>
              <w:spacing w:after="0" w:line="264" w:lineRule="auto"/>
              <w:jc w:val="center"/>
            </w:pPr>
            <w:r>
              <w:rPr>
                <w:rFonts w:ascii="Noto Sans SC Thin" w:hAnsi="Noto Sans SC Thin" w:eastAsia="Noto Sans SC Thin"/>
                <w:b w:val="0"/>
                <w:i w:val="0"/>
                <w:color w:val="111827"/>
                <w:sz w:val="18"/>
              </w:rPr>
              <w:t>MaskStateEncoder</w:t>
            </w:r>
          </w:p>
        </w:tc>
        <w:tc>
          <w:tcPr>
            <w:tcW w:w="3860" w:type="dxa"/>
            <w:shd w:val="clear" w:color="auto" w:fill="FAFBFC"/>
            <w:tcMar>
              <w:top w:w="80" w:type="dxa"/>
              <w:left w:w="120" w:type="dxa"/>
              <w:bottom w:w="80" w:type="dxa"/>
              <w:right w:w="120" w:type="dxa"/>
            </w:tcMar>
            <w:vAlign w:val="center"/>
          </w:tcPr>
          <w:p w14:paraId="48176354">
            <w:pPr>
              <w:spacing w:after="0" w:line="264" w:lineRule="auto"/>
              <w:jc w:val="left"/>
            </w:pPr>
            <w:r>
              <w:rPr>
                <w:rFonts w:ascii="Noto Sans SC Thin" w:hAnsi="Noto Sans SC Thin" w:eastAsia="Noto Sans SC Thin"/>
                <w:b w:val="0"/>
                <w:i w:val="0"/>
                <w:color w:val="111827"/>
                <w:sz w:val="18"/>
              </w:rPr>
              <w:t>qₛᵏ → dense mask prompt</w:t>
            </w:r>
          </w:p>
        </w:tc>
        <w:tc>
          <w:tcPr>
            <w:tcW w:w="3200" w:type="dxa"/>
            <w:shd w:val="clear" w:color="auto" w:fill="FAFBFC"/>
            <w:tcMar>
              <w:top w:w="80" w:type="dxa"/>
              <w:left w:w="120" w:type="dxa"/>
              <w:bottom w:w="80" w:type="dxa"/>
              <w:right w:w="120" w:type="dxa"/>
            </w:tcMar>
            <w:vAlign w:val="center"/>
          </w:tcPr>
          <w:p w14:paraId="338FF37B">
            <w:pPr>
              <w:spacing w:after="0" w:line="264" w:lineRule="auto"/>
              <w:jc w:val="center"/>
            </w:pPr>
            <w:r>
              <w:rPr>
                <w:rFonts w:ascii="Noto Sans SC Thin" w:hAnsi="Noto Sans SC Thin" w:eastAsia="Noto Sans SC Thin"/>
                <w:b w:val="0"/>
                <w:i w:val="0"/>
                <w:color w:val="111827"/>
                <w:sz w:val="18"/>
              </w:rPr>
              <w:t>新增并训练</w:t>
            </w:r>
          </w:p>
        </w:tc>
      </w:tr>
      <w:tr w14:paraId="5FDA383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010EA17D">
            <w:pPr>
              <w:spacing w:after="0" w:line="264" w:lineRule="auto"/>
              <w:jc w:val="center"/>
            </w:pPr>
            <w:r>
              <w:rPr>
                <w:rFonts w:ascii="Noto Sans SC Thin" w:hAnsi="Noto Sans SC Thin" w:eastAsia="Noto Sans SC Thin"/>
                <w:b w:val="0"/>
                <w:i w:val="0"/>
                <w:color w:val="111827"/>
                <w:sz w:val="18"/>
              </w:rPr>
              <w:t>SAM2 Mask Decoder</w:t>
            </w:r>
          </w:p>
        </w:tc>
        <w:tc>
          <w:tcPr>
            <w:tcW w:w="3860" w:type="dxa"/>
            <w:tcMar>
              <w:top w:w="80" w:type="dxa"/>
              <w:left w:w="120" w:type="dxa"/>
              <w:bottom w:w="80" w:type="dxa"/>
              <w:right w:w="120" w:type="dxa"/>
            </w:tcMar>
            <w:vAlign w:val="center"/>
          </w:tcPr>
          <w:p w14:paraId="46940B13">
            <w:pPr>
              <w:spacing w:after="0" w:line="264" w:lineRule="auto"/>
              <w:jc w:val="left"/>
            </w:pPr>
            <w:r>
              <w:rPr>
                <w:rFonts w:ascii="Noto Sans SC Thin" w:hAnsi="Noto Sans SC Thin" w:eastAsia="Noto Sans SC Thin"/>
                <w:b w:val="0"/>
                <w:i w:val="0"/>
                <w:color w:val="111827"/>
                <w:sz w:val="18"/>
              </w:rPr>
              <w:t>image/prompt/mask state → qₛᵏ⁺¹</w:t>
            </w:r>
          </w:p>
        </w:tc>
        <w:tc>
          <w:tcPr>
            <w:tcW w:w="3200" w:type="dxa"/>
            <w:tcMar>
              <w:top w:w="80" w:type="dxa"/>
              <w:left w:w="120" w:type="dxa"/>
              <w:bottom w:w="80" w:type="dxa"/>
              <w:right w:w="120" w:type="dxa"/>
            </w:tcMar>
            <w:vAlign w:val="center"/>
          </w:tcPr>
          <w:p w14:paraId="6E337D86">
            <w:pPr>
              <w:spacing w:after="0" w:line="264" w:lineRule="auto"/>
              <w:jc w:val="center"/>
            </w:pPr>
            <w:r>
              <w:rPr>
                <w:rFonts w:ascii="Noto Sans SC Thin" w:hAnsi="Noto Sans SC Thin" w:eastAsia="Noto Sans SC Thin"/>
                <w:b w:val="0"/>
                <w:i w:val="0"/>
                <w:color w:val="111827"/>
                <w:sz w:val="18"/>
              </w:rPr>
              <w:t>完整训练</w:t>
            </w:r>
          </w:p>
        </w:tc>
      </w:tr>
    </w:tbl>
    <w:p w14:paraId="69495513">
      <w:pPr>
        <w:spacing w:after="20"/>
      </w:pPr>
    </w:p>
    <w:p w14:paraId="43A4AC5F">
      <w:pPr>
        <w:pStyle w:val="4"/>
      </w:pPr>
      <w:r>
        <w:t>4.3 纠错教师构建</w:t>
      </w:r>
    </w:p>
    <w:p w14:paraId="35BB4D69">
      <w:pPr>
        <w:keepLines w:val="0"/>
        <w:spacing w:before="0" w:after="120" w:line="300" w:lineRule="auto"/>
        <w:jc w:val="both"/>
      </w:pPr>
      <w:r>
        <w:rPr>
          <w:rFonts w:ascii="Noto Sans SC Thin" w:hAnsi="Noto Sans SC Thin" w:eastAsia="Noto Sans SC Thin"/>
          <w:b w:val="0"/>
          <w:i w:val="0"/>
          <w:color w:val="111827"/>
          <w:sz w:val="22"/>
        </w:rPr>
        <w:t>教师采用更强的Qwen2.5-VL-7B与SAM2 Hiera-L。为避免教师简单复制输入掩码，先利用GT构造具有语义意义的腐化状态，并训练教师恢复目标掩码。腐化包括腐蚀、膨胀、组件缺失、错误实例混入、边界抖动、位置偏移、部分满足、正负提示翻转等。训练采用由轻到重的课程，完成后冻结教师。</w:t>
      </w:r>
    </w:p>
    <w:tbl>
      <w:tblPr>
        <w:tblStyle w:val="33"/>
        <w:tblW w:w="9360" w:type="dxa"/>
        <w:tblInd w:w="120" w:type="dxa"/>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Layout w:type="fixed"/>
        <w:tblCellMar>
          <w:top w:w="0" w:type="dxa"/>
          <w:left w:w="108" w:type="dxa"/>
          <w:bottom w:w="0" w:type="dxa"/>
          <w:right w:w="108" w:type="dxa"/>
        </w:tblCellMar>
      </w:tblPr>
      <w:tblGrid>
        <w:gridCol w:w="9360"/>
      </w:tblGrid>
      <w:tr w14:paraId="693D4DEC">
        <w:tblPrEx>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CellMar>
            <w:top w:w="0" w:type="dxa"/>
            <w:left w:w="108" w:type="dxa"/>
            <w:bottom w:w="0" w:type="dxa"/>
            <w:right w:w="108" w:type="dxa"/>
          </w:tblCellMar>
        </w:tblPrEx>
        <w:tc>
          <w:tcPr>
            <w:tcW w:w="9360" w:type="dxa"/>
            <w:shd w:val="clear" w:color="auto" w:fill="FFF6DF"/>
            <w:tcMar>
              <w:top w:w="80" w:type="dxa"/>
              <w:left w:w="120" w:type="dxa"/>
              <w:bottom w:w="80" w:type="dxa"/>
              <w:right w:w="120" w:type="dxa"/>
            </w:tcMar>
            <w:vAlign w:val="center"/>
          </w:tcPr>
          <w:p w14:paraId="1D276E29">
            <w:pPr>
              <w:spacing w:before="40" w:after="40" w:line="283" w:lineRule="auto"/>
            </w:pPr>
            <w:r>
              <w:rPr>
                <w:rFonts w:ascii="Noto Sans SC Thin" w:hAnsi="Noto Sans SC Thin" w:eastAsia="Noto Sans SC Thin"/>
                <w:b/>
                <w:i w:val="0"/>
                <w:color w:val="17365D"/>
                <w:sz w:val="22"/>
              </w:rPr>
              <w:t>必要条件：</w:t>
            </w:r>
            <w:r>
              <w:rPr>
                <w:rFonts w:ascii="Noto Sans SC Thin" w:hAnsi="Noto Sans SC Thin" w:eastAsia="Noto Sans SC Thin"/>
                <w:b w:val="0"/>
                <w:i w:val="0"/>
                <w:color w:val="111827"/>
                <w:sz w:val="22"/>
              </w:rPr>
              <w:t>若教师没有经过掩码纠错训练，仅把学生掩码作为普通SAM提示，教师可能放大而不是修复学生错误；因此Teacher Recovery Gain必须在进入OPD阶段前独立验证。</w:t>
            </w:r>
          </w:p>
        </w:tc>
      </w:tr>
    </w:tbl>
    <w:p w14:paraId="071F6EF8">
      <w:pPr>
        <w:spacing w:after="20"/>
      </w:pPr>
    </w:p>
    <w:p w14:paraId="341706E5">
      <w:pPr>
        <w:pStyle w:val="4"/>
      </w:pPr>
      <w:r>
        <w:t>4.4 联合蒸馏目标</w:t>
      </w:r>
    </w:p>
    <w:p w14:paraId="56F9A4CC">
      <w:pPr>
        <w:keepLines w:val="0"/>
        <w:spacing w:before="0" w:after="120" w:line="300" w:lineRule="auto"/>
        <w:jc w:val="both"/>
      </w:pPr>
      <w:r>
        <w:rPr>
          <w:rFonts w:ascii="Noto Sans SC Thin" w:hAnsi="Noto Sans SC Thin" w:eastAsia="Noto Sans SC Thin"/>
          <w:b w:val="0"/>
          <w:i w:val="0"/>
          <w:color w:val="111827"/>
          <w:sz w:val="22"/>
        </w:rPr>
        <w:t>总损失由六部分构成：GT监督、on-policy像素蒸馏、边界蒸馏、选层表征蒸馏、单步能力折叠和基础能力锚定。</w:t>
      </w:r>
    </w:p>
    <w:p w14:paraId="324F03EF">
      <w:pPr>
        <w:spacing w:before="80" w:after="160"/>
        <w:jc w:val="center"/>
      </w:pPr>
      <w:r>
        <w:rPr>
          <w:rFonts w:ascii="Cambria Math" w:hAnsi="Cambria Math" w:eastAsia="Noto Sans SC Thin"/>
          <w:b w:val="0"/>
          <w:i/>
          <w:color w:val="17365D"/>
          <w:sz w:val="21"/>
        </w:rPr>
        <w:t>L = Lsup + λopd Lopd + λbd Lbd + λrep Lrep + λcol Lcollapse + λanc Lanchor</w:t>
      </w:r>
    </w:p>
    <w:p w14:paraId="754DA742">
      <w:pPr>
        <w:pStyle w:val="16"/>
        <w:spacing w:after="80" w:line="290" w:lineRule="auto"/>
        <w:ind w:left="540" w:hanging="279"/>
      </w:pPr>
      <w:r>
        <w:rPr>
          <w:rFonts w:ascii="Noto Sans SC Thin" w:hAnsi="Noto Sans SC Thin" w:eastAsia="Noto Sans SC Thin"/>
          <w:b w:val="0"/>
          <w:i w:val="0"/>
          <w:color w:val="111827"/>
          <w:sz w:val="22"/>
        </w:rPr>
        <w:t>Lsup：对qₛ¹和qₛ²同时计算BCE与Dice，保证教师错误不会替代可靠GT。</w:t>
      </w:r>
    </w:p>
    <w:p w14:paraId="581EA81B">
      <w:pPr>
        <w:pStyle w:val="16"/>
        <w:spacing w:after="80" w:line="290" w:lineRule="auto"/>
        <w:ind w:left="540" w:hanging="279"/>
      </w:pPr>
      <w:r>
        <w:rPr>
          <w:rFonts w:ascii="Noto Sans SC Thin" w:hAnsi="Noto Sans SC Thin" w:eastAsia="Noto Sans SC Thin"/>
          <w:b w:val="0"/>
          <w:i w:val="0"/>
          <w:color w:val="111827"/>
          <w:sz w:val="22"/>
        </w:rPr>
        <w:t>Lopd：以学生熵、师生分歧和边界位置加权的逐像素Bernoulli KL。</w:t>
      </w:r>
    </w:p>
    <w:p w14:paraId="71465211">
      <w:pPr>
        <w:pStyle w:val="16"/>
        <w:spacing w:after="80" w:line="290" w:lineRule="auto"/>
        <w:ind w:left="540" w:hanging="279"/>
      </w:pPr>
      <w:r>
        <w:rPr>
          <w:rFonts w:ascii="Noto Sans SC Thin" w:hAnsi="Noto Sans SC Thin" w:eastAsia="Noto Sans SC Thin"/>
          <w:b w:val="0"/>
          <w:i w:val="0"/>
          <w:color w:val="111827"/>
          <w:sz w:val="22"/>
        </w:rPr>
        <w:t>Lbd：基于边界Dice或有符号距离变换，强化部件、表面和功能区域的几何质量。</w:t>
      </w:r>
    </w:p>
    <w:p w14:paraId="430E228B">
      <w:pPr>
        <w:pStyle w:val="16"/>
        <w:spacing w:after="80" w:line="290" w:lineRule="auto"/>
        <w:ind w:left="540" w:hanging="279"/>
      </w:pPr>
      <w:r>
        <w:rPr>
          <w:rFonts w:ascii="Noto Sans SC Thin" w:hAnsi="Noto Sans SC Thin" w:eastAsia="Noto Sans SC Thin"/>
          <w:b w:val="0"/>
          <w:i w:val="0"/>
          <w:color w:val="111827"/>
          <w:sz w:val="22"/>
        </w:rPr>
        <w:t>Lrep：对齐Qwen选层文本token、EOS、Language Adapter及SAM2 mask token。</w:t>
      </w:r>
    </w:p>
    <w:p w14:paraId="5C32B3CF">
      <w:pPr>
        <w:pStyle w:val="16"/>
        <w:spacing w:after="80" w:line="290" w:lineRule="auto"/>
        <w:ind w:left="540" w:hanging="279"/>
      </w:pPr>
      <w:r>
        <w:rPr>
          <w:rFonts w:ascii="Noto Sans SC Thin" w:hAnsi="Noto Sans SC Thin" w:eastAsia="Noto Sans SC Thin"/>
          <w:b w:val="0"/>
          <w:i w:val="0"/>
          <w:color w:val="111827"/>
          <w:sz w:val="22"/>
        </w:rPr>
        <w:t>Lcollapse：仅当qₛ²优于qₛ¹时，将第二步纠错知识蒸馏回第一步输出。</w:t>
      </w:r>
    </w:p>
    <w:p w14:paraId="554AAD9D">
      <w:pPr>
        <w:pStyle w:val="16"/>
        <w:spacing w:after="80" w:line="290" w:lineRule="auto"/>
        <w:ind w:left="540" w:hanging="279"/>
      </w:pPr>
      <w:r>
        <w:rPr>
          <w:rFonts w:ascii="Noto Sans SC Thin" w:hAnsi="Noto Sans SC Thin" w:eastAsia="Noto Sans SC Thin"/>
          <w:b w:val="0"/>
          <w:i w:val="0"/>
          <w:color w:val="111827"/>
          <w:sz w:val="22"/>
        </w:rPr>
        <w:t>Lanchor：在COCO、RefCOCO及开放词汇样本上约束学生接近基础模型，减轻遗忘。</w:t>
      </w:r>
    </w:p>
    <w:p w14:paraId="748A8CA5">
      <w:pPr>
        <w:pStyle w:val="3"/>
      </w:pPr>
      <w:r>
        <w:t>5. 研究内容二：Data-Policy OPD</w:t>
      </w:r>
    </w:p>
    <w:p w14:paraId="7B9F8AEB">
      <w:pPr>
        <w:pStyle w:val="4"/>
      </w:pPr>
      <w:r>
        <w:t>5.1 学生错误画像</w:t>
      </w:r>
    </w:p>
    <w:p w14:paraId="5639AD93">
      <w:pPr>
        <w:keepLines w:val="0"/>
        <w:spacing w:before="0" w:after="120" w:line="300" w:lineRule="auto"/>
        <w:jc w:val="both"/>
      </w:pPr>
      <w:r>
        <w:rPr>
          <w:rFonts w:ascii="Noto Sans SC Thin" w:hAnsi="Noto Sans SC Thin" w:eastAsia="Noto Sans SC Thin"/>
          <w:b w:val="0"/>
          <w:i w:val="0"/>
          <w:color w:val="111827"/>
          <w:sz w:val="22"/>
        </w:rPr>
        <w:t>每个外层周期结束后，在固定诊断集与未标注图像池上评估学生，形成概念错误、几何错误、负提示幻觉和校准误差组成的状态向量。样本级记录包括概念类别、错误类型、学生置信度、教师分歧、边界误差、提示类型和综合难度。</w:t>
      </w:r>
    </w:p>
    <w:p w14:paraId="2C612471">
      <w:pPr>
        <w:spacing w:before="80" w:after="160"/>
        <w:jc w:val="center"/>
      </w:pPr>
      <w:r>
        <w:rPr>
          <w:rFonts w:ascii="Cambria Math" w:hAnsi="Cambria Math" w:eastAsia="Noto Sans SC Thin"/>
          <w:b w:val="0"/>
          <w:i/>
          <w:color w:val="17365D"/>
          <w:sz w:val="21"/>
        </w:rPr>
        <w:t>u = [Eent, Espa, Erel, Eaff, Ephy, Eneg, Ebd, Ecal]</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700"/>
        <w:gridCol w:w="3700"/>
        <w:gridCol w:w="3960"/>
      </w:tblGrid>
      <w:tr w14:paraId="132F625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54F61427">
            <w:pPr>
              <w:spacing w:after="0" w:line="259" w:lineRule="auto"/>
              <w:jc w:val="center"/>
            </w:pPr>
            <w:r>
              <w:rPr>
                <w:rFonts w:ascii="Noto Sans SC Thin" w:hAnsi="Noto Sans SC Thin" w:eastAsia="Noto Sans SC Thin"/>
                <w:b/>
                <w:i w:val="0"/>
                <w:color w:val="17365D"/>
                <w:sz w:val="18"/>
              </w:rPr>
              <w:t>错误族</w:t>
            </w:r>
          </w:p>
        </w:tc>
        <w:tc>
          <w:tcPr>
            <w:tcW w:w="3700" w:type="dxa"/>
            <w:shd w:val="clear" w:color="auto" w:fill="E8EEF5"/>
            <w:tcMar>
              <w:top w:w="80" w:type="dxa"/>
              <w:left w:w="120" w:type="dxa"/>
              <w:bottom w:w="80" w:type="dxa"/>
              <w:right w:w="120" w:type="dxa"/>
            </w:tcMar>
            <w:vAlign w:val="center"/>
          </w:tcPr>
          <w:p w14:paraId="57817828">
            <w:pPr>
              <w:spacing w:after="0" w:line="259" w:lineRule="auto"/>
              <w:jc w:val="center"/>
            </w:pPr>
            <w:r>
              <w:rPr>
                <w:rFonts w:ascii="Noto Sans SC Thin" w:hAnsi="Noto Sans SC Thin" w:eastAsia="Noto Sans SC Thin"/>
                <w:b/>
                <w:i w:val="0"/>
                <w:color w:val="17365D"/>
                <w:sz w:val="18"/>
              </w:rPr>
              <w:t>典型表现</w:t>
            </w:r>
          </w:p>
        </w:tc>
        <w:tc>
          <w:tcPr>
            <w:tcW w:w="3960" w:type="dxa"/>
            <w:shd w:val="clear" w:color="auto" w:fill="E8EEF5"/>
            <w:tcMar>
              <w:top w:w="80" w:type="dxa"/>
              <w:left w:w="120" w:type="dxa"/>
              <w:bottom w:w="80" w:type="dxa"/>
              <w:right w:w="120" w:type="dxa"/>
            </w:tcMar>
            <w:vAlign w:val="center"/>
          </w:tcPr>
          <w:p w14:paraId="38EC022D">
            <w:pPr>
              <w:spacing w:after="0" w:line="259" w:lineRule="auto"/>
              <w:jc w:val="center"/>
            </w:pPr>
            <w:r>
              <w:rPr>
                <w:rFonts w:ascii="Noto Sans SC Thin" w:hAnsi="Noto Sans SC Thin" w:eastAsia="Noto Sans SC Thin"/>
                <w:b/>
                <w:i w:val="0"/>
                <w:color w:val="17365D"/>
                <w:sz w:val="18"/>
              </w:rPr>
              <w:t>对应数据动作</w:t>
            </w:r>
          </w:p>
        </w:tc>
      </w:tr>
      <w:tr w14:paraId="25308E8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39C2B936">
            <w:pPr>
              <w:spacing w:after="0" w:line="264" w:lineRule="auto"/>
              <w:jc w:val="center"/>
            </w:pPr>
            <w:r>
              <w:rPr>
                <w:rFonts w:ascii="Noto Sans SC Thin" w:hAnsi="Noto Sans SC Thin" w:eastAsia="Noto Sans SC Thin"/>
                <w:b w:val="0"/>
                <w:i w:val="0"/>
                <w:color w:val="111827"/>
                <w:sz w:val="18"/>
              </w:rPr>
              <w:t>实体/属性</w:t>
            </w:r>
          </w:p>
        </w:tc>
        <w:tc>
          <w:tcPr>
            <w:tcW w:w="3700" w:type="dxa"/>
            <w:tcMar>
              <w:top w:w="80" w:type="dxa"/>
              <w:left w:w="120" w:type="dxa"/>
              <w:bottom w:w="80" w:type="dxa"/>
              <w:right w:w="120" w:type="dxa"/>
            </w:tcMar>
            <w:vAlign w:val="center"/>
          </w:tcPr>
          <w:p w14:paraId="61284135">
            <w:pPr>
              <w:spacing w:after="0" w:line="264" w:lineRule="auto"/>
              <w:jc w:val="center"/>
            </w:pPr>
            <w:r>
              <w:rPr>
                <w:rFonts w:ascii="Noto Sans SC Thin" w:hAnsi="Noto Sans SC Thin" w:eastAsia="Noto Sans SC Thin"/>
                <w:b w:val="0"/>
                <w:i w:val="0"/>
                <w:color w:val="111827"/>
                <w:sz w:val="18"/>
              </w:rPr>
              <w:t>选错实例、属性混淆、漏掉同类对象</w:t>
            </w:r>
          </w:p>
        </w:tc>
        <w:tc>
          <w:tcPr>
            <w:tcW w:w="3960" w:type="dxa"/>
            <w:tcMar>
              <w:top w:w="80" w:type="dxa"/>
              <w:left w:w="120" w:type="dxa"/>
              <w:bottom w:w="80" w:type="dxa"/>
              <w:right w:w="120" w:type="dxa"/>
            </w:tcMar>
            <w:vAlign w:val="center"/>
          </w:tcPr>
          <w:p w14:paraId="6191FC0F">
            <w:pPr>
              <w:spacing w:after="0" w:line="264" w:lineRule="auto"/>
              <w:jc w:val="center"/>
            </w:pPr>
            <w:r>
              <w:rPr>
                <w:rFonts w:ascii="Noto Sans SC Thin" w:hAnsi="Noto Sans SC Thin" w:eastAsia="Noto Sans SC Thin"/>
                <w:b w:val="0"/>
                <w:i w:val="0"/>
                <w:color w:val="111827"/>
                <w:sz w:val="18"/>
              </w:rPr>
              <w:t>属性最小对、同类干扰、语义保持改写</w:t>
            </w:r>
          </w:p>
        </w:tc>
      </w:tr>
      <w:tr w14:paraId="579918A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4FD1036A">
            <w:pPr>
              <w:spacing w:after="0" w:line="264" w:lineRule="auto"/>
              <w:jc w:val="center"/>
            </w:pPr>
            <w:r>
              <w:rPr>
                <w:rFonts w:ascii="Noto Sans SC Thin" w:hAnsi="Noto Sans SC Thin" w:eastAsia="Noto Sans SC Thin"/>
                <w:b w:val="0"/>
                <w:i w:val="0"/>
                <w:color w:val="111827"/>
                <w:sz w:val="18"/>
              </w:rPr>
              <w:t>空间/关系</w:t>
            </w:r>
          </w:p>
        </w:tc>
        <w:tc>
          <w:tcPr>
            <w:tcW w:w="3700" w:type="dxa"/>
            <w:shd w:val="clear" w:color="auto" w:fill="FAFBFC"/>
            <w:tcMar>
              <w:top w:w="80" w:type="dxa"/>
              <w:left w:w="120" w:type="dxa"/>
              <w:bottom w:w="80" w:type="dxa"/>
              <w:right w:w="120" w:type="dxa"/>
            </w:tcMar>
            <w:vAlign w:val="center"/>
          </w:tcPr>
          <w:p w14:paraId="29E0EE01">
            <w:pPr>
              <w:spacing w:after="0" w:line="264" w:lineRule="auto"/>
              <w:jc w:val="center"/>
            </w:pPr>
            <w:r>
              <w:rPr>
                <w:rFonts w:ascii="Noto Sans SC Thin" w:hAnsi="Noto Sans SC Thin" w:eastAsia="Noto Sans SC Thin"/>
                <w:b w:val="0"/>
                <w:i w:val="0"/>
                <w:color w:val="111827"/>
                <w:sz w:val="18"/>
              </w:rPr>
              <w:t>左右、前后、支撑或交互关系错误</w:t>
            </w:r>
          </w:p>
        </w:tc>
        <w:tc>
          <w:tcPr>
            <w:tcW w:w="3960" w:type="dxa"/>
            <w:shd w:val="clear" w:color="auto" w:fill="FAFBFC"/>
            <w:tcMar>
              <w:top w:w="80" w:type="dxa"/>
              <w:left w:w="120" w:type="dxa"/>
              <w:bottom w:w="80" w:type="dxa"/>
              <w:right w:w="120" w:type="dxa"/>
            </w:tcMar>
            <w:vAlign w:val="center"/>
          </w:tcPr>
          <w:p w14:paraId="0CFDC31B">
            <w:pPr>
              <w:spacing w:after="0" w:line="264" w:lineRule="auto"/>
              <w:jc w:val="center"/>
            </w:pPr>
            <w:r>
              <w:rPr>
                <w:rFonts w:ascii="Noto Sans SC Thin" w:hAnsi="Noto Sans SC Thin" w:eastAsia="Noto Sans SC Thin"/>
                <w:b w:val="0"/>
                <w:i w:val="0"/>
                <w:color w:val="111827"/>
                <w:sz w:val="18"/>
              </w:rPr>
              <w:t>关系翻转、组合约束、多目标提示</w:t>
            </w:r>
          </w:p>
        </w:tc>
      </w:tr>
      <w:tr w14:paraId="19B3B1E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2FC9C3A">
            <w:pPr>
              <w:spacing w:after="0" w:line="264" w:lineRule="auto"/>
              <w:jc w:val="center"/>
            </w:pPr>
            <w:r>
              <w:rPr>
                <w:rFonts w:ascii="Noto Sans SC Thin" w:hAnsi="Noto Sans SC Thin" w:eastAsia="Noto Sans SC Thin"/>
                <w:b w:val="0"/>
                <w:i w:val="0"/>
                <w:color w:val="111827"/>
                <w:sz w:val="18"/>
              </w:rPr>
              <w:t>功能/可供性</w:t>
            </w:r>
          </w:p>
        </w:tc>
        <w:tc>
          <w:tcPr>
            <w:tcW w:w="3700" w:type="dxa"/>
            <w:tcMar>
              <w:top w:w="80" w:type="dxa"/>
              <w:left w:w="120" w:type="dxa"/>
              <w:bottom w:w="80" w:type="dxa"/>
              <w:right w:w="120" w:type="dxa"/>
            </w:tcMar>
            <w:vAlign w:val="center"/>
          </w:tcPr>
          <w:p w14:paraId="1FCB4723">
            <w:pPr>
              <w:spacing w:after="0" w:line="264" w:lineRule="auto"/>
              <w:jc w:val="center"/>
            </w:pPr>
            <w:r>
              <w:rPr>
                <w:rFonts w:ascii="Noto Sans SC Thin" w:hAnsi="Noto Sans SC Thin" w:eastAsia="Noto Sans SC Thin"/>
                <w:b w:val="0"/>
                <w:i w:val="0"/>
                <w:color w:val="111827"/>
                <w:sz w:val="18"/>
              </w:rPr>
              <w:t>仅按类别而非用途选择区域</w:t>
            </w:r>
          </w:p>
        </w:tc>
        <w:tc>
          <w:tcPr>
            <w:tcW w:w="3960" w:type="dxa"/>
            <w:tcMar>
              <w:top w:w="80" w:type="dxa"/>
              <w:left w:w="120" w:type="dxa"/>
              <w:bottom w:w="80" w:type="dxa"/>
              <w:right w:w="120" w:type="dxa"/>
            </w:tcMar>
            <w:vAlign w:val="center"/>
          </w:tcPr>
          <w:p w14:paraId="5C5CC572">
            <w:pPr>
              <w:spacing w:after="0" w:line="264" w:lineRule="auto"/>
              <w:jc w:val="center"/>
            </w:pPr>
            <w:r>
              <w:rPr>
                <w:rFonts w:ascii="Noto Sans SC Thin" w:hAnsi="Noto Sans SC Thin" w:eastAsia="Noto Sans SC Thin"/>
                <w:b w:val="0"/>
                <w:i w:val="0"/>
                <w:color w:val="111827"/>
                <w:sz w:val="18"/>
              </w:rPr>
              <w:t>用途改写、反事实使用、功能候选对</w:t>
            </w:r>
          </w:p>
        </w:tc>
      </w:tr>
      <w:tr w14:paraId="4A62815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6D55B96F">
            <w:pPr>
              <w:spacing w:after="0" w:line="264" w:lineRule="auto"/>
              <w:jc w:val="center"/>
            </w:pPr>
            <w:r>
              <w:rPr>
                <w:rFonts w:ascii="Noto Sans SC Thin" w:hAnsi="Noto Sans SC Thin" w:eastAsia="Noto Sans SC Thin"/>
                <w:b w:val="0"/>
                <w:i w:val="0"/>
                <w:color w:val="111827"/>
                <w:sz w:val="18"/>
              </w:rPr>
              <w:t>物理/安全</w:t>
            </w:r>
          </w:p>
        </w:tc>
        <w:tc>
          <w:tcPr>
            <w:tcW w:w="3700" w:type="dxa"/>
            <w:shd w:val="clear" w:color="auto" w:fill="FAFBFC"/>
            <w:tcMar>
              <w:top w:w="80" w:type="dxa"/>
              <w:left w:w="120" w:type="dxa"/>
              <w:bottom w:w="80" w:type="dxa"/>
              <w:right w:w="120" w:type="dxa"/>
            </w:tcMar>
            <w:vAlign w:val="center"/>
          </w:tcPr>
          <w:p w14:paraId="1A83ED39">
            <w:pPr>
              <w:spacing w:after="0" w:line="264" w:lineRule="auto"/>
              <w:jc w:val="center"/>
            </w:pPr>
            <w:r>
              <w:rPr>
                <w:rFonts w:ascii="Noto Sans SC Thin" w:hAnsi="Noto Sans SC Thin" w:eastAsia="Noto Sans SC Thin"/>
                <w:b w:val="0"/>
                <w:i w:val="0"/>
                <w:color w:val="111827"/>
                <w:sz w:val="18"/>
              </w:rPr>
              <w:t>稳定性、危险性和受力关系判断错误</w:t>
            </w:r>
          </w:p>
        </w:tc>
        <w:tc>
          <w:tcPr>
            <w:tcW w:w="3960" w:type="dxa"/>
            <w:shd w:val="clear" w:color="auto" w:fill="FAFBFC"/>
            <w:tcMar>
              <w:top w:w="80" w:type="dxa"/>
              <w:left w:w="120" w:type="dxa"/>
              <w:bottom w:w="80" w:type="dxa"/>
              <w:right w:w="120" w:type="dxa"/>
            </w:tcMar>
            <w:vAlign w:val="center"/>
          </w:tcPr>
          <w:p w14:paraId="5C096BC7">
            <w:pPr>
              <w:spacing w:after="0" w:line="264" w:lineRule="auto"/>
              <w:jc w:val="center"/>
            </w:pPr>
            <w:r>
              <w:rPr>
                <w:rFonts w:ascii="Noto Sans SC Thin" w:hAnsi="Noto Sans SC Thin" w:eastAsia="Noto Sans SC Thin"/>
                <w:b w:val="0"/>
                <w:i w:val="0"/>
                <w:color w:val="111827"/>
                <w:sz w:val="18"/>
              </w:rPr>
              <w:t>物理反事实、危险条件、支持关系提示</w:t>
            </w:r>
          </w:p>
        </w:tc>
      </w:tr>
      <w:tr w14:paraId="23748A3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3DE85B9E">
            <w:pPr>
              <w:spacing w:after="0" w:line="264" w:lineRule="auto"/>
              <w:jc w:val="center"/>
            </w:pPr>
            <w:r>
              <w:rPr>
                <w:rFonts w:ascii="Noto Sans SC Thin" w:hAnsi="Noto Sans SC Thin" w:eastAsia="Noto Sans SC Thin"/>
                <w:b w:val="0"/>
                <w:i w:val="0"/>
                <w:color w:val="111827"/>
                <w:sz w:val="18"/>
              </w:rPr>
              <w:t>负提示</w:t>
            </w:r>
          </w:p>
        </w:tc>
        <w:tc>
          <w:tcPr>
            <w:tcW w:w="3700" w:type="dxa"/>
            <w:tcMar>
              <w:top w:w="80" w:type="dxa"/>
              <w:left w:w="120" w:type="dxa"/>
              <w:bottom w:w="80" w:type="dxa"/>
              <w:right w:w="120" w:type="dxa"/>
            </w:tcMar>
            <w:vAlign w:val="center"/>
          </w:tcPr>
          <w:p w14:paraId="500DC174">
            <w:pPr>
              <w:spacing w:after="0" w:line="264" w:lineRule="auto"/>
              <w:jc w:val="left"/>
            </w:pPr>
            <w:r>
              <w:rPr>
                <w:rFonts w:ascii="Noto Sans SC Thin" w:hAnsi="Noto Sans SC Thin" w:eastAsia="Noto Sans SC Thin"/>
                <w:b w:val="0"/>
                <w:i w:val="0"/>
                <w:color w:val="111827"/>
                <w:sz w:val="18"/>
              </w:rPr>
              <w:t>对不存在或不满足条件的对象产生非空掩码</w:t>
            </w:r>
          </w:p>
        </w:tc>
        <w:tc>
          <w:tcPr>
            <w:tcW w:w="3960" w:type="dxa"/>
            <w:tcMar>
              <w:top w:w="80" w:type="dxa"/>
              <w:left w:w="120" w:type="dxa"/>
              <w:bottom w:w="80" w:type="dxa"/>
              <w:right w:w="120" w:type="dxa"/>
            </w:tcMar>
            <w:vAlign w:val="center"/>
          </w:tcPr>
          <w:p w14:paraId="42A9B9D9">
            <w:pPr>
              <w:spacing w:after="0" w:line="264" w:lineRule="auto"/>
              <w:jc w:val="center"/>
            </w:pPr>
            <w:r>
              <w:rPr>
                <w:rFonts w:ascii="Noto Sans SC Thin" w:hAnsi="Noto Sans SC Thin" w:eastAsia="Noto Sans SC Thin"/>
                <w:b w:val="0"/>
                <w:i w:val="0"/>
                <w:color w:val="111827"/>
                <w:sz w:val="18"/>
              </w:rPr>
              <w:t>不存在物体、错误属性、错误状态提示</w:t>
            </w:r>
          </w:p>
        </w:tc>
      </w:tr>
      <w:tr w14:paraId="03906C5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5519F290">
            <w:pPr>
              <w:spacing w:after="0" w:line="264" w:lineRule="auto"/>
              <w:jc w:val="center"/>
            </w:pPr>
            <w:r>
              <w:rPr>
                <w:rFonts w:ascii="Noto Sans SC Thin" w:hAnsi="Noto Sans SC Thin" w:eastAsia="Noto Sans SC Thin"/>
                <w:b w:val="0"/>
                <w:i w:val="0"/>
                <w:color w:val="111827"/>
                <w:sz w:val="18"/>
              </w:rPr>
              <w:t>几何边界</w:t>
            </w:r>
          </w:p>
        </w:tc>
        <w:tc>
          <w:tcPr>
            <w:tcW w:w="3700" w:type="dxa"/>
            <w:shd w:val="clear" w:color="auto" w:fill="FAFBFC"/>
            <w:tcMar>
              <w:top w:w="80" w:type="dxa"/>
              <w:left w:w="120" w:type="dxa"/>
              <w:bottom w:w="80" w:type="dxa"/>
              <w:right w:w="120" w:type="dxa"/>
            </w:tcMar>
            <w:vAlign w:val="center"/>
          </w:tcPr>
          <w:p w14:paraId="7FA5B21D">
            <w:pPr>
              <w:spacing w:after="0" w:line="264" w:lineRule="auto"/>
              <w:jc w:val="center"/>
            </w:pPr>
            <w:r>
              <w:rPr>
                <w:rFonts w:ascii="Noto Sans SC Thin" w:hAnsi="Noto Sans SC Thin" w:eastAsia="Noto Sans SC Thin"/>
                <w:b w:val="0"/>
                <w:i w:val="0"/>
                <w:color w:val="111827"/>
                <w:sz w:val="18"/>
              </w:rPr>
              <w:t>过分割、欠分割、部分覆盖和孔洞</w:t>
            </w:r>
          </w:p>
        </w:tc>
        <w:tc>
          <w:tcPr>
            <w:tcW w:w="3960" w:type="dxa"/>
            <w:shd w:val="clear" w:color="auto" w:fill="FAFBFC"/>
            <w:tcMar>
              <w:top w:w="80" w:type="dxa"/>
              <w:left w:w="120" w:type="dxa"/>
              <w:bottom w:w="80" w:type="dxa"/>
              <w:right w:w="120" w:type="dxa"/>
            </w:tcMar>
            <w:vAlign w:val="center"/>
          </w:tcPr>
          <w:p w14:paraId="11348EDE">
            <w:pPr>
              <w:spacing w:after="0" w:line="264" w:lineRule="auto"/>
              <w:jc w:val="center"/>
            </w:pPr>
            <w:r>
              <w:rPr>
                <w:rFonts w:ascii="Noto Sans SC Thin" w:hAnsi="Noto Sans SC Thin" w:eastAsia="Noto Sans SC Thin"/>
                <w:b w:val="0"/>
                <w:i w:val="0"/>
                <w:color w:val="111827"/>
                <w:sz w:val="18"/>
              </w:rPr>
              <w:t>边界困难样本、部件/表面区域数据</w:t>
            </w:r>
          </w:p>
        </w:tc>
      </w:tr>
    </w:tbl>
    <w:p w14:paraId="1AE6A6B6">
      <w:pPr>
        <w:spacing w:after="20"/>
      </w:pPr>
    </w:p>
    <w:p w14:paraId="2E83EAEB">
      <w:pPr>
        <w:pStyle w:val="4"/>
      </w:pPr>
      <w:r>
        <w:t>5.2 自适应数据价值函数</w:t>
      </w:r>
    </w:p>
    <w:p w14:paraId="733E1D34">
      <w:pPr>
        <w:keepLines w:val="0"/>
        <w:spacing w:before="0" w:after="120" w:line="300" w:lineRule="auto"/>
        <w:jc w:val="both"/>
      </w:pPr>
      <w:r>
        <w:rPr>
          <w:rFonts w:ascii="Noto Sans SC Thin" w:hAnsi="Noto Sans SC Thin" w:eastAsia="Noto Sans SC Thin"/>
          <w:b w:val="0"/>
          <w:i w:val="0"/>
          <w:color w:val="111827"/>
          <w:sz w:val="22"/>
        </w:rPr>
        <w:t>候选数据价值同时考虑学生不确定性、师生分歧、边界误差、视觉/语义新颖性和薄弱概念权重。类别采样还引入数量反比项，避免高频Entity样本持续占据训练预算。</w:t>
      </w:r>
    </w:p>
    <w:p w14:paraId="76A1A70F">
      <w:pPr>
        <w:spacing w:before="80" w:after="160"/>
        <w:jc w:val="center"/>
      </w:pPr>
      <w:r>
        <w:rPr>
          <w:rFonts w:ascii="Cambria Math" w:hAnsi="Cambria Math" w:eastAsia="Noto Sans SC Thin"/>
          <w:b w:val="0"/>
          <w:i/>
          <w:color w:val="17365D"/>
          <w:sz w:val="21"/>
        </w:rPr>
        <w:t>V(I,p) = αU + βDST + γEbd + δNovelty + ηConceptWeakness</w:t>
      </w:r>
    </w:p>
    <w:p w14:paraId="5E921579">
      <w:pPr>
        <w:spacing w:before="80" w:after="160"/>
        <w:jc w:val="center"/>
      </w:pPr>
      <w:r>
        <w:rPr>
          <w:rFonts w:ascii="Cambria Math" w:hAnsi="Cambria Math" w:eastAsia="Noto Sans SC Thin"/>
          <w:b w:val="0"/>
          <w:i/>
          <w:color w:val="17365D"/>
          <w:sz w:val="21"/>
        </w:rPr>
        <w:t>P(c) ∝ (Ec + ε)^ρ · (Nc + ε)^(-μ)</w:t>
      </w:r>
    </w:p>
    <w:p w14:paraId="39F1237C">
      <w:pPr>
        <w:keepLines w:val="0"/>
        <w:spacing w:before="0" w:after="120" w:line="300" w:lineRule="auto"/>
        <w:jc w:val="both"/>
      </w:pPr>
      <w:r>
        <w:rPr>
          <w:rFonts w:ascii="Noto Sans SC Thin" w:hAnsi="Noto Sans SC Thin" w:eastAsia="Noto Sans SC Thin"/>
          <w:b w:val="0"/>
          <w:i w:val="0"/>
          <w:color w:val="111827"/>
          <w:sz w:val="22"/>
        </w:rPr>
        <w:t>每个概念类别设置最低采样比例，Hard Buffer最多保留两个外层周期，以限制分布坍缩和陈旧策略数据。</w:t>
      </w:r>
    </w:p>
    <w:p w14:paraId="347E60FD">
      <w:pPr>
        <w:pStyle w:val="4"/>
      </w:pPr>
      <w:r>
        <w:t>5.3 困难提示生成算子</w:t>
      </w:r>
    </w:p>
    <w:p w14:paraId="5C861F15">
      <w:pPr>
        <w:pStyle w:val="16"/>
        <w:spacing w:after="80" w:line="290" w:lineRule="auto"/>
        <w:ind w:left="540" w:hanging="279"/>
      </w:pPr>
      <w:r>
        <w:rPr>
          <w:rFonts w:ascii="Noto Sans SC Thin" w:hAnsi="Noto Sans SC Thin" w:eastAsia="Noto Sans SC Thin"/>
          <w:b w:val="0"/>
          <w:i w:val="0"/>
          <w:color w:val="111827"/>
          <w:sz w:val="22"/>
        </w:rPr>
        <w:t>语义保持改写：改变表达方式但复用原掩码，是低噪声的首选扩增。</w:t>
      </w:r>
    </w:p>
    <w:p w14:paraId="60013823">
      <w:pPr>
        <w:pStyle w:val="16"/>
        <w:spacing w:after="80" w:line="290" w:lineRule="auto"/>
        <w:ind w:left="540" w:hanging="279"/>
      </w:pPr>
      <w:r>
        <w:rPr>
          <w:rFonts w:ascii="Noto Sans SC Thin" w:hAnsi="Noto Sans SC Thin" w:eastAsia="Noto Sans SC Thin"/>
          <w:b w:val="0"/>
          <w:i w:val="0"/>
          <w:color w:val="111827"/>
          <w:sz w:val="22"/>
        </w:rPr>
        <w:t>最小语义对：只改变一个属性、关系、状态或物理条件，形成可解释的正负对。</w:t>
      </w:r>
    </w:p>
    <w:p w14:paraId="44BAC615">
      <w:pPr>
        <w:pStyle w:val="16"/>
        <w:spacing w:after="80" w:line="290" w:lineRule="auto"/>
        <w:ind w:left="540" w:hanging="279"/>
      </w:pPr>
      <w:r>
        <w:rPr>
          <w:rFonts w:ascii="Noto Sans SC Thin" w:hAnsi="Noto Sans SC Thin" w:eastAsia="Noto Sans SC Thin"/>
          <w:b w:val="0"/>
          <w:i w:val="0"/>
          <w:color w:val="111827"/>
          <w:sz w:val="22"/>
        </w:rPr>
        <w:t>组合约束：在实体条件上叠加空间、关系、用途或安全限制。</w:t>
      </w:r>
    </w:p>
    <w:p w14:paraId="615782DF">
      <w:pPr>
        <w:pStyle w:val="16"/>
        <w:spacing w:after="80" w:line="290" w:lineRule="auto"/>
        <w:ind w:left="540" w:hanging="279"/>
      </w:pPr>
      <w:r>
        <w:rPr>
          <w:rFonts w:ascii="Noto Sans SC Thin" w:hAnsi="Noto Sans SC Thin" w:eastAsia="Noto Sans SC Thin"/>
          <w:b w:val="0"/>
          <w:i w:val="0"/>
          <w:color w:val="111827"/>
          <w:sz w:val="22"/>
        </w:rPr>
        <w:t>功能与物理反事实：生成“可以做什么”“若条件改变会发生什么”的查询。</w:t>
      </w:r>
    </w:p>
    <w:p w14:paraId="7E5FD3AC">
      <w:pPr>
        <w:pStyle w:val="16"/>
        <w:spacing w:after="80" w:line="290" w:lineRule="auto"/>
        <w:ind w:left="540" w:hanging="279"/>
      </w:pPr>
      <w:r>
        <w:rPr>
          <w:rFonts w:ascii="Noto Sans SC Thin" w:hAnsi="Noto Sans SC Thin" w:eastAsia="Noto Sans SC Thin"/>
          <w:b w:val="0"/>
          <w:i w:val="0"/>
          <w:color w:val="111827"/>
          <w:sz w:val="22"/>
        </w:rPr>
        <w:t>幻觉针对生成：围绕学生当前错误激活的区域生成不存在对象、错误属性和错误关系。</w:t>
      </w:r>
    </w:p>
    <w:p w14:paraId="66378B7A">
      <w:pPr>
        <w:pStyle w:val="4"/>
      </w:pPr>
      <w:r>
        <w:t>5.4 多级验证与质量门控</w:t>
      </w:r>
    </w:p>
    <w:p w14:paraId="3C315549">
      <w:pPr>
        <w:keepLines w:val="0"/>
        <w:spacing w:before="0" w:after="120" w:line="300" w:lineRule="auto"/>
        <w:jc w:val="both"/>
      </w:pPr>
      <w:r>
        <w:rPr>
          <w:rFonts w:ascii="Noto Sans SC Thin" w:hAnsi="Noto Sans SC Thin" w:eastAsia="Noto Sans SC Thin"/>
          <w:b w:val="0"/>
          <w:i w:val="0"/>
          <w:color w:val="111827"/>
          <w:sz w:val="22"/>
        </w:rPr>
        <w:t>外层生成的数据依次通过语义成立性、掩码几何、教师稳定性和去重/新颖性检查。语义保持改写直接复用可靠掩码；目标变化时重新执行开放词汇定位、SAM2分割和VLM验证。对于具有多解的功能或物理提示，优先使用soft mask或候选掩码集合，避免将合理多解压缩成错误硬标签。</w:t>
      </w:r>
    </w:p>
    <w:p w14:paraId="5DD73142">
      <w:pPr>
        <w:spacing w:before="80" w:after="160"/>
        <w:jc w:val="center"/>
      </w:pPr>
      <w:r>
        <w:rPr>
          <w:rFonts w:ascii="Cambria Math" w:hAnsi="Cambria Math" w:eastAsia="Noto Sans SC Thin"/>
          <w:b w:val="0"/>
          <w:i/>
          <w:color w:val="17365D"/>
          <w:sz w:val="21"/>
        </w:rPr>
        <w:t>Qdata = Csem · Cgeo · Cteacher · Cnovel</w:t>
      </w:r>
    </w:p>
    <w:tbl>
      <w:tblPr>
        <w:tblStyle w:val="33"/>
        <w:tblW w:w="9360" w:type="dxa"/>
        <w:tblInd w:w="120" w:type="dxa"/>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Layout w:type="fixed"/>
        <w:tblCellMar>
          <w:top w:w="0" w:type="dxa"/>
          <w:left w:w="108" w:type="dxa"/>
          <w:bottom w:w="0" w:type="dxa"/>
          <w:right w:w="108" w:type="dxa"/>
        </w:tblCellMar>
      </w:tblPr>
      <w:tblGrid>
        <w:gridCol w:w="9360"/>
      </w:tblGrid>
      <w:tr w14:paraId="5B089FE2">
        <w:tblPrEx>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CellMar>
            <w:top w:w="0" w:type="dxa"/>
            <w:left w:w="108" w:type="dxa"/>
            <w:bottom w:w="0" w:type="dxa"/>
            <w:right w:w="108" w:type="dxa"/>
          </w:tblCellMar>
        </w:tblPrEx>
        <w:tc>
          <w:tcPr>
            <w:tcW w:w="9360" w:type="dxa"/>
            <w:shd w:val="clear" w:color="auto" w:fill="EAF2F8"/>
            <w:tcMar>
              <w:top w:w="80" w:type="dxa"/>
              <w:left w:w="120" w:type="dxa"/>
              <w:bottom w:w="80" w:type="dxa"/>
              <w:right w:w="120" w:type="dxa"/>
            </w:tcMar>
            <w:vAlign w:val="center"/>
          </w:tcPr>
          <w:p w14:paraId="3A0E860A">
            <w:pPr>
              <w:spacing w:before="40" w:after="40" w:line="283" w:lineRule="auto"/>
            </w:pPr>
            <w:r>
              <w:rPr>
                <w:rFonts w:ascii="Noto Sans SC Thin" w:hAnsi="Noto Sans SC Thin" w:eastAsia="Noto Sans SC Thin"/>
                <w:b/>
                <w:i w:val="0"/>
                <w:color w:val="17365D"/>
                <w:sz w:val="22"/>
              </w:rPr>
              <w:t>质量原则：</w:t>
            </w:r>
            <w:r>
              <w:rPr>
                <w:rFonts w:ascii="Noto Sans SC Thin" w:hAnsi="Noto Sans SC Thin" w:eastAsia="Noto Sans SC Thin"/>
                <w:b w:val="0"/>
                <w:i w:val="0"/>
                <w:color w:val="111827"/>
                <w:sz w:val="22"/>
              </w:rPr>
              <w:t>数据生成器不能直接读取完整GT掩码及答案文本；它只接收图像、原提示、概念类别和结构化错误类型，以降低答案泄漏和模板化提示。</w:t>
            </w:r>
          </w:p>
        </w:tc>
      </w:tr>
    </w:tbl>
    <w:p w14:paraId="3F860374">
      <w:pPr>
        <w:spacing w:after="20"/>
      </w:pPr>
    </w:p>
    <w:p w14:paraId="00DDE88E">
      <w:pPr>
        <w:pStyle w:val="3"/>
      </w:pPr>
      <w:r>
        <w:t>6. 双层协同训练方案</w:t>
      </w:r>
    </w:p>
    <w:p w14:paraId="616C07F6">
      <w:pPr>
        <w:pStyle w:val="4"/>
      </w:pPr>
      <w:r>
        <w:t>6.1 训练阶段</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200"/>
        <w:gridCol w:w="2940"/>
        <w:gridCol w:w="5220"/>
      </w:tblGrid>
      <w:tr w14:paraId="750E0D5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1200" w:type="dxa"/>
            <w:shd w:val="clear" w:color="auto" w:fill="E8EEF5"/>
            <w:tcMar>
              <w:top w:w="80" w:type="dxa"/>
              <w:left w:w="120" w:type="dxa"/>
              <w:bottom w:w="80" w:type="dxa"/>
              <w:right w:w="120" w:type="dxa"/>
            </w:tcMar>
            <w:vAlign w:val="center"/>
          </w:tcPr>
          <w:p w14:paraId="4FD1AA83">
            <w:pPr>
              <w:spacing w:after="0" w:line="259" w:lineRule="auto"/>
              <w:jc w:val="center"/>
            </w:pPr>
            <w:r>
              <w:rPr>
                <w:rFonts w:ascii="Noto Sans SC Thin" w:hAnsi="Noto Sans SC Thin" w:eastAsia="Noto Sans SC Thin"/>
                <w:b/>
                <w:i w:val="0"/>
                <w:color w:val="17365D"/>
                <w:sz w:val="18"/>
              </w:rPr>
              <w:t>阶段</w:t>
            </w:r>
          </w:p>
        </w:tc>
        <w:tc>
          <w:tcPr>
            <w:tcW w:w="2940" w:type="dxa"/>
            <w:shd w:val="clear" w:color="auto" w:fill="E8EEF5"/>
            <w:tcMar>
              <w:top w:w="80" w:type="dxa"/>
              <w:left w:w="120" w:type="dxa"/>
              <w:bottom w:w="80" w:type="dxa"/>
              <w:right w:w="120" w:type="dxa"/>
            </w:tcMar>
            <w:vAlign w:val="center"/>
          </w:tcPr>
          <w:p w14:paraId="4E163B7B">
            <w:pPr>
              <w:spacing w:after="0" w:line="259" w:lineRule="auto"/>
              <w:jc w:val="center"/>
            </w:pPr>
            <w:r>
              <w:rPr>
                <w:rFonts w:ascii="Noto Sans SC Thin" w:hAnsi="Noto Sans SC Thin" w:eastAsia="Noto Sans SC Thin"/>
                <w:b/>
                <w:i w:val="0"/>
                <w:color w:val="17365D"/>
                <w:sz w:val="18"/>
              </w:rPr>
              <w:t>目标</w:t>
            </w:r>
          </w:p>
        </w:tc>
        <w:tc>
          <w:tcPr>
            <w:tcW w:w="5220" w:type="dxa"/>
            <w:shd w:val="clear" w:color="auto" w:fill="E8EEF5"/>
            <w:tcMar>
              <w:top w:w="80" w:type="dxa"/>
              <w:left w:w="120" w:type="dxa"/>
              <w:bottom w:w="80" w:type="dxa"/>
              <w:right w:w="120" w:type="dxa"/>
            </w:tcMar>
            <w:vAlign w:val="center"/>
          </w:tcPr>
          <w:p w14:paraId="2C50DA2D">
            <w:pPr>
              <w:spacing w:after="0" w:line="259" w:lineRule="auto"/>
              <w:jc w:val="center"/>
            </w:pPr>
            <w:r>
              <w:rPr>
                <w:rFonts w:ascii="Noto Sans SC Thin" w:hAnsi="Noto Sans SC Thin" w:eastAsia="Noto Sans SC Thin"/>
                <w:b/>
                <w:i w:val="0"/>
                <w:color w:val="17365D"/>
                <w:sz w:val="18"/>
              </w:rPr>
              <w:t>核心数据/操作</w:t>
            </w:r>
          </w:p>
        </w:tc>
      </w:tr>
      <w:tr w14:paraId="63EE3DF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7E2D4FEF">
            <w:pPr>
              <w:spacing w:after="0" w:line="264" w:lineRule="auto"/>
              <w:jc w:val="center"/>
            </w:pPr>
            <w:r>
              <w:rPr>
                <w:rFonts w:ascii="Noto Sans SC Thin" w:hAnsi="Noto Sans SC Thin" w:eastAsia="Noto Sans SC Thin"/>
                <w:b w:val="0"/>
                <w:i w:val="0"/>
                <w:color w:val="111827"/>
                <w:sz w:val="18"/>
              </w:rPr>
              <w:t>Stage 0</w:t>
            </w:r>
          </w:p>
        </w:tc>
        <w:tc>
          <w:tcPr>
            <w:tcW w:w="2940" w:type="dxa"/>
            <w:tcMar>
              <w:top w:w="80" w:type="dxa"/>
              <w:left w:w="120" w:type="dxa"/>
              <w:bottom w:w="80" w:type="dxa"/>
              <w:right w:w="120" w:type="dxa"/>
            </w:tcMar>
            <w:vAlign w:val="center"/>
          </w:tcPr>
          <w:p w14:paraId="442C0FDC">
            <w:pPr>
              <w:spacing w:after="0" w:line="264" w:lineRule="auto"/>
              <w:jc w:val="center"/>
            </w:pPr>
            <w:r>
              <w:rPr>
                <w:rFonts w:ascii="Noto Sans SC Thin" w:hAnsi="Noto Sans SC Thin" w:eastAsia="Noto Sans SC Thin"/>
                <w:b w:val="0"/>
                <w:i w:val="0"/>
                <w:color w:val="111827"/>
                <w:sz w:val="18"/>
              </w:rPr>
              <w:t>获得基础ConVerSeg学生</w:t>
            </w:r>
          </w:p>
        </w:tc>
        <w:tc>
          <w:tcPr>
            <w:tcW w:w="5220" w:type="dxa"/>
            <w:tcMar>
              <w:top w:w="80" w:type="dxa"/>
              <w:left w:w="120" w:type="dxa"/>
              <w:bottom w:w="80" w:type="dxa"/>
              <w:right w:w="120" w:type="dxa"/>
            </w:tcMar>
            <w:vAlign w:val="center"/>
          </w:tcPr>
          <w:p w14:paraId="3881DFA6">
            <w:pPr>
              <w:spacing w:after="0" w:line="264" w:lineRule="auto"/>
              <w:jc w:val="left"/>
            </w:pPr>
            <w:r>
              <w:rPr>
                <w:rFonts w:ascii="Noto Sans SC Thin" w:hAnsi="Noto Sans SC Thin" w:eastAsia="Noto Sans SC Thin"/>
                <w:b w:val="0"/>
                <w:i w:val="0"/>
                <w:color w:val="111827"/>
                <w:sz w:val="18"/>
              </w:rPr>
              <w:t>沿用Literal、RefCOCO、Open-vocabulary及Conversational两阶段课程。</w:t>
            </w:r>
          </w:p>
        </w:tc>
      </w:tr>
      <w:tr w14:paraId="2C02259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200" w:type="dxa"/>
            <w:shd w:val="clear" w:color="auto" w:fill="FAFBFC"/>
            <w:tcMar>
              <w:top w:w="80" w:type="dxa"/>
              <w:left w:w="120" w:type="dxa"/>
              <w:bottom w:w="80" w:type="dxa"/>
              <w:right w:w="120" w:type="dxa"/>
            </w:tcMar>
            <w:vAlign w:val="center"/>
          </w:tcPr>
          <w:p w14:paraId="40E619F4">
            <w:pPr>
              <w:spacing w:after="0" w:line="264" w:lineRule="auto"/>
              <w:jc w:val="center"/>
            </w:pPr>
            <w:r>
              <w:rPr>
                <w:rFonts w:ascii="Noto Sans SC Thin" w:hAnsi="Noto Sans SC Thin" w:eastAsia="Noto Sans SC Thin"/>
                <w:b w:val="0"/>
                <w:i w:val="0"/>
                <w:color w:val="111827"/>
                <w:sz w:val="18"/>
              </w:rPr>
              <w:t>Stage 1</w:t>
            </w:r>
          </w:p>
        </w:tc>
        <w:tc>
          <w:tcPr>
            <w:tcW w:w="2940" w:type="dxa"/>
            <w:shd w:val="clear" w:color="auto" w:fill="FAFBFC"/>
            <w:tcMar>
              <w:top w:w="80" w:type="dxa"/>
              <w:left w:w="120" w:type="dxa"/>
              <w:bottom w:w="80" w:type="dxa"/>
              <w:right w:w="120" w:type="dxa"/>
            </w:tcMar>
            <w:vAlign w:val="center"/>
          </w:tcPr>
          <w:p w14:paraId="7C5A3E1F">
            <w:pPr>
              <w:spacing w:after="0" w:line="264" w:lineRule="auto"/>
              <w:jc w:val="center"/>
            </w:pPr>
            <w:r>
              <w:rPr>
                <w:rFonts w:ascii="Noto Sans SC Thin" w:hAnsi="Noto Sans SC Thin" w:eastAsia="Noto Sans SC Thin"/>
                <w:b w:val="0"/>
                <w:i w:val="0"/>
                <w:color w:val="111827"/>
                <w:sz w:val="18"/>
              </w:rPr>
              <w:t>获得纠错教师</w:t>
            </w:r>
          </w:p>
        </w:tc>
        <w:tc>
          <w:tcPr>
            <w:tcW w:w="5220" w:type="dxa"/>
            <w:shd w:val="clear" w:color="auto" w:fill="FAFBFC"/>
            <w:tcMar>
              <w:top w:w="80" w:type="dxa"/>
              <w:left w:w="120" w:type="dxa"/>
              <w:bottom w:w="80" w:type="dxa"/>
              <w:right w:w="120" w:type="dxa"/>
            </w:tcMar>
            <w:vAlign w:val="center"/>
          </w:tcPr>
          <w:p w14:paraId="5FC80FC2">
            <w:pPr>
              <w:spacing w:after="0" w:line="264" w:lineRule="auto"/>
              <w:jc w:val="left"/>
            </w:pPr>
            <w:r>
              <w:rPr>
                <w:rFonts w:ascii="Noto Sans SC Thin" w:hAnsi="Noto Sans SC Thin" w:eastAsia="Noto Sans SC Thin"/>
                <w:b w:val="0"/>
                <w:i w:val="0"/>
                <w:color w:val="111827"/>
                <w:sz w:val="18"/>
              </w:rPr>
              <w:t>利用GT腐化状态训练7B教师，冻结后验证Recovery Gain。</w:t>
            </w:r>
          </w:p>
        </w:tc>
      </w:tr>
      <w:tr w14:paraId="3013592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55E5C553">
            <w:pPr>
              <w:spacing w:after="0" w:line="264" w:lineRule="auto"/>
              <w:jc w:val="center"/>
            </w:pPr>
            <w:r>
              <w:rPr>
                <w:rFonts w:ascii="Noto Sans SC Thin" w:hAnsi="Noto Sans SC Thin" w:eastAsia="Noto Sans SC Thin"/>
                <w:b w:val="0"/>
                <w:i w:val="0"/>
                <w:color w:val="111827"/>
                <w:sz w:val="18"/>
              </w:rPr>
              <w:t>Stage 2</w:t>
            </w:r>
          </w:p>
        </w:tc>
        <w:tc>
          <w:tcPr>
            <w:tcW w:w="2940" w:type="dxa"/>
            <w:tcMar>
              <w:top w:w="80" w:type="dxa"/>
              <w:left w:w="120" w:type="dxa"/>
              <w:bottom w:w="80" w:type="dxa"/>
              <w:right w:w="120" w:type="dxa"/>
            </w:tcMar>
            <w:vAlign w:val="center"/>
          </w:tcPr>
          <w:p w14:paraId="47B98EAB">
            <w:pPr>
              <w:spacing w:after="0" w:line="264" w:lineRule="auto"/>
              <w:jc w:val="center"/>
            </w:pPr>
            <w:r>
              <w:rPr>
                <w:rFonts w:ascii="Noto Sans SC Thin" w:hAnsi="Noto Sans SC Thin" w:eastAsia="Noto Sans SC Thin"/>
                <w:b w:val="0"/>
                <w:i w:val="0"/>
                <w:color w:val="111827"/>
                <w:sz w:val="18"/>
              </w:rPr>
              <w:t>启动内层OPD</w:t>
            </w:r>
          </w:p>
        </w:tc>
        <w:tc>
          <w:tcPr>
            <w:tcW w:w="5220" w:type="dxa"/>
            <w:tcMar>
              <w:top w:w="80" w:type="dxa"/>
              <w:left w:w="120" w:type="dxa"/>
              <w:bottom w:w="80" w:type="dxa"/>
              <w:right w:w="120" w:type="dxa"/>
            </w:tcMar>
            <w:vAlign w:val="center"/>
          </w:tcPr>
          <w:p w14:paraId="4DD18BB6">
            <w:pPr>
              <w:spacing w:after="0" w:line="264" w:lineRule="auto"/>
              <w:jc w:val="left"/>
            </w:pPr>
            <w:r>
              <w:rPr>
                <w:rFonts w:ascii="Noto Sans SC Thin" w:hAnsi="Noto Sans SC Thin" w:eastAsia="Noto Sans SC Thin"/>
                <w:b w:val="0"/>
                <w:i w:val="0"/>
                <w:color w:val="111827"/>
                <w:sz w:val="18"/>
              </w:rPr>
              <w:t>在当前学生掩码状态上进行像素、边界和表征蒸馏。</w:t>
            </w:r>
          </w:p>
        </w:tc>
      </w:tr>
      <w:tr w14:paraId="04EFABF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200" w:type="dxa"/>
            <w:shd w:val="clear" w:color="auto" w:fill="FAFBFC"/>
            <w:tcMar>
              <w:top w:w="80" w:type="dxa"/>
              <w:left w:w="120" w:type="dxa"/>
              <w:bottom w:w="80" w:type="dxa"/>
              <w:right w:w="120" w:type="dxa"/>
            </w:tcMar>
            <w:vAlign w:val="center"/>
          </w:tcPr>
          <w:p w14:paraId="7125E004">
            <w:pPr>
              <w:spacing w:after="0" w:line="264" w:lineRule="auto"/>
              <w:jc w:val="center"/>
            </w:pPr>
            <w:r>
              <w:rPr>
                <w:rFonts w:ascii="Noto Sans SC Thin" w:hAnsi="Noto Sans SC Thin" w:eastAsia="Noto Sans SC Thin"/>
                <w:b w:val="0"/>
                <w:i w:val="0"/>
                <w:color w:val="111827"/>
                <w:sz w:val="18"/>
              </w:rPr>
              <w:t>Stage 3</w:t>
            </w:r>
          </w:p>
        </w:tc>
        <w:tc>
          <w:tcPr>
            <w:tcW w:w="2940" w:type="dxa"/>
            <w:shd w:val="clear" w:color="auto" w:fill="FAFBFC"/>
            <w:tcMar>
              <w:top w:w="80" w:type="dxa"/>
              <w:left w:w="120" w:type="dxa"/>
              <w:bottom w:w="80" w:type="dxa"/>
              <w:right w:w="120" w:type="dxa"/>
            </w:tcMar>
            <w:vAlign w:val="center"/>
          </w:tcPr>
          <w:p w14:paraId="64906226">
            <w:pPr>
              <w:spacing w:after="0" w:line="264" w:lineRule="auto"/>
              <w:jc w:val="center"/>
            </w:pPr>
            <w:r>
              <w:rPr>
                <w:rFonts w:ascii="Noto Sans SC Thin" w:hAnsi="Noto Sans SC Thin" w:eastAsia="Noto Sans SC Thin"/>
                <w:b w:val="0"/>
                <w:i w:val="0"/>
                <w:color w:val="111827"/>
                <w:sz w:val="18"/>
              </w:rPr>
              <w:t>启动外层数据闭环</w:t>
            </w:r>
          </w:p>
        </w:tc>
        <w:tc>
          <w:tcPr>
            <w:tcW w:w="5220" w:type="dxa"/>
            <w:shd w:val="clear" w:color="auto" w:fill="FAFBFC"/>
            <w:tcMar>
              <w:top w:w="80" w:type="dxa"/>
              <w:left w:w="120" w:type="dxa"/>
              <w:bottom w:w="80" w:type="dxa"/>
              <w:right w:w="120" w:type="dxa"/>
            </w:tcMar>
            <w:vAlign w:val="center"/>
          </w:tcPr>
          <w:p w14:paraId="66A44EB9">
            <w:pPr>
              <w:spacing w:after="0" w:line="264" w:lineRule="auto"/>
              <w:jc w:val="left"/>
            </w:pPr>
            <w:r>
              <w:rPr>
                <w:rFonts w:ascii="Noto Sans SC Thin" w:hAnsi="Noto Sans SC Thin" w:eastAsia="Noto Sans SC Thin"/>
                <w:b w:val="0"/>
                <w:i w:val="0"/>
                <w:color w:val="111827"/>
                <w:sz w:val="18"/>
              </w:rPr>
              <w:t>构建错误画像、生成困难数据、教师验证并刷新Hard Buffer。</w:t>
            </w:r>
          </w:p>
        </w:tc>
      </w:tr>
      <w:tr w14:paraId="0D47EB0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142BE0CF">
            <w:pPr>
              <w:spacing w:after="0" w:line="264" w:lineRule="auto"/>
              <w:jc w:val="center"/>
            </w:pPr>
            <w:r>
              <w:rPr>
                <w:rFonts w:ascii="Noto Sans SC Thin" w:hAnsi="Noto Sans SC Thin" w:eastAsia="Noto Sans SC Thin"/>
                <w:b w:val="0"/>
                <w:i w:val="0"/>
                <w:color w:val="111827"/>
                <w:sz w:val="18"/>
              </w:rPr>
              <w:t>Stage 4</w:t>
            </w:r>
          </w:p>
        </w:tc>
        <w:tc>
          <w:tcPr>
            <w:tcW w:w="2940" w:type="dxa"/>
            <w:tcMar>
              <w:top w:w="80" w:type="dxa"/>
              <w:left w:w="120" w:type="dxa"/>
              <w:bottom w:w="80" w:type="dxa"/>
              <w:right w:w="120" w:type="dxa"/>
            </w:tcMar>
            <w:vAlign w:val="center"/>
          </w:tcPr>
          <w:p w14:paraId="24E299AF">
            <w:pPr>
              <w:spacing w:after="0" w:line="264" w:lineRule="auto"/>
              <w:jc w:val="center"/>
            </w:pPr>
            <w:r>
              <w:rPr>
                <w:rFonts w:ascii="Noto Sans SC Thin" w:hAnsi="Noto Sans SC Thin" w:eastAsia="Noto Sans SC Thin"/>
                <w:b w:val="0"/>
                <w:i w:val="0"/>
                <w:color w:val="111827"/>
                <w:sz w:val="18"/>
              </w:rPr>
              <w:t>能力折叠与收敛</w:t>
            </w:r>
          </w:p>
        </w:tc>
        <w:tc>
          <w:tcPr>
            <w:tcW w:w="5220" w:type="dxa"/>
            <w:tcMar>
              <w:top w:w="80" w:type="dxa"/>
              <w:left w:w="120" w:type="dxa"/>
              <w:bottom w:w="80" w:type="dxa"/>
              <w:right w:w="120" w:type="dxa"/>
            </w:tcMar>
            <w:vAlign w:val="center"/>
          </w:tcPr>
          <w:p w14:paraId="6D48B9C8">
            <w:pPr>
              <w:spacing w:after="0" w:line="264" w:lineRule="auto"/>
              <w:jc w:val="left"/>
            </w:pPr>
            <w:r>
              <w:rPr>
                <w:rFonts w:ascii="Noto Sans SC Thin" w:hAnsi="Noto Sans SC Thin" w:eastAsia="Noto Sans SC Thin"/>
                <w:b w:val="0"/>
                <w:i w:val="0"/>
                <w:color w:val="111827"/>
                <w:sz w:val="18"/>
              </w:rPr>
              <w:t>逐步提高collapse loss，输出One-pass与Two-pass两个模型版本。</w:t>
            </w:r>
          </w:p>
        </w:tc>
      </w:tr>
    </w:tbl>
    <w:p w14:paraId="5E6C3CA6">
      <w:pPr>
        <w:spacing w:after="20"/>
      </w:pPr>
    </w:p>
    <w:p w14:paraId="27CBD329">
      <w:pPr>
        <w:pStyle w:val="4"/>
      </w:pPr>
      <w:r>
        <w:t>6.2 批次配比与建议超参数</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200"/>
        <w:gridCol w:w="2500"/>
        <w:gridCol w:w="4660"/>
      </w:tblGrid>
      <w:tr w14:paraId="3221AA0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2200" w:type="dxa"/>
            <w:shd w:val="clear" w:color="auto" w:fill="E8EEF5"/>
            <w:tcMar>
              <w:top w:w="80" w:type="dxa"/>
              <w:left w:w="120" w:type="dxa"/>
              <w:bottom w:w="80" w:type="dxa"/>
              <w:right w:w="120" w:type="dxa"/>
            </w:tcMar>
            <w:vAlign w:val="center"/>
          </w:tcPr>
          <w:p w14:paraId="50DB1726">
            <w:pPr>
              <w:spacing w:after="0" w:line="259" w:lineRule="auto"/>
              <w:jc w:val="center"/>
            </w:pPr>
            <w:r>
              <w:rPr>
                <w:rFonts w:ascii="Noto Sans SC Thin" w:hAnsi="Noto Sans SC Thin" w:eastAsia="Noto Sans SC Thin"/>
                <w:b/>
                <w:i w:val="0"/>
                <w:color w:val="17365D"/>
                <w:sz w:val="18"/>
              </w:rPr>
              <w:t>项目</w:t>
            </w:r>
          </w:p>
        </w:tc>
        <w:tc>
          <w:tcPr>
            <w:tcW w:w="2500" w:type="dxa"/>
            <w:shd w:val="clear" w:color="auto" w:fill="E8EEF5"/>
            <w:tcMar>
              <w:top w:w="80" w:type="dxa"/>
              <w:left w:w="120" w:type="dxa"/>
              <w:bottom w:w="80" w:type="dxa"/>
              <w:right w:w="120" w:type="dxa"/>
            </w:tcMar>
            <w:vAlign w:val="center"/>
          </w:tcPr>
          <w:p w14:paraId="59A35F85">
            <w:pPr>
              <w:spacing w:after="0" w:line="259" w:lineRule="auto"/>
              <w:jc w:val="center"/>
            </w:pPr>
            <w:r>
              <w:rPr>
                <w:rFonts w:ascii="Noto Sans SC Thin" w:hAnsi="Noto Sans SC Thin" w:eastAsia="Noto Sans SC Thin"/>
                <w:b/>
                <w:i w:val="0"/>
                <w:color w:val="17365D"/>
                <w:sz w:val="18"/>
              </w:rPr>
              <w:t>初始设置</w:t>
            </w:r>
          </w:p>
        </w:tc>
        <w:tc>
          <w:tcPr>
            <w:tcW w:w="4660" w:type="dxa"/>
            <w:shd w:val="clear" w:color="auto" w:fill="E8EEF5"/>
            <w:tcMar>
              <w:top w:w="80" w:type="dxa"/>
              <w:left w:w="120" w:type="dxa"/>
              <w:bottom w:w="80" w:type="dxa"/>
              <w:right w:w="120" w:type="dxa"/>
            </w:tcMar>
            <w:vAlign w:val="center"/>
          </w:tcPr>
          <w:p w14:paraId="43C22C4B">
            <w:pPr>
              <w:spacing w:after="0" w:line="259" w:lineRule="auto"/>
              <w:jc w:val="center"/>
            </w:pPr>
            <w:r>
              <w:rPr>
                <w:rFonts w:ascii="Noto Sans SC Thin" w:hAnsi="Noto Sans SC Thin" w:eastAsia="Noto Sans SC Thin"/>
                <w:b/>
                <w:i w:val="0"/>
                <w:color w:val="17365D"/>
                <w:sz w:val="18"/>
              </w:rPr>
              <w:t>说明</w:t>
            </w:r>
          </w:p>
        </w:tc>
      </w:tr>
      <w:tr w14:paraId="2256417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7AAE8EB1">
            <w:pPr>
              <w:spacing w:after="0" w:line="264" w:lineRule="auto"/>
              <w:jc w:val="center"/>
            </w:pPr>
            <w:r>
              <w:rPr>
                <w:rFonts w:ascii="Noto Sans SC Thin" w:hAnsi="Noto Sans SC Thin" w:eastAsia="Noto Sans SC Thin"/>
                <w:b w:val="0"/>
                <w:i w:val="0"/>
                <w:color w:val="111827"/>
                <w:sz w:val="18"/>
              </w:rPr>
              <w:t>Batch composition</w:t>
            </w:r>
          </w:p>
        </w:tc>
        <w:tc>
          <w:tcPr>
            <w:tcW w:w="2500" w:type="dxa"/>
            <w:tcMar>
              <w:top w:w="80" w:type="dxa"/>
              <w:left w:w="120" w:type="dxa"/>
              <w:bottom w:w="80" w:type="dxa"/>
              <w:right w:w="120" w:type="dxa"/>
            </w:tcMar>
            <w:vAlign w:val="center"/>
          </w:tcPr>
          <w:p w14:paraId="6C3BE3C9">
            <w:pPr>
              <w:spacing w:after="0" w:line="264" w:lineRule="auto"/>
              <w:jc w:val="left"/>
            </w:pPr>
            <w:r>
              <w:rPr>
                <w:rFonts w:ascii="Noto Sans SC Thin" w:hAnsi="Noto Sans SC Thin" w:eastAsia="Noto Sans SC Thin"/>
                <w:b w:val="0"/>
                <w:i w:val="0"/>
                <w:color w:val="111827"/>
                <w:sz w:val="18"/>
              </w:rPr>
              <w:t>Base 25% / Conv+ 25% / Conv- 20% / Hard 30%</w:t>
            </w:r>
          </w:p>
        </w:tc>
        <w:tc>
          <w:tcPr>
            <w:tcW w:w="4660" w:type="dxa"/>
            <w:tcMar>
              <w:top w:w="80" w:type="dxa"/>
              <w:left w:w="120" w:type="dxa"/>
              <w:bottom w:w="80" w:type="dxa"/>
              <w:right w:w="120" w:type="dxa"/>
            </w:tcMar>
            <w:vAlign w:val="center"/>
          </w:tcPr>
          <w:p w14:paraId="27C5F305">
            <w:pPr>
              <w:spacing w:after="0" w:line="264" w:lineRule="auto"/>
              <w:jc w:val="left"/>
            </w:pPr>
            <w:r>
              <w:rPr>
                <w:rFonts w:ascii="Noto Sans SC Thin" w:hAnsi="Noto Sans SC Thin" w:eastAsia="Noto Sans SC Thin"/>
                <w:b w:val="0"/>
                <w:i w:val="0"/>
                <w:color w:val="111827"/>
                <w:sz w:val="18"/>
              </w:rPr>
              <w:t>保证基础能力、正负平衡与困难样本覆盖。</w:t>
            </w:r>
          </w:p>
        </w:tc>
      </w:tr>
      <w:tr w14:paraId="609D65C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shd w:val="clear" w:color="auto" w:fill="FAFBFC"/>
            <w:tcMar>
              <w:top w:w="80" w:type="dxa"/>
              <w:left w:w="120" w:type="dxa"/>
              <w:bottom w:w="80" w:type="dxa"/>
              <w:right w:w="120" w:type="dxa"/>
            </w:tcMar>
            <w:vAlign w:val="center"/>
          </w:tcPr>
          <w:p w14:paraId="5CCF93A7">
            <w:pPr>
              <w:spacing w:after="0" w:line="264" w:lineRule="auto"/>
              <w:jc w:val="center"/>
            </w:pPr>
            <w:r>
              <w:rPr>
                <w:rFonts w:ascii="Noto Sans SC Thin" w:hAnsi="Noto Sans SC Thin" w:eastAsia="Noto Sans SC Thin"/>
                <w:b w:val="0"/>
                <w:i w:val="0"/>
                <w:color w:val="111827"/>
                <w:sz w:val="18"/>
              </w:rPr>
              <w:t>Outer cycles</w:t>
            </w:r>
          </w:p>
        </w:tc>
        <w:tc>
          <w:tcPr>
            <w:tcW w:w="2500" w:type="dxa"/>
            <w:shd w:val="clear" w:color="auto" w:fill="FAFBFC"/>
            <w:tcMar>
              <w:top w:w="80" w:type="dxa"/>
              <w:left w:w="120" w:type="dxa"/>
              <w:bottom w:w="80" w:type="dxa"/>
              <w:right w:w="120" w:type="dxa"/>
            </w:tcMar>
            <w:vAlign w:val="center"/>
          </w:tcPr>
          <w:p w14:paraId="4F7A2922">
            <w:pPr>
              <w:spacing w:after="0" w:line="264" w:lineRule="auto"/>
              <w:jc w:val="center"/>
            </w:pPr>
            <w:r>
              <w:rPr>
                <w:rFonts w:ascii="Noto Sans SC Thin" w:hAnsi="Noto Sans SC Thin" w:eastAsia="Noto Sans SC Thin"/>
                <w:b w:val="0"/>
                <w:i w:val="0"/>
                <w:color w:val="111827"/>
                <w:sz w:val="18"/>
              </w:rPr>
              <w:t>4–6轮</w:t>
            </w:r>
          </w:p>
        </w:tc>
        <w:tc>
          <w:tcPr>
            <w:tcW w:w="4660" w:type="dxa"/>
            <w:shd w:val="clear" w:color="auto" w:fill="FAFBFC"/>
            <w:tcMar>
              <w:top w:w="80" w:type="dxa"/>
              <w:left w:w="120" w:type="dxa"/>
              <w:bottom w:w="80" w:type="dxa"/>
              <w:right w:w="120" w:type="dxa"/>
            </w:tcMar>
            <w:vAlign w:val="center"/>
          </w:tcPr>
          <w:p w14:paraId="68AB682E">
            <w:pPr>
              <w:spacing w:after="0" w:line="264" w:lineRule="auto"/>
              <w:jc w:val="center"/>
            </w:pPr>
            <w:r>
              <w:rPr>
                <w:rFonts w:ascii="Noto Sans SC Thin" w:hAnsi="Noto Sans SC Thin" w:eastAsia="Noto Sans SC Thin"/>
                <w:b w:val="0"/>
                <w:i w:val="0"/>
                <w:color w:val="111827"/>
                <w:sz w:val="18"/>
              </w:rPr>
              <w:t>每轮重新评估错误画像并刷新数据。</w:t>
            </w:r>
          </w:p>
        </w:tc>
      </w:tr>
      <w:tr w14:paraId="05E98F5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07B157E9">
            <w:pPr>
              <w:spacing w:after="0" w:line="264" w:lineRule="auto"/>
              <w:jc w:val="center"/>
            </w:pPr>
            <w:r>
              <w:rPr>
                <w:rFonts w:ascii="Noto Sans SC Thin" w:hAnsi="Noto Sans SC Thin" w:eastAsia="Noto Sans SC Thin"/>
                <w:b w:val="0"/>
                <w:i w:val="0"/>
                <w:color w:val="111827"/>
                <w:sz w:val="18"/>
              </w:rPr>
              <w:t>Inner rollout</w:t>
            </w:r>
          </w:p>
        </w:tc>
        <w:tc>
          <w:tcPr>
            <w:tcW w:w="2500" w:type="dxa"/>
            <w:tcMar>
              <w:top w:w="80" w:type="dxa"/>
              <w:left w:w="120" w:type="dxa"/>
              <w:bottom w:w="80" w:type="dxa"/>
              <w:right w:w="120" w:type="dxa"/>
            </w:tcMar>
            <w:vAlign w:val="center"/>
          </w:tcPr>
          <w:p w14:paraId="767AD0B2">
            <w:pPr>
              <w:spacing w:after="0" w:line="264" w:lineRule="auto"/>
              <w:jc w:val="center"/>
            </w:pPr>
            <w:r>
              <w:rPr>
                <w:rFonts w:ascii="Noto Sans SC Thin" w:hAnsi="Noto Sans SC Thin" w:eastAsia="Noto Sans SC Thin"/>
                <w:b w:val="0"/>
                <w:i w:val="0"/>
                <w:color w:val="111827"/>
                <w:sz w:val="18"/>
              </w:rPr>
              <w:t>K=1起步</w:t>
            </w:r>
          </w:p>
        </w:tc>
        <w:tc>
          <w:tcPr>
            <w:tcW w:w="4660" w:type="dxa"/>
            <w:tcMar>
              <w:top w:w="80" w:type="dxa"/>
              <w:left w:w="120" w:type="dxa"/>
              <w:bottom w:w="80" w:type="dxa"/>
              <w:right w:w="120" w:type="dxa"/>
            </w:tcMar>
            <w:vAlign w:val="center"/>
          </w:tcPr>
          <w:p w14:paraId="71DAD4D9">
            <w:pPr>
              <w:spacing w:after="0" w:line="264" w:lineRule="auto"/>
              <w:jc w:val="center"/>
            </w:pPr>
            <w:r>
              <w:rPr>
                <w:rFonts w:ascii="Noto Sans SC Thin" w:hAnsi="Noto Sans SC Thin" w:eastAsia="Noto Sans SC Thin"/>
                <w:b w:val="0"/>
                <w:i w:val="0"/>
                <w:color w:val="111827"/>
                <w:sz w:val="18"/>
              </w:rPr>
              <w:t>验证有效后再测试K=2、3。</w:t>
            </w:r>
          </w:p>
        </w:tc>
      </w:tr>
      <w:tr w14:paraId="736BA7A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shd w:val="clear" w:color="auto" w:fill="FAFBFC"/>
            <w:tcMar>
              <w:top w:w="80" w:type="dxa"/>
              <w:left w:w="120" w:type="dxa"/>
              <w:bottom w:w="80" w:type="dxa"/>
              <w:right w:w="120" w:type="dxa"/>
            </w:tcMar>
            <w:vAlign w:val="center"/>
          </w:tcPr>
          <w:p w14:paraId="5D86C2D0">
            <w:pPr>
              <w:spacing w:after="0" w:line="264" w:lineRule="auto"/>
              <w:jc w:val="center"/>
            </w:pPr>
            <w:r>
              <w:rPr>
                <w:rFonts w:ascii="Noto Sans SC Thin" w:hAnsi="Noto Sans SC Thin" w:eastAsia="Noto Sans SC Thin"/>
                <w:b w:val="0"/>
                <w:i w:val="0"/>
                <w:color w:val="111827"/>
                <w:sz w:val="18"/>
              </w:rPr>
              <w:t>Temperature</w:t>
            </w:r>
          </w:p>
        </w:tc>
        <w:tc>
          <w:tcPr>
            <w:tcW w:w="2500" w:type="dxa"/>
            <w:shd w:val="clear" w:color="auto" w:fill="FAFBFC"/>
            <w:tcMar>
              <w:top w:w="80" w:type="dxa"/>
              <w:left w:w="120" w:type="dxa"/>
              <w:bottom w:w="80" w:type="dxa"/>
              <w:right w:w="120" w:type="dxa"/>
            </w:tcMar>
            <w:vAlign w:val="center"/>
          </w:tcPr>
          <w:p w14:paraId="272F3A5C">
            <w:pPr>
              <w:spacing w:after="0" w:line="264" w:lineRule="auto"/>
              <w:jc w:val="center"/>
            </w:pPr>
            <w:r>
              <w:rPr>
                <w:rFonts w:ascii="Noto Sans SC Thin" w:hAnsi="Noto Sans SC Thin" w:eastAsia="Noto Sans SC Thin"/>
                <w:b w:val="0"/>
                <w:i w:val="0"/>
                <w:color w:val="111827"/>
                <w:sz w:val="18"/>
              </w:rPr>
              <w:t>τ=2</w:t>
            </w:r>
          </w:p>
        </w:tc>
        <w:tc>
          <w:tcPr>
            <w:tcW w:w="4660" w:type="dxa"/>
            <w:shd w:val="clear" w:color="auto" w:fill="FAFBFC"/>
            <w:tcMar>
              <w:top w:w="80" w:type="dxa"/>
              <w:left w:w="120" w:type="dxa"/>
              <w:bottom w:w="80" w:type="dxa"/>
              <w:right w:w="120" w:type="dxa"/>
            </w:tcMar>
            <w:vAlign w:val="center"/>
          </w:tcPr>
          <w:p w14:paraId="4D2E636D">
            <w:pPr>
              <w:spacing w:after="0" w:line="264" w:lineRule="auto"/>
              <w:jc w:val="center"/>
            </w:pPr>
            <w:r>
              <w:rPr>
                <w:rFonts w:ascii="Noto Sans SC Thin" w:hAnsi="Noto Sans SC Thin" w:eastAsia="Noto Sans SC Thin"/>
                <w:b w:val="0"/>
                <w:i w:val="0"/>
                <w:color w:val="111827"/>
                <w:sz w:val="18"/>
              </w:rPr>
              <w:t>用于soft mask蒸馏。</w:t>
            </w:r>
          </w:p>
        </w:tc>
      </w:tr>
      <w:tr w14:paraId="185169E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1562773">
            <w:pPr>
              <w:spacing w:after="0" w:line="264" w:lineRule="auto"/>
              <w:jc w:val="center"/>
            </w:pPr>
            <w:r>
              <w:rPr>
                <w:rFonts w:ascii="Noto Sans SC Thin" w:hAnsi="Noto Sans SC Thin" w:eastAsia="Noto Sans SC Thin"/>
                <w:b w:val="0"/>
                <w:i w:val="0"/>
                <w:color w:val="111827"/>
                <w:sz w:val="18"/>
              </w:rPr>
              <w:t>Loss weights</w:t>
            </w:r>
          </w:p>
        </w:tc>
        <w:tc>
          <w:tcPr>
            <w:tcW w:w="2500" w:type="dxa"/>
            <w:tcMar>
              <w:top w:w="80" w:type="dxa"/>
              <w:left w:w="120" w:type="dxa"/>
              <w:bottom w:w="80" w:type="dxa"/>
              <w:right w:w="120" w:type="dxa"/>
            </w:tcMar>
            <w:vAlign w:val="center"/>
          </w:tcPr>
          <w:p w14:paraId="7D020583">
            <w:pPr>
              <w:spacing w:after="0" w:line="264" w:lineRule="auto"/>
              <w:jc w:val="left"/>
            </w:pPr>
            <w:r>
              <w:rPr>
                <w:rFonts w:ascii="Noto Sans SC Thin" w:hAnsi="Noto Sans SC Thin" w:eastAsia="Noto Sans SC Thin"/>
                <w:b w:val="0"/>
                <w:i w:val="0"/>
                <w:color w:val="111827"/>
                <w:sz w:val="18"/>
              </w:rPr>
              <w:t>λopd=1, λbd=0.5, λrep=0.1</w:t>
            </w:r>
          </w:p>
        </w:tc>
        <w:tc>
          <w:tcPr>
            <w:tcW w:w="4660" w:type="dxa"/>
            <w:tcMar>
              <w:top w:w="80" w:type="dxa"/>
              <w:left w:w="120" w:type="dxa"/>
              <w:bottom w:w="80" w:type="dxa"/>
              <w:right w:w="120" w:type="dxa"/>
            </w:tcMar>
            <w:vAlign w:val="center"/>
          </w:tcPr>
          <w:p w14:paraId="786006BB">
            <w:pPr>
              <w:spacing w:after="0" w:line="264" w:lineRule="auto"/>
              <w:jc w:val="center"/>
            </w:pPr>
            <w:r>
              <w:rPr>
                <w:rFonts w:ascii="Noto Sans SC Thin" w:hAnsi="Noto Sans SC Thin" w:eastAsia="Noto Sans SC Thin"/>
                <w:b w:val="0"/>
                <w:i w:val="0"/>
                <w:color w:val="111827"/>
                <w:sz w:val="18"/>
              </w:rPr>
              <w:t>以验证集和梯度尺度进一步调整。</w:t>
            </w:r>
          </w:p>
        </w:tc>
      </w:tr>
      <w:tr w14:paraId="492CCF5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shd w:val="clear" w:color="auto" w:fill="FAFBFC"/>
            <w:tcMar>
              <w:top w:w="80" w:type="dxa"/>
              <w:left w:w="120" w:type="dxa"/>
              <w:bottom w:w="80" w:type="dxa"/>
              <w:right w:w="120" w:type="dxa"/>
            </w:tcMar>
            <w:vAlign w:val="center"/>
          </w:tcPr>
          <w:p w14:paraId="55B03F55">
            <w:pPr>
              <w:spacing w:after="0" w:line="264" w:lineRule="auto"/>
              <w:jc w:val="center"/>
            </w:pPr>
            <w:r>
              <w:rPr>
                <w:rFonts w:ascii="Noto Sans SC Thin" w:hAnsi="Noto Sans SC Thin" w:eastAsia="Noto Sans SC Thin"/>
                <w:b w:val="0"/>
                <w:i w:val="0"/>
                <w:color w:val="111827"/>
                <w:sz w:val="18"/>
              </w:rPr>
              <w:t>Collapse/Anchor</w:t>
            </w:r>
          </w:p>
        </w:tc>
        <w:tc>
          <w:tcPr>
            <w:tcW w:w="2500" w:type="dxa"/>
            <w:shd w:val="clear" w:color="auto" w:fill="FAFBFC"/>
            <w:tcMar>
              <w:top w:w="80" w:type="dxa"/>
              <w:left w:w="120" w:type="dxa"/>
              <w:bottom w:w="80" w:type="dxa"/>
              <w:right w:w="120" w:type="dxa"/>
            </w:tcMar>
            <w:vAlign w:val="center"/>
          </w:tcPr>
          <w:p w14:paraId="6CBA5782">
            <w:pPr>
              <w:spacing w:after="0" w:line="264" w:lineRule="auto"/>
              <w:jc w:val="left"/>
            </w:pPr>
            <w:r>
              <w:rPr>
                <w:rFonts w:ascii="Noto Sans SC Thin" w:hAnsi="Noto Sans SC Thin" w:eastAsia="Noto Sans SC Thin"/>
                <w:b w:val="0"/>
                <w:i w:val="0"/>
                <w:color w:val="111827"/>
                <w:sz w:val="18"/>
              </w:rPr>
              <w:t>λcol=0.5, λanc=0.2</w:t>
            </w:r>
          </w:p>
        </w:tc>
        <w:tc>
          <w:tcPr>
            <w:tcW w:w="4660" w:type="dxa"/>
            <w:shd w:val="clear" w:color="auto" w:fill="FAFBFC"/>
            <w:tcMar>
              <w:top w:w="80" w:type="dxa"/>
              <w:left w:w="120" w:type="dxa"/>
              <w:bottom w:w="80" w:type="dxa"/>
              <w:right w:w="120" w:type="dxa"/>
            </w:tcMar>
            <w:vAlign w:val="center"/>
          </w:tcPr>
          <w:p w14:paraId="16FCFC09">
            <w:pPr>
              <w:spacing w:after="0" w:line="264" w:lineRule="auto"/>
              <w:jc w:val="center"/>
            </w:pPr>
            <w:r>
              <w:rPr>
                <w:rFonts w:ascii="Noto Sans SC Thin" w:hAnsi="Noto Sans SC Thin" w:eastAsia="Noto Sans SC Thin"/>
                <w:b w:val="0"/>
                <w:i w:val="0"/>
                <w:color w:val="111827"/>
                <w:sz w:val="18"/>
              </w:rPr>
              <w:t>兼顾单步部署和基础能力保持。</w:t>
            </w:r>
          </w:p>
        </w:tc>
      </w:tr>
      <w:tr w14:paraId="32BCC95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292C301">
            <w:pPr>
              <w:spacing w:after="0" w:line="264" w:lineRule="auto"/>
              <w:jc w:val="center"/>
            </w:pPr>
            <w:r>
              <w:rPr>
                <w:rFonts w:ascii="Noto Sans SC Thin" w:hAnsi="Noto Sans SC Thin" w:eastAsia="Noto Sans SC Thin"/>
                <w:b w:val="0"/>
                <w:i w:val="0"/>
                <w:color w:val="111827"/>
                <w:sz w:val="18"/>
              </w:rPr>
              <w:t>Learning rate</w:t>
            </w:r>
          </w:p>
        </w:tc>
        <w:tc>
          <w:tcPr>
            <w:tcW w:w="2500" w:type="dxa"/>
            <w:tcMar>
              <w:top w:w="80" w:type="dxa"/>
              <w:left w:w="120" w:type="dxa"/>
              <w:bottom w:w="80" w:type="dxa"/>
              <w:right w:w="120" w:type="dxa"/>
            </w:tcMar>
            <w:vAlign w:val="center"/>
          </w:tcPr>
          <w:p w14:paraId="5FA96E21">
            <w:pPr>
              <w:spacing w:after="0" w:line="264" w:lineRule="auto"/>
              <w:jc w:val="center"/>
            </w:pPr>
            <w:r>
              <w:rPr>
                <w:rFonts w:ascii="Noto Sans SC Thin" w:hAnsi="Noto Sans SC Thin" w:eastAsia="Noto Sans SC Thin"/>
                <w:b w:val="0"/>
                <w:i w:val="0"/>
                <w:color w:val="111827"/>
                <w:sz w:val="18"/>
              </w:rPr>
              <w:t>1e-5–5e-5</w:t>
            </w:r>
          </w:p>
        </w:tc>
        <w:tc>
          <w:tcPr>
            <w:tcW w:w="4660" w:type="dxa"/>
            <w:tcMar>
              <w:top w:w="80" w:type="dxa"/>
              <w:left w:w="120" w:type="dxa"/>
              <w:bottom w:w="80" w:type="dxa"/>
              <w:right w:w="120" w:type="dxa"/>
            </w:tcMar>
            <w:vAlign w:val="center"/>
          </w:tcPr>
          <w:p w14:paraId="63EE1BB6">
            <w:pPr>
              <w:spacing w:after="0" w:line="264" w:lineRule="auto"/>
              <w:jc w:val="left"/>
            </w:pPr>
            <w:r>
              <w:rPr>
                <w:rFonts w:ascii="Noto Sans SC Thin" w:hAnsi="Noto Sans SC Thin" w:eastAsia="Noto Sans SC Thin"/>
                <w:b w:val="0"/>
                <w:i w:val="0"/>
                <w:color w:val="111827"/>
                <w:sz w:val="18"/>
              </w:rPr>
              <w:t>OPD阶段采用低于基础训练的学习率。</w:t>
            </w:r>
          </w:p>
        </w:tc>
      </w:tr>
      <w:tr w14:paraId="1700054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200" w:type="dxa"/>
            <w:shd w:val="clear" w:color="auto" w:fill="FAFBFC"/>
            <w:tcMar>
              <w:top w:w="80" w:type="dxa"/>
              <w:left w:w="120" w:type="dxa"/>
              <w:bottom w:w="80" w:type="dxa"/>
              <w:right w:w="120" w:type="dxa"/>
            </w:tcMar>
            <w:vAlign w:val="center"/>
          </w:tcPr>
          <w:p w14:paraId="6219C710">
            <w:pPr>
              <w:spacing w:after="0" w:line="264" w:lineRule="auto"/>
              <w:jc w:val="center"/>
            </w:pPr>
            <w:r>
              <w:rPr>
                <w:rFonts w:ascii="Noto Sans SC Thin" w:hAnsi="Noto Sans SC Thin" w:eastAsia="Noto Sans SC Thin"/>
                <w:b w:val="0"/>
                <w:i w:val="0"/>
                <w:color w:val="111827"/>
                <w:sz w:val="18"/>
              </w:rPr>
              <w:t>Hard Buffer TTL</w:t>
            </w:r>
          </w:p>
        </w:tc>
        <w:tc>
          <w:tcPr>
            <w:tcW w:w="2500" w:type="dxa"/>
            <w:shd w:val="clear" w:color="auto" w:fill="FAFBFC"/>
            <w:tcMar>
              <w:top w:w="80" w:type="dxa"/>
              <w:left w:w="120" w:type="dxa"/>
              <w:bottom w:w="80" w:type="dxa"/>
              <w:right w:w="120" w:type="dxa"/>
            </w:tcMar>
            <w:vAlign w:val="center"/>
          </w:tcPr>
          <w:p w14:paraId="7115A937">
            <w:pPr>
              <w:spacing w:after="0" w:line="264" w:lineRule="auto"/>
              <w:jc w:val="center"/>
            </w:pPr>
            <w:r>
              <w:rPr>
                <w:rFonts w:ascii="Noto Sans SC Thin" w:hAnsi="Noto Sans SC Thin" w:eastAsia="Noto Sans SC Thin"/>
                <w:b w:val="0"/>
                <w:i w:val="0"/>
                <w:color w:val="111827"/>
                <w:sz w:val="18"/>
              </w:rPr>
              <w:t>1–2个周期</w:t>
            </w:r>
          </w:p>
        </w:tc>
        <w:tc>
          <w:tcPr>
            <w:tcW w:w="4660" w:type="dxa"/>
            <w:shd w:val="clear" w:color="auto" w:fill="FAFBFC"/>
            <w:tcMar>
              <w:top w:w="80" w:type="dxa"/>
              <w:left w:w="120" w:type="dxa"/>
              <w:bottom w:w="80" w:type="dxa"/>
              <w:right w:w="120" w:type="dxa"/>
            </w:tcMar>
            <w:vAlign w:val="center"/>
          </w:tcPr>
          <w:p w14:paraId="11D16C31">
            <w:pPr>
              <w:spacing w:after="0" w:line="264" w:lineRule="auto"/>
              <w:jc w:val="center"/>
            </w:pPr>
            <w:r>
              <w:rPr>
                <w:rFonts w:ascii="Noto Sans SC Thin" w:hAnsi="Noto Sans SC Thin" w:eastAsia="Noto Sans SC Thin"/>
                <w:b w:val="0"/>
                <w:i w:val="0"/>
                <w:color w:val="111827"/>
                <w:sz w:val="18"/>
              </w:rPr>
              <w:t>避免历史策略样本长期滞留。</w:t>
            </w:r>
          </w:p>
        </w:tc>
      </w:tr>
    </w:tbl>
    <w:p w14:paraId="7B4CF051">
      <w:pPr>
        <w:spacing w:after="20"/>
      </w:pPr>
    </w:p>
    <w:p w14:paraId="71F4AFE6">
      <w:pPr>
        <w:pStyle w:val="4"/>
      </w:pPr>
      <w:r>
        <w:t>6.3 计算效率方案</w:t>
      </w:r>
    </w:p>
    <w:p w14:paraId="570C9364">
      <w:pPr>
        <w:keepLines w:val="0"/>
        <w:spacing w:before="0" w:after="120" w:line="300" w:lineRule="auto"/>
        <w:jc w:val="both"/>
      </w:pPr>
      <w:r>
        <w:rPr>
          <w:rFonts w:ascii="Noto Sans SC Thin" w:hAnsi="Noto Sans SC Thin" w:eastAsia="Noto Sans SC Thin"/>
          <w:b w:val="0"/>
          <w:i w:val="0"/>
          <w:color w:val="111827"/>
          <w:sz w:val="22"/>
        </w:rPr>
        <w:t>严格在线OPD需要每个batch调用教师，代价较高。本项目采用“在线小比例+周期性近在线缓存”的混合方式：对高价值样本即时查询教师；对其余样本使用当前学生快照生成rollout，并在同一周期内完成训练。缓存只使用1–2个epoch，随后刷新，从而在成本与on-policy新鲜度之间取得平衡。</w:t>
      </w:r>
    </w:p>
    <w:p w14:paraId="1FDD784D">
      <w:pPr>
        <w:pStyle w:val="3"/>
      </w:pPr>
      <w:r>
        <w:t>7. 实验设计与评价体系</w:t>
      </w:r>
    </w:p>
    <w:p w14:paraId="032353E7">
      <w:pPr>
        <w:pStyle w:val="4"/>
      </w:pPr>
      <w:r>
        <w:t>7.1 数据集与测试任务</w:t>
      </w:r>
    </w:p>
    <w:p w14:paraId="3F506174">
      <w:pPr>
        <w:pStyle w:val="16"/>
        <w:spacing w:after="80" w:line="290" w:lineRule="auto"/>
        <w:ind w:left="540" w:hanging="279"/>
      </w:pPr>
      <w:r>
        <w:rPr>
          <w:rFonts w:ascii="Noto Sans SC Thin" w:hAnsi="Noto Sans SC Thin" w:eastAsia="Noto Sans SC Thin"/>
          <w:b w:val="0"/>
          <w:i w:val="0"/>
          <w:color w:val="111827"/>
          <w:sz w:val="22"/>
        </w:rPr>
        <w:t>ConVerSeg SAM-seeded与human-annotated：报告总体及五类概念的gIoU/cIoU。</w:t>
      </w:r>
    </w:p>
    <w:p w14:paraId="2AC3C346">
      <w:pPr>
        <w:pStyle w:val="16"/>
        <w:spacing w:after="80" w:line="290" w:lineRule="auto"/>
        <w:ind w:left="540" w:hanging="279"/>
      </w:pPr>
      <w:r>
        <w:rPr>
          <w:rFonts w:ascii="Noto Sans SC Thin" w:hAnsi="Noto Sans SC Thin" w:eastAsia="Noto Sans SC Thin"/>
          <w:b w:val="0"/>
          <w:i w:val="0"/>
          <w:color w:val="111827"/>
          <w:sz w:val="22"/>
        </w:rPr>
        <w:t>RefCOCO、RefCOCO+、RefCOCOg及ReasonSeg：检验基础指代分割和推理分割能力保持。</w:t>
      </w:r>
    </w:p>
    <w:p w14:paraId="2F82264D">
      <w:pPr>
        <w:pStyle w:val="16"/>
        <w:spacing w:after="80" w:line="290" w:lineRule="auto"/>
        <w:ind w:left="540" w:hanging="279"/>
      </w:pPr>
      <w:r>
        <w:rPr>
          <w:rFonts w:ascii="Noto Sans SC Thin" w:hAnsi="Noto Sans SC Thin" w:eastAsia="Noto Sans SC Thin"/>
          <w:b w:val="0"/>
          <w:i w:val="0"/>
          <w:color w:val="111827"/>
          <w:sz w:val="22"/>
        </w:rPr>
        <w:t>Hard Prompt Set：由语义保持改写、最小语义对、组合约束和物理反事实构成。</w:t>
      </w:r>
    </w:p>
    <w:p w14:paraId="409B33A4">
      <w:pPr>
        <w:pStyle w:val="16"/>
        <w:spacing w:after="80" w:line="290" w:lineRule="auto"/>
        <w:ind w:left="540" w:hanging="279"/>
      </w:pPr>
      <w:r>
        <w:rPr>
          <w:rFonts w:ascii="Noto Sans SC Thin" w:hAnsi="Noto Sans SC Thin" w:eastAsia="Noto Sans SC Thin"/>
          <w:b w:val="0"/>
          <w:i w:val="0"/>
          <w:color w:val="111827"/>
          <w:sz w:val="22"/>
        </w:rPr>
        <w:t>Mask Recovery Set：系统控制腐化类型和严重度，评价学生与教师纠错能力。</w:t>
      </w:r>
    </w:p>
    <w:p w14:paraId="4AEDB169">
      <w:pPr>
        <w:pStyle w:val="16"/>
        <w:spacing w:after="80" w:line="290" w:lineRule="auto"/>
        <w:ind w:left="540" w:hanging="279"/>
      </w:pPr>
      <w:r>
        <w:rPr>
          <w:rFonts w:ascii="Noto Sans SC Thin" w:hAnsi="Noto Sans SC Thin" w:eastAsia="Noto Sans SC Thin"/>
          <w:b w:val="0"/>
          <w:i w:val="0"/>
          <w:color w:val="111827"/>
          <w:sz w:val="22"/>
        </w:rPr>
        <w:t>Negative Prompt Set：覆盖不存在对象、错误属性、错误关系、错误功能和错误状态。</w:t>
      </w:r>
    </w:p>
    <w:p w14:paraId="51EFFC2B">
      <w:pPr>
        <w:pStyle w:val="4"/>
      </w:pPr>
      <w:r>
        <w:t>7.2 基线与主消融矩阵</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100"/>
        <w:gridCol w:w="2200"/>
        <w:gridCol w:w="2400"/>
        <w:gridCol w:w="2660"/>
      </w:tblGrid>
      <w:tr w14:paraId="0EBD8B3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2100" w:type="dxa"/>
            <w:shd w:val="clear" w:color="auto" w:fill="E8EEF5"/>
            <w:tcMar>
              <w:top w:w="80" w:type="dxa"/>
              <w:left w:w="120" w:type="dxa"/>
              <w:bottom w:w="80" w:type="dxa"/>
              <w:right w:w="120" w:type="dxa"/>
            </w:tcMar>
            <w:vAlign w:val="center"/>
          </w:tcPr>
          <w:p w14:paraId="7BC6102C">
            <w:pPr>
              <w:spacing w:after="0" w:line="259" w:lineRule="auto"/>
              <w:jc w:val="center"/>
            </w:pPr>
            <w:r>
              <w:rPr>
                <w:rFonts w:ascii="Noto Sans SC Thin" w:hAnsi="Noto Sans SC Thin" w:eastAsia="Noto Sans SC Thin"/>
                <w:b/>
                <w:i w:val="0"/>
                <w:color w:val="17365D"/>
                <w:sz w:val="17"/>
              </w:rPr>
              <w:t>方法</w:t>
            </w:r>
          </w:p>
        </w:tc>
        <w:tc>
          <w:tcPr>
            <w:tcW w:w="2200" w:type="dxa"/>
            <w:shd w:val="clear" w:color="auto" w:fill="E8EEF5"/>
            <w:tcMar>
              <w:top w:w="80" w:type="dxa"/>
              <w:left w:w="120" w:type="dxa"/>
              <w:bottom w:w="80" w:type="dxa"/>
              <w:right w:w="120" w:type="dxa"/>
            </w:tcMar>
            <w:vAlign w:val="center"/>
          </w:tcPr>
          <w:p w14:paraId="7EC5333E">
            <w:pPr>
              <w:spacing w:after="0" w:line="259" w:lineRule="auto"/>
              <w:jc w:val="center"/>
            </w:pPr>
            <w:r>
              <w:rPr>
                <w:rFonts w:ascii="Noto Sans SC Thin" w:hAnsi="Noto Sans SC Thin" w:eastAsia="Noto Sans SC Thin"/>
                <w:b/>
                <w:i w:val="0"/>
                <w:color w:val="17365D"/>
                <w:sz w:val="17"/>
              </w:rPr>
              <w:t>外层数据策略</w:t>
            </w:r>
          </w:p>
        </w:tc>
        <w:tc>
          <w:tcPr>
            <w:tcW w:w="2400" w:type="dxa"/>
            <w:shd w:val="clear" w:color="auto" w:fill="E8EEF5"/>
            <w:tcMar>
              <w:top w:w="80" w:type="dxa"/>
              <w:left w:w="120" w:type="dxa"/>
              <w:bottom w:w="80" w:type="dxa"/>
              <w:right w:w="120" w:type="dxa"/>
            </w:tcMar>
            <w:vAlign w:val="center"/>
          </w:tcPr>
          <w:p w14:paraId="33929D81">
            <w:pPr>
              <w:spacing w:after="0" w:line="259" w:lineRule="auto"/>
              <w:jc w:val="center"/>
            </w:pPr>
            <w:r>
              <w:rPr>
                <w:rFonts w:ascii="Noto Sans SC Thin" w:hAnsi="Noto Sans SC Thin" w:eastAsia="Noto Sans SC Thin"/>
                <w:b/>
                <w:i w:val="0"/>
                <w:color w:val="17365D"/>
                <w:sz w:val="17"/>
              </w:rPr>
              <w:t>内层掩码状态</w:t>
            </w:r>
          </w:p>
        </w:tc>
        <w:tc>
          <w:tcPr>
            <w:tcW w:w="2660" w:type="dxa"/>
            <w:shd w:val="clear" w:color="auto" w:fill="E8EEF5"/>
            <w:tcMar>
              <w:top w:w="80" w:type="dxa"/>
              <w:left w:w="120" w:type="dxa"/>
              <w:bottom w:w="80" w:type="dxa"/>
              <w:right w:w="120" w:type="dxa"/>
            </w:tcMar>
            <w:vAlign w:val="center"/>
          </w:tcPr>
          <w:p w14:paraId="1B15D9C0">
            <w:pPr>
              <w:spacing w:after="0" w:line="259" w:lineRule="auto"/>
              <w:jc w:val="center"/>
            </w:pPr>
            <w:r>
              <w:rPr>
                <w:rFonts w:ascii="Noto Sans SC Thin" w:hAnsi="Noto Sans SC Thin" w:eastAsia="Noto Sans SC Thin"/>
                <w:b/>
                <w:i w:val="0"/>
                <w:color w:val="17365D"/>
                <w:sz w:val="17"/>
              </w:rPr>
              <w:t>用途</w:t>
            </w:r>
          </w:p>
        </w:tc>
      </w:tr>
      <w:tr w14:paraId="1AEBC76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AFE6DFB">
            <w:pPr>
              <w:spacing w:after="0" w:line="264" w:lineRule="auto"/>
              <w:jc w:val="center"/>
            </w:pPr>
            <w:r>
              <w:rPr>
                <w:rFonts w:ascii="Noto Sans SC Thin" w:hAnsi="Noto Sans SC Thin" w:eastAsia="Noto Sans SC Thin"/>
                <w:b w:val="0"/>
                <w:i w:val="0"/>
                <w:color w:val="111827"/>
                <w:sz w:val="17"/>
              </w:rPr>
              <w:t>ConVerSeg</w:t>
            </w:r>
          </w:p>
        </w:tc>
        <w:tc>
          <w:tcPr>
            <w:tcW w:w="2200" w:type="dxa"/>
            <w:tcMar>
              <w:top w:w="80" w:type="dxa"/>
              <w:left w:w="120" w:type="dxa"/>
              <w:bottom w:w="80" w:type="dxa"/>
              <w:right w:w="120" w:type="dxa"/>
            </w:tcMar>
            <w:vAlign w:val="center"/>
          </w:tcPr>
          <w:p w14:paraId="19F732FF">
            <w:pPr>
              <w:spacing w:after="0" w:line="264" w:lineRule="auto"/>
              <w:jc w:val="center"/>
            </w:pPr>
            <w:r>
              <w:rPr>
                <w:rFonts w:ascii="Noto Sans SC Thin" w:hAnsi="Noto Sans SC Thin" w:eastAsia="Noto Sans SC Thin"/>
                <w:b w:val="0"/>
                <w:i w:val="0"/>
                <w:color w:val="111827"/>
                <w:sz w:val="17"/>
              </w:rPr>
              <w:t>固定</w:t>
            </w:r>
          </w:p>
        </w:tc>
        <w:tc>
          <w:tcPr>
            <w:tcW w:w="2400" w:type="dxa"/>
            <w:tcMar>
              <w:top w:w="80" w:type="dxa"/>
              <w:left w:w="120" w:type="dxa"/>
              <w:bottom w:w="80" w:type="dxa"/>
              <w:right w:w="120" w:type="dxa"/>
            </w:tcMar>
            <w:vAlign w:val="center"/>
          </w:tcPr>
          <w:p w14:paraId="21246EC2">
            <w:pPr>
              <w:spacing w:after="0" w:line="264" w:lineRule="auto"/>
              <w:jc w:val="center"/>
            </w:pPr>
            <w:r>
              <w:rPr>
                <w:rFonts w:ascii="Noto Sans SC Thin" w:hAnsi="Noto Sans SC Thin" w:eastAsia="Noto Sans SC Thin"/>
                <w:b w:val="0"/>
                <w:i w:val="0"/>
                <w:color w:val="111827"/>
                <w:sz w:val="17"/>
              </w:rPr>
              <w:t>无</w:t>
            </w:r>
          </w:p>
        </w:tc>
        <w:tc>
          <w:tcPr>
            <w:tcW w:w="2660" w:type="dxa"/>
            <w:tcMar>
              <w:top w:w="80" w:type="dxa"/>
              <w:left w:w="120" w:type="dxa"/>
              <w:bottom w:w="80" w:type="dxa"/>
              <w:right w:w="120" w:type="dxa"/>
            </w:tcMar>
            <w:vAlign w:val="center"/>
          </w:tcPr>
          <w:p w14:paraId="1FA2C9D8">
            <w:pPr>
              <w:spacing w:after="0" w:line="264" w:lineRule="auto"/>
              <w:jc w:val="center"/>
            </w:pPr>
            <w:r>
              <w:rPr>
                <w:rFonts w:ascii="Noto Sans SC Thin" w:hAnsi="Noto Sans SC Thin" w:eastAsia="Noto Sans SC Thin"/>
                <w:b w:val="0"/>
                <w:i w:val="0"/>
                <w:color w:val="111827"/>
                <w:sz w:val="17"/>
              </w:rPr>
              <w:t>原始基线</w:t>
            </w:r>
          </w:p>
        </w:tc>
      </w:tr>
      <w:tr w14:paraId="59D51CC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shd w:val="clear" w:color="auto" w:fill="FAFBFC"/>
            <w:tcMar>
              <w:top w:w="80" w:type="dxa"/>
              <w:left w:w="120" w:type="dxa"/>
              <w:bottom w:w="80" w:type="dxa"/>
              <w:right w:w="120" w:type="dxa"/>
            </w:tcMar>
            <w:vAlign w:val="center"/>
          </w:tcPr>
          <w:p w14:paraId="77546FC3">
            <w:pPr>
              <w:spacing w:after="0" w:line="264" w:lineRule="auto"/>
              <w:jc w:val="center"/>
            </w:pPr>
            <w:r>
              <w:rPr>
                <w:rFonts w:ascii="Noto Sans SC Thin" w:hAnsi="Noto Sans SC Thin" w:eastAsia="Noto Sans SC Thin"/>
                <w:b w:val="0"/>
                <w:i w:val="0"/>
                <w:color w:val="111827"/>
                <w:sz w:val="17"/>
              </w:rPr>
              <w:t>Random-Augment</w:t>
            </w:r>
          </w:p>
        </w:tc>
        <w:tc>
          <w:tcPr>
            <w:tcW w:w="2200" w:type="dxa"/>
            <w:shd w:val="clear" w:color="auto" w:fill="FAFBFC"/>
            <w:tcMar>
              <w:top w:w="80" w:type="dxa"/>
              <w:left w:w="120" w:type="dxa"/>
              <w:bottom w:w="80" w:type="dxa"/>
              <w:right w:w="120" w:type="dxa"/>
            </w:tcMar>
            <w:vAlign w:val="center"/>
          </w:tcPr>
          <w:p w14:paraId="146F808B">
            <w:pPr>
              <w:spacing w:after="0" w:line="264" w:lineRule="auto"/>
              <w:jc w:val="center"/>
            </w:pPr>
            <w:r>
              <w:rPr>
                <w:rFonts w:ascii="Noto Sans SC Thin" w:hAnsi="Noto Sans SC Thin" w:eastAsia="Noto Sans SC Thin"/>
                <w:b w:val="0"/>
                <w:i w:val="0"/>
                <w:color w:val="111827"/>
                <w:sz w:val="17"/>
              </w:rPr>
              <w:t>随机生成</w:t>
            </w:r>
          </w:p>
        </w:tc>
        <w:tc>
          <w:tcPr>
            <w:tcW w:w="2400" w:type="dxa"/>
            <w:shd w:val="clear" w:color="auto" w:fill="FAFBFC"/>
            <w:tcMar>
              <w:top w:w="80" w:type="dxa"/>
              <w:left w:w="120" w:type="dxa"/>
              <w:bottom w:w="80" w:type="dxa"/>
              <w:right w:w="120" w:type="dxa"/>
            </w:tcMar>
            <w:vAlign w:val="center"/>
          </w:tcPr>
          <w:p w14:paraId="4FCEDA28">
            <w:pPr>
              <w:spacing w:after="0" w:line="264" w:lineRule="auto"/>
              <w:jc w:val="center"/>
            </w:pPr>
            <w:r>
              <w:rPr>
                <w:rFonts w:ascii="Noto Sans SC Thin" w:hAnsi="Noto Sans SC Thin" w:eastAsia="Noto Sans SC Thin"/>
                <w:b w:val="0"/>
                <w:i w:val="0"/>
                <w:color w:val="111827"/>
                <w:sz w:val="17"/>
              </w:rPr>
              <w:t>无</w:t>
            </w:r>
          </w:p>
        </w:tc>
        <w:tc>
          <w:tcPr>
            <w:tcW w:w="2660" w:type="dxa"/>
            <w:shd w:val="clear" w:color="auto" w:fill="FAFBFC"/>
            <w:tcMar>
              <w:top w:w="80" w:type="dxa"/>
              <w:left w:w="120" w:type="dxa"/>
              <w:bottom w:w="80" w:type="dxa"/>
              <w:right w:w="120" w:type="dxa"/>
            </w:tcMar>
            <w:vAlign w:val="center"/>
          </w:tcPr>
          <w:p w14:paraId="225C5DB8">
            <w:pPr>
              <w:spacing w:after="0" w:line="264" w:lineRule="auto"/>
              <w:jc w:val="center"/>
            </w:pPr>
            <w:r>
              <w:rPr>
                <w:rFonts w:ascii="Noto Sans SC Thin" w:hAnsi="Noto Sans SC Thin" w:eastAsia="Noto Sans SC Thin"/>
                <w:b w:val="0"/>
                <w:i w:val="0"/>
                <w:color w:val="111827"/>
                <w:sz w:val="17"/>
              </w:rPr>
              <w:t>控制新增数据量</w:t>
            </w:r>
          </w:p>
        </w:tc>
      </w:tr>
      <w:tr w14:paraId="6BB1C01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63CD397">
            <w:pPr>
              <w:spacing w:after="0" w:line="264" w:lineRule="auto"/>
              <w:jc w:val="center"/>
            </w:pPr>
            <w:r>
              <w:rPr>
                <w:rFonts w:ascii="Noto Sans SC Thin" w:hAnsi="Noto Sans SC Thin" w:eastAsia="Noto Sans SC Thin"/>
                <w:b w:val="0"/>
                <w:i w:val="0"/>
                <w:color w:val="111827"/>
                <w:sz w:val="17"/>
              </w:rPr>
              <w:t>Error-Data</w:t>
            </w:r>
          </w:p>
        </w:tc>
        <w:tc>
          <w:tcPr>
            <w:tcW w:w="2200" w:type="dxa"/>
            <w:tcMar>
              <w:top w:w="80" w:type="dxa"/>
              <w:left w:w="120" w:type="dxa"/>
              <w:bottom w:w="80" w:type="dxa"/>
              <w:right w:w="120" w:type="dxa"/>
            </w:tcMar>
            <w:vAlign w:val="center"/>
          </w:tcPr>
          <w:p w14:paraId="3D9DEBBB">
            <w:pPr>
              <w:spacing w:after="0" w:line="264" w:lineRule="auto"/>
              <w:jc w:val="center"/>
            </w:pPr>
            <w:r>
              <w:rPr>
                <w:rFonts w:ascii="Noto Sans SC Thin" w:hAnsi="Noto Sans SC Thin" w:eastAsia="Noto Sans SC Thin"/>
                <w:b w:val="0"/>
                <w:i w:val="0"/>
                <w:color w:val="111827"/>
                <w:sz w:val="17"/>
              </w:rPr>
              <w:t>错误驱动</w:t>
            </w:r>
          </w:p>
        </w:tc>
        <w:tc>
          <w:tcPr>
            <w:tcW w:w="2400" w:type="dxa"/>
            <w:tcMar>
              <w:top w:w="80" w:type="dxa"/>
              <w:left w:w="120" w:type="dxa"/>
              <w:bottom w:w="80" w:type="dxa"/>
              <w:right w:w="120" w:type="dxa"/>
            </w:tcMar>
            <w:vAlign w:val="center"/>
          </w:tcPr>
          <w:p w14:paraId="57BEB167">
            <w:pPr>
              <w:spacing w:after="0" w:line="264" w:lineRule="auto"/>
              <w:jc w:val="center"/>
            </w:pPr>
            <w:r>
              <w:rPr>
                <w:rFonts w:ascii="Noto Sans SC Thin" w:hAnsi="Noto Sans SC Thin" w:eastAsia="Noto Sans SC Thin"/>
                <w:b w:val="0"/>
                <w:i w:val="0"/>
                <w:color w:val="111827"/>
                <w:sz w:val="17"/>
              </w:rPr>
              <w:t>无</w:t>
            </w:r>
          </w:p>
        </w:tc>
        <w:tc>
          <w:tcPr>
            <w:tcW w:w="2660" w:type="dxa"/>
            <w:tcMar>
              <w:top w:w="80" w:type="dxa"/>
              <w:left w:w="120" w:type="dxa"/>
              <w:bottom w:w="80" w:type="dxa"/>
              <w:right w:w="120" w:type="dxa"/>
            </w:tcMar>
            <w:vAlign w:val="center"/>
          </w:tcPr>
          <w:p w14:paraId="3D6A66B1">
            <w:pPr>
              <w:spacing w:after="0" w:line="264" w:lineRule="auto"/>
              <w:jc w:val="center"/>
            </w:pPr>
            <w:r>
              <w:rPr>
                <w:rFonts w:ascii="Noto Sans SC Thin" w:hAnsi="Noto Sans SC Thin" w:eastAsia="Noto Sans SC Thin"/>
                <w:b w:val="0"/>
                <w:i w:val="0"/>
                <w:color w:val="111827"/>
                <w:sz w:val="17"/>
              </w:rPr>
              <w:t>验证外层贡献</w:t>
            </w:r>
          </w:p>
        </w:tc>
      </w:tr>
      <w:tr w14:paraId="466C228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shd w:val="clear" w:color="auto" w:fill="FAFBFC"/>
            <w:tcMar>
              <w:top w:w="80" w:type="dxa"/>
              <w:left w:w="120" w:type="dxa"/>
              <w:bottom w:w="80" w:type="dxa"/>
              <w:right w:w="120" w:type="dxa"/>
            </w:tcMar>
            <w:vAlign w:val="center"/>
          </w:tcPr>
          <w:p w14:paraId="045099AE">
            <w:pPr>
              <w:spacing w:after="0" w:line="264" w:lineRule="auto"/>
              <w:jc w:val="center"/>
            </w:pPr>
            <w:r>
              <w:rPr>
                <w:rFonts w:ascii="Noto Sans SC Thin" w:hAnsi="Noto Sans SC Thin" w:eastAsia="Noto Sans SC Thin"/>
                <w:b w:val="0"/>
                <w:i w:val="0"/>
                <w:color w:val="111827"/>
                <w:sz w:val="17"/>
              </w:rPr>
              <w:t>Off-policy KD</w:t>
            </w:r>
          </w:p>
        </w:tc>
        <w:tc>
          <w:tcPr>
            <w:tcW w:w="2200" w:type="dxa"/>
            <w:shd w:val="clear" w:color="auto" w:fill="FAFBFC"/>
            <w:tcMar>
              <w:top w:w="80" w:type="dxa"/>
              <w:left w:w="120" w:type="dxa"/>
              <w:bottom w:w="80" w:type="dxa"/>
              <w:right w:w="120" w:type="dxa"/>
            </w:tcMar>
            <w:vAlign w:val="center"/>
          </w:tcPr>
          <w:p w14:paraId="7B947113">
            <w:pPr>
              <w:spacing w:after="0" w:line="264" w:lineRule="auto"/>
              <w:jc w:val="center"/>
            </w:pPr>
            <w:r>
              <w:rPr>
                <w:rFonts w:ascii="Noto Sans SC Thin" w:hAnsi="Noto Sans SC Thin" w:eastAsia="Noto Sans SC Thin"/>
                <w:b w:val="0"/>
                <w:i w:val="0"/>
                <w:color w:val="111827"/>
                <w:sz w:val="17"/>
              </w:rPr>
              <w:t>固定</w:t>
            </w:r>
          </w:p>
        </w:tc>
        <w:tc>
          <w:tcPr>
            <w:tcW w:w="2400" w:type="dxa"/>
            <w:shd w:val="clear" w:color="auto" w:fill="FAFBFC"/>
            <w:tcMar>
              <w:top w:w="80" w:type="dxa"/>
              <w:left w:w="120" w:type="dxa"/>
              <w:bottom w:w="80" w:type="dxa"/>
              <w:right w:w="120" w:type="dxa"/>
            </w:tcMar>
            <w:vAlign w:val="center"/>
          </w:tcPr>
          <w:p w14:paraId="7F417E35">
            <w:pPr>
              <w:spacing w:after="0" w:line="264" w:lineRule="auto"/>
              <w:jc w:val="center"/>
            </w:pPr>
            <w:r>
              <w:rPr>
                <w:rFonts w:ascii="Noto Sans SC Thin" w:hAnsi="Noto Sans SC Thin" w:eastAsia="Noto Sans SC Thin"/>
                <w:b w:val="0"/>
                <w:i w:val="0"/>
                <w:color w:val="111827"/>
                <w:sz w:val="17"/>
              </w:rPr>
              <w:t>固定教师输出</w:t>
            </w:r>
          </w:p>
        </w:tc>
        <w:tc>
          <w:tcPr>
            <w:tcW w:w="2660" w:type="dxa"/>
            <w:shd w:val="clear" w:color="auto" w:fill="FAFBFC"/>
            <w:tcMar>
              <w:top w:w="80" w:type="dxa"/>
              <w:left w:w="120" w:type="dxa"/>
              <w:bottom w:w="80" w:type="dxa"/>
              <w:right w:w="120" w:type="dxa"/>
            </w:tcMar>
            <w:vAlign w:val="center"/>
          </w:tcPr>
          <w:p w14:paraId="4ACCF3AF">
            <w:pPr>
              <w:spacing w:after="0" w:line="264" w:lineRule="auto"/>
              <w:jc w:val="center"/>
            </w:pPr>
            <w:r>
              <w:rPr>
                <w:rFonts w:ascii="Noto Sans SC Thin" w:hAnsi="Noto Sans SC Thin" w:eastAsia="Noto Sans SC Thin"/>
                <w:b w:val="0"/>
                <w:i w:val="0"/>
                <w:color w:val="111827"/>
                <w:sz w:val="17"/>
              </w:rPr>
              <w:t>标准蒸馏基线</w:t>
            </w:r>
          </w:p>
        </w:tc>
      </w:tr>
      <w:tr w14:paraId="297C49E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D418453">
            <w:pPr>
              <w:spacing w:after="0" w:line="264" w:lineRule="auto"/>
              <w:jc w:val="center"/>
            </w:pPr>
            <w:r>
              <w:rPr>
                <w:rFonts w:ascii="Noto Sans SC Thin" w:hAnsi="Noto Sans SC Thin" w:eastAsia="Noto Sans SC Thin"/>
                <w:b w:val="0"/>
                <w:i w:val="0"/>
                <w:color w:val="111827"/>
                <w:sz w:val="17"/>
              </w:rPr>
              <w:t>Random-State KD</w:t>
            </w:r>
          </w:p>
        </w:tc>
        <w:tc>
          <w:tcPr>
            <w:tcW w:w="2200" w:type="dxa"/>
            <w:tcMar>
              <w:top w:w="80" w:type="dxa"/>
              <w:left w:w="120" w:type="dxa"/>
              <w:bottom w:w="80" w:type="dxa"/>
              <w:right w:w="120" w:type="dxa"/>
            </w:tcMar>
            <w:vAlign w:val="center"/>
          </w:tcPr>
          <w:p w14:paraId="3CE1FD0C">
            <w:pPr>
              <w:spacing w:after="0" w:line="264" w:lineRule="auto"/>
              <w:jc w:val="center"/>
            </w:pPr>
            <w:r>
              <w:rPr>
                <w:rFonts w:ascii="Noto Sans SC Thin" w:hAnsi="Noto Sans SC Thin" w:eastAsia="Noto Sans SC Thin"/>
                <w:b w:val="0"/>
                <w:i w:val="0"/>
                <w:color w:val="111827"/>
                <w:sz w:val="17"/>
              </w:rPr>
              <w:t>固定</w:t>
            </w:r>
          </w:p>
        </w:tc>
        <w:tc>
          <w:tcPr>
            <w:tcW w:w="2400" w:type="dxa"/>
            <w:tcMar>
              <w:top w:w="80" w:type="dxa"/>
              <w:left w:w="120" w:type="dxa"/>
              <w:bottom w:w="80" w:type="dxa"/>
              <w:right w:w="120" w:type="dxa"/>
            </w:tcMar>
            <w:vAlign w:val="center"/>
          </w:tcPr>
          <w:p w14:paraId="0A4C3754">
            <w:pPr>
              <w:spacing w:after="0" w:line="264" w:lineRule="auto"/>
              <w:jc w:val="center"/>
            </w:pPr>
            <w:r>
              <w:rPr>
                <w:rFonts w:ascii="Noto Sans SC Thin" w:hAnsi="Noto Sans SC Thin" w:eastAsia="Noto Sans SC Thin"/>
                <w:b w:val="0"/>
                <w:i w:val="0"/>
                <w:color w:val="111827"/>
                <w:sz w:val="17"/>
              </w:rPr>
              <w:t>随机腐化状态</w:t>
            </w:r>
          </w:p>
        </w:tc>
        <w:tc>
          <w:tcPr>
            <w:tcW w:w="2660" w:type="dxa"/>
            <w:tcMar>
              <w:top w:w="80" w:type="dxa"/>
              <w:left w:w="120" w:type="dxa"/>
              <w:bottom w:w="80" w:type="dxa"/>
              <w:right w:w="120" w:type="dxa"/>
            </w:tcMar>
            <w:vAlign w:val="center"/>
          </w:tcPr>
          <w:p w14:paraId="1861F4AD">
            <w:pPr>
              <w:spacing w:after="0" w:line="264" w:lineRule="auto"/>
              <w:jc w:val="center"/>
            </w:pPr>
            <w:r>
              <w:rPr>
                <w:rFonts w:ascii="Noto Sans SC Thin" w:hAnsi="Noto Sans SC Thin" w:eastAsia="Noto Sans SC Thin"/>
                <w:b w:val="0"/>
                <w:i w:val="0"/>
                <w:color w:val="111827"/>
                <w:sz w:val="17"/>
              </w:rPr>
              <w:t>控制状态增强作用</w:t>
            </w:r>
          </w:p>
        </w:tc>
      </w:tr>
      <w:tr w14:paraId="237F26C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shd w:val="clear" w:color="auto" w:fill="FAFBFC"/>
            <w:tcMar>
              <w:top w:w="80" w:type="dxa"/>
              <w:left w:w="120" w:type="dxa"/>
              <w:bottom w:w="80" w:type="dxa"/>
              <w:right w:w="120" w:type="dxa"/>
            </w:tcMar>
            <w:vAlign w:val="center"/>
          </w:tcPr>
          <w:p w14:paraId="1BFEAF66">
            <w:pPr>
              <w:spacing w:after="0" w:line="264" w:lineRule="auto"/>
              <w:jc w:val="left"/>
            </w:pPr>
            <w:r>
              <w:rPr>
                <w:rFonts w:ascii="Noto Sans SC Thin" w:hAnsi="Noto Sans SC Thin" w:eastAsia="Noto Sans SC Thin"/>
                <w:b w:val="0"/>
                <w:i w:val="0"/>
                <w:color w:val="111827"/>
                <w:sz w:val="17"/>
              </w:rPr>
              <w:t>Historical-State KD</w:t>
            </w:r>
          </w:p>
        </w:tc>
        <w:tc>
          <w:tcPr>
            <w:tcW w:w="2200" w:type="dxa"/>
            <w:shd w:val="clear" w:color="auto" w:fill="FAFBFC"/>
            <w:tcMar>
              <w:top w:w="80" w:type="dxa"/>
              <w:left w:w="120" w:type="dxa"/>
              <w:bottom w:w="80" w:type="dxa"/>
              <w:right w:w="120" w:type="dxa"/>
            </w:tcMar>
            <w:vAlign w:val="center"/>
          </w:tcPr>
          <w:p w14:paraId="1804F7AB">
            <w:pPr>
              <w:spacing w:after="0" w:line="264" w:lineRule="auto"/>
              <w:jc w:val="center"/>
            </w:pPr>
            <w:r>
              <w:rPr>
                <w:rFonts w:ascii="Noto Sans SC Thin" w:hAnsi="Noto Sans SC Thin" w:eastAsia="Noto Sans SC Thin"/>
                <w:b w:val="0"/>
                <w:i w:val="0"/>
                <w:color w:val="111827"/>
                <w:sz w:val="17"/>
              </w:rPr>
              <w:t>固定</w:t>
            </w:r>
          </w:p>
        </w:tc>
        <w:tc>
          <w:tcPr>
            <w:tcW w:w="2400" w:type="dxa"/>
            <w:shd w:val="clear" w:color="auto" w:fill="FAFBFC"/>
            <w:tcMar>
              <w:top w:w="80" w:type="dxa"/>
              <w:left w:w="120" w:type="dxa"/>
              <w:bottom w:w="80" w:type="dxa"/>
              <w:right w:w="120" w:type="dxa"/>
            </w:tcMar>
            <w:vAlign w:val="center"/>
          </w:tcPr>
          <w:p w14:paraId="0B74351E">
            <w:pPr>
              <w:spacing w:after="0" w:line="264" w:lineRule="auto"/>
              <w:jc w:val="center"/>
            </w:pPr>
            <w:r>
              <w:rPr>
                <w:rFonts w:ascii="Noto Sans SC Thin" w:hAnsi="Noto Sans SC Thin" w:eastAsia="Noto Sans SC Thin"/>
                <w:b w:val="0"/>
                <w:i w:val="0"/>
                <w:color w:val="111827"/>
                <w:sz w:val="17"/>
              </w:rPr>
              <w:t>历史学生状态</w:t>
            </w:r>
          </w:p>
        </w:tc>
        <w:tc>
          <w:tcPr>
            <w:tcW w:w="2660" w:type="dxa"/>
            <w:shd w:val="clear" w:color="auto" w:fill="FAFBFC"/>
            <w:tcMar>
              <w:top w:w="80" w:type="dxa"/>
              <w:left w:w="120" w:type="dxa"/>
              <w:bottom w:w="80" w:type="dxa"/>
              <w:right w:w="120" w:type="dxa"/>
            </w:tcMar>
            <w:vAlign w:val="center"/>
          </w:tcPr>
          <w:p w14:paraId="3FAE9E94">
            <w:pPr>
              <w:spacing w:after="0" w:line="264" w:lineRule="auto"/>
              <w:jc w:val="center"/>
            </w:pPr>
            <w:r>
              <w:rPr>
                <w:rFonts w:ascii="Noto Sans SC Thin" w:hAnsi="Noto Sans SC Thin" w:eastAsia="Noto Sans SC Thin"/>
                <w:b w:val="0"/>
                <w:i w:val="0"/>
                <w:color w:val="111827"/>
                <w:sz w:val="17"/>
              </w:rPr>
              <w:t>验证状态陈旧影响</w:t>
            </w:r>
          </w:p>
        </w:tc>
      </w:tr>
      <w:tr w14:paraId="6D93CCC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D3F0CFE">
            <w:pPr>
              <w:spacing w:after="0" w:line="264" w:lineRule="auto"/>
              <w:jc w:val="center"/>
            </w:pPr>
            <w:r>
              <w:rPr>
                <w:rFonts w:ascii="Noto Sans SC Thin" w:hAnsi="Noto Sans SC Thin" w:eastAsia="Noto Sans SC Thin"/>
                <w:b w:val="0"/>
                <w:i w:val="0"/>
                <w:color w:val="111827"/>
                <w:sz w:val="17"/>
              </w:rPr>
              <w:t>Mask-OPD</w:t>
            </w:r>
          </w:p>
        </w:tc>
        <w:tc>
          <w:tcPr>
            <w:tcW w:w="2200" w:type="dxa"/>
            <w:tcMar>
              <w:top w:w="80" w:type="dxa"/>
              <w:left w:w="120" w:type="dxa"/>
              <w:bottom w:w="80" w:type="dxa"/>
              <w:right w:w="120" w:type="dxa"/>
            </w:tcMar>
            <w:vAlign w:val="center"/>
          </w:tcPr>
          <w:p w14:paraId="1329B345">
            <w:pPr>
              <w:spacing w:after="0" w:line="264" w:lineRule="auto"/>
              <w:jc w:val="center"/>
            </w:pPr>
            <w:r>
              <w:rPr>
                <w:rFonts w:ascii="Noto Sans SC Thin" w:hAnsi="Noto Sans SC Thin" w:eastAsia="Noto Sans SC Thin"/>
                <w:b w:val="0"/>
                <w:i w:val="0"/>
                <w:color w:val="111827"/>
                <w:sz w:val="17"/>
              </w:rPr>
              <w:t>固定</w:t>
            </w:r>
          </w:p>
        </w:tc>
        <w:tc>
          <w:tcPr>
            <w:tcW w:w="2400" w:type="dxa"/>
            <w:tcMar>
              <w:top w:w="80" w:type="dxa"/>
              <w:left w:w="120" w:type="dxa"/>
              <w:bottom w:w="80" w:type="dxa"/>
              <w:right w:w="120" w:type="dxa"/>
            </w:tcMar>
            <w:vAlign w:val="center"/>
          </w:tcPr>
          <w:p w14:paraId="07258583">
            <w:pPr>
              <w:spacing w:after="0" w:line="264" w:lineRule="auto"/>
              <w:jc w:val="center"/>
            </w:pPr>
            <w:r>
              <w:rPr>
                <w:rFonts w:ascii="Noto Sans SC Thin" w:hAnsi="Noto Sans SC Thin" w:eastAsia="Noto Sans SC Thin"/>
                <w:b w:val="0"/>
                <w:i w:val="0"/>
                <w:color w:val="111827"/>
                <w:sz w:val="17"/>
              </w:rPr>
              <w:t>当前学生状态</w:t>
            </w:r>
          </w:p>
        </w:tc>
        <w:tc>
          <w:tcPr>
            <w:tcW w:w="2660" w:type="dxa"/>
            <w:tcMar>
              <w:top w:w="80" w:type="dxa"/>
              <w:left w:w="120" w:type="dxa"/>
              <w:bottom w:w="80" w:type="dxa"/>
              <w:right w:w="120" w:type="dxa"/>
            </w:tcMar>
            <w:vAlign w:val="center"/>
          </w:tcPr>
          <w:p w14:paraId="6436BFA1">
            <w:pPr>
              <w:spacing w:after="0" w:line="264" w:lineRule="auto"/>
              <w:jc w:val="center"/>
            </w:pPr>
            <w:r>
              <w:rPr>
                <w:rFonts w:ascii="Noto Sans SC Thin" w:hAnsi="Noto Sans SC Thin" w:eastAsia="Noto Sans SC Thin"/>
                <w:b w:val="0"/>
                <w:i w:val="0"/>
                <w:color w:val="111827"/>
                <w:sz w:val="17"/>
              </w:rPr>
              <w:t>验证内层贡献</w:t>
            </w:r>
          </w:p>
        </w:tc>
      </w:tr>
      <w:tr w14:paraId="54862348">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2100" w:type="dxa"/>
            <w:shd w:val="clear" w:color="auto" w:fill="FAFBFC"/>
            <w:tcMar>
              <w:top w:w="80" w:type="dxa"/>
              <w:left w:w="120" w:type="dxa"/>
              <w:bottom w:w="80" w:type="dxa"/>
              <w:right w:w="120" w:type="dxa"/>
            </w:tcMar>
            <w:vAlign w:val="center"/>
          </w:tcPr>
          <w:p w14:paraId="59256064">
            <w:pPr>
              <w:spacing w:after="0" w:line="264" w:lineRule="auto"/>
              <w:jc w:val="center"/>
            </w:pPr>
            <w:r>
              <w:rPr>
                <w:rFonts w:ascii="Noto Sans SC Thin" w:hAnsi="Noto Sans SC Thin" w:eastAsia="Noto Sans SC Thin"/>
                <w:b w:val="0"/>
                <w:i w:val="0"/>
                <w:color w:val="111827"/>
                <w:sz w:val="17"/>
              </w:rPr>
              <w:t>DL-OPD</w:t>
            </w:r>
          </w:p>
        </w:tc>
        <w:tc>
          <w:tcPr>
            <w:tcW w:w="2200" w:type="dxa"/>
            <w:shd w:val="clear" w:color="auto" w:fill="FAFBFC"/>
            <w:tcMar>
              <w:top w:w="80" w:type="dxa"/>
              <w:left w:w="120" w:type="dxa"/>
              <w:bottom w:w="80" w:type="dxa"/>
              <w:right w:w="120" w:type="dxa"/>
            </w:tcMar>
            <w:vAlign w:val="center"/>
          </w:tcPr>
          <w:p w14:paraId="70CD7D07">
            <w:pPr>
              <w:spacing w:after="0" w:line="264" w:lineRule="auto"/>
              <w:jc w:val="center"/>
            </w:pPr>
            <w:r>
              <w:rPr>
                <w:rFonts w:ascii="Noto Sans SC Thin" w:hAnsi="Noto Sans SC Thin" w:eastAsia="Noto Sans SC Thin"/>
                <w:b w:val="0"/>
                <w:i w:val="0"/>
                <w:color w:val="111827"/>
                <w:sz w:val="17"/>
              </w:rPr>
              <w:t>错误驱动</w:t>
            </w:r>
          </w:p>
        </w:tc>
        <w:tc>
          <w:tcPr>
            <w:tcW w:w="2400" w:type="dxa"/>
            <w:shd w:val="clear" w:color="auto" w:fill="FAFBFC"/>
            <w:tcMar>
              <w:top w:w="80" w:type="dxa"/>
              <w:left w:w="120" w:type="dxa"/>
              <w:bottom w:w="80" w:type="dxa"/>
              <w:right w:w="120" w:type="dxa"/>
            </w:tcMar>
            <w:vAlign w:val="center"/>
          </w:tcPr>
          <w:p w14:paraId="492BFCE8">
            <w:pPr>
              <w:spacing w:after="0" w:line="264" w:lineRule="auto"/>
              <w:jc w:val="center"/>
            </w:pPr>
            <w:r>
              <w:rPr>
                <w:rFonts w:ascii="Noto Sans SC Thin" w:hAnsi="Noto Sans SC Thin" w:eastAsia="Noto Sans SC Thin"/>
                <w:b w:val="0"/>
                <w:i w:val="0"/>
                <w:color w:val="111827"/>
                <w:sz w:val="17"/>
              </w:rPr>
              <w:t>当前学生状态</w:t>
            </w:r>
          </w:p>
        </w:tc>
        <w:tc>
          <w:tcPr>
            <w:tcW w:w="2660" w:type="dxa"/>
            <w:shd w:val="clear" w:color="auto" w:fill="FAFBFC"/>
            <w:tcMar>
              <w:top w:w="80" w:type="dxa"/>
              <w:left w:w="120" w:type="dxa"/>
              <w:bottom w:w="80" w:type="dxa"/>
              <w:right w:w="120" w:type="dxa"/>
            </w:tcMar>
            <w:vAlign w:val="center"/>
          </w:tcPr>
          <w:p w14:paraId="60E648E3">
            <w:pPr>
              <w:spacing w:after="0" w:line="264" w:lineRule="auto"/>
              <w:jc w:val="center"/>
            </w:pPr>
            <w:r>
              <w:rPr>
                <w:rFonts w:ascii="Noto Sans SC Thin" w:hAnsi="Noto Sans SC Thin" w:eastAsia="Noto Sans SC Thin"/>
                <w:b w:val="0"/>
                <w:i w:val="0"/>
                <w:color w:val="111827"/>
                <w:sz w:val="17"/>
              </w:rPr>
              <w:t>完整方法</w:t>
            </w:r>
          </w:p>
        </w:tc>
      </w:tr>
    </w:tbl>
    <w:p w14:paraId="46753ACB">
      <w:pPr>
        <w:spacing w:after="20"/>
      </w:pPr>
    </w:p>
    <w:p w14:paraId="43B077CD">
      <w:pPr>
        <w:pStyle w:val="4"/>
      </w:pPr>
      <w:r>
        <w:t>7.3 指标体系</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700"/>
        <w:gridCol w:w="3100"/>
        <w:gridCol w:w="4560"/>
      </w:tblGrid>
      <w:tr w14:paraId="49DF6D8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373C6ED8">
            <w:pPr>
              <w:spacing w:after="0" w:line="259" w:lineRule="auto"/>
              <w:jc w:val="center"/>
            </w:pPr>
            <w:r>
              <w:rPr>
                <w:rFonts w:ascii="Noto Sans SC Thin" w:hAnsi="Noto Sans SC Thin" w:eastAsia="Noto Sans SC Thin"/>
                <w:b/>
                <w:i w:val="0"/>
                <w:color w:val="17365D"/>
                <w:sz w:val="17"/>
              </w:rPr>
              <w:t>维度</w:t>
            </w:r>
          </w:p>
        </w:tc>
        <w:tc>
          <w:tcPr>
            <w:tcW w:w="3100" w:type="dxa"/>
            <w:shd w:val="clear" w:color="auto" w:fill="E8EEF5"/>
            <w:tcMar>
              <w:top w:w="80" w:type="dxa"/>
              <w:left w:w="120" w:type="dxa"/>
              <w:bottom w:w="80" w:type="dxa"/>
              <w:right w:w="120" w:type="dxa"/>
            </w:tcMar>
            <w:vAlign w:val="center"/>
          </w:tcPr>
          <w:p w14:paraId="740EF076">
            <w:pPr>
              <w:spacing w:after="0" w:line="259" w:lineRule="auto"/>
              <w:jc w:val="center"/>
            </w:pPr>
            <w:r>
              <w:rPr>
                <w:rFonts w:ascii="Noto Sans SC Thin" w:hAnsi="Noto Sans SC Thin" w:eastAsia="Noto Sans SC Thin"/>
                <w:b/>
                <w:i w:val="0"/>
                <w:color w:val="17365D"/>
                <w:sz w:val="17"/>
              </w:rPr>
              <w:t>指标</w:t>
            </w:r>
          </w:p>
        </w:tc>
        <w:tc>
          <w:tcPr>
            <w:tcW w:w="4560" w:type="dxa"/>
            <w:shd w:val="clear" w:color="auto" w:fill="E8EEF5"/>
            <w:tcMar>
              <w:top w:w="80" w:type="dxa"/>
              <w:left w:w="120" w:type="dxa"/>
              <w:bottom w:w="80" w:type="dxa"/>
              <w:right w:w="120" w:type="dxa"/>
            </w:tcMar>
            <w:vAlign w:val="center"/>
          </w:tcPr>
          <w:p w14:paraId="1F5CA211">
            <w:pPr>
              <w:spacing w:after="0" w:line="259" w:lineRule="auto"/>
              <w:jc w:val="center"/>
            </w:pPr>
            <w:r>
              <w:rPr>
                <w:rFonts w:ascii="Noto Sans SC Thin" w:hAnsi="Noto Sans SC Thin" w:eastAsia="Noto Sans SC Thin"/>
                <w:b/>
                <w:i w:val="0"/>
                <w:color w:val="17365D"/>
                <w:sz w:val="17"/>
              </w:rPr>
              <w:t>解释</w:t>
            </w:r>
          </w:p>
        </w:tc>
      </w:tr>
      <w:tr w14:paraId="7E12A47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C97EA69">
            <w:pPr>
              <w:spacing w:after="0" w:line="264" w:lineRule="auto"/>
              <w:jc w:val="center"/>
            </w:pPr>
            <w:r>
              <w:rPr>
                <w:rFonts w:ascii="Noto Sans SC Thin" w:hAnsi="Noto Sans SC Thin" w:eastAsia="Noto Sans SC Thin"/>
                <w:b w:val="0"/>
                <w:i w:val="0"/>
                <w:color w:val="111827"/>
                <w:sz w:val="17"/>
              </w:rPr>
              <w:t>分割精度</w:t>
            </w:r>
          </w:p>
        </w:tc>
        <w:tc>
          <w:tcPr>
            <w:tcW w:w="3100" w:type="dxa"/>
            <w:tcMar>
              <w:top w:w="80" w:type="dxa"/>
              <w:left w:w="120" w:type="dxa"/>
              <w:bottom w:w="80" w:type="dxa"/>
              <w:right w:w="120" w:type="dxa"/>
            </w:tcMar>
            <w:vAlign w:val="center"/>
          </w:tcPr>
          <w:p w14:paraId="1E00C093">
            <w:pPr>
              <w:spacing w:after="0" w:line="264" w:lineRule="auto"/>
              <w:jc w:val="center"/>
            </w:pPr>
            <w:r>
              <w:rPr>
                <w:rFonts w:ascii="Noto Sans SC Thin" w:hAnsi="Noto Sans SC Thin" w:eastAsia="Noto Sans SC Thin"/>
                <w:b w:val="0"/>
                <w:i w:val="0"/>
                <w:color w:val="111827"/>
                <w:sz w:val="17"/>
              </w:rPr>
              <w:t>gIoU、cIoU</w:t>
            </w:r>
          </w:p>
        </w:tc>
        <w:tc>
          <w:tcPr>
            <w:tcW w:w="4560" w:type="dxa"/>
            <w:tcMar>
              <w:top w:w="80" w:type="dxa"/>
              <w:left w:w="120" w:type="dxa"/>
              <w:bottom w:w="80" w:type="dxa"/>
              <w:right w:w="120" w:type="dxa"/>
            </w:tcMar>
            <w:vAlign w:val="center"/>
          </w:tcPr>
          <w:p w14:paraId="2E1C2311">
            <w:pPr>
              <w:spacing w:after="0" w:line="264" w:lineRule="auto"/>
              <w:jc w:val="center"/>
            </w:pPr>
            <w:r>
              <w:rPr>
                <w:rFonts w:ascii="Noto Sans SC Thin" w:hAnsi="Noto Sans SC Thin" w:eastAsia="Noto Sans SC Thin"/>
                <w:b w:val="0"/>
                <w:i w:val="0"/>
                <w:color w:val="111827"/>
                <w:sz w:val="17"/>
              </w:rPr>
              <w:t>总体与五个会话概念分项表现。</w:t>
            </w:r>
          </w:p>
        </w:tc>
      </w:tr>
      <w:tr w14:paraId="7FD3916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61D6D67A">
            <w:pPr>
              <w:spacing w:after="0" w:line="264" w:lineRule="auto"/>
              <w:jc w:val="center"/>
            </w:pPr>
            <w:r>
              <w:rPr>
                <w:rFonts w:ascii="Noto Sans SC Thin" w:hAnsi="Noto Sans SC Thin" w:eastAsia="Noto Sans SC Thin"/>
                <w:b w:val="0"/>
                <w:i w:val="0"/>
                <w:color w:val="111827"/>
                <w:sz w:val="17"/>
              </w:rPr>
              <w:t>边界质量</w:t>
            </w:r>
          </w:p>
        </w:tc>
        <w:tc>
          <w:tcPr>
            <w:tcW w:w="3100" w:type="dxa"/>
            <w:shd w:val="clear" w:color="auto" w:fill="FAFBFC"/>
            <w:tcMar>
              <w:top w:w="80" w:type="dxa"/>
              <w:left w:w="120" w:type="dxa"/>
              <w:bottom w:w="80" w:type="dxa"/>
              <w:right w:w="120" w:type="dxa"/>
            </w:tcMar>
            <w:vAlign w:val="center"/>
          </w:tcPr>
          <w:p w14:paraId="54E9571F">
            <w:pPr>
              <w:spacing w:after="0" w:line="264" w:lineRule="auto"/>
              <w:jc w:val="left"/>
            </w:pPr>
            <w:r>
              <w:rPr>
                <w:rFonts w:ascii="Noto Sans SC Thin" w:hAnsi="Noto Sans SC Thin" w:eastAsia="Noto Sans SC Thin"/>
                <w:b w:val="0"/>
                <w:i w:val="0"/>
                <w:color w:val="111827"/>
                <w:sz w:val="17"/>
              </w:rPr>
              <w:t>Boundary F、HD、Over/Under ratio</w:t>
            </w:r>
          </w:p>
        </w:tc>
        <w:tc>
          <w:tcPr>
            <w:tcW w:w="4560" w:type="dxa"/>
            <w:shd w:val="clear" w:color="auto" w:fill="FAFBFC"/>
            <w:tcMar>
              <w:top w:w="80" w:type="dxa"/>
              <w:left w:w="120" w:type="dxa"/>
              <w:bottom w:w="80" w:type="dxa"/>
              <w:right w:w="120" w:type="dxa"/>
            </w:tcMar>
            <w:vAlign w:val="center"/>
          </w:tcPr>
          <w:p w14:paraId="614E066A">
            <w:pPr>
              <w:spacing w:after="0" w:line="264" w:lineRule="auto"/>
              <w:jc w:val="left"/>
            </w:pPr>
            <w:r>
              <w:rPr>
                <w:rFonts w:ascii="Noto Sans SC Thin" w:hAnsi="Noto Sans SC Thin" w:eastAsia="Noto Sans SC Thin"/>
                <w:b w:val="0"/>
                <w:i w:val="0"/>
                <w:color w:val="111827"/>
                <w:sz w:val="17"/>
              </w:rPr>
              <w:t>评价功能区域、部件和表面的几何完整性。</w:t>
            </w:r>
          </w:p>
        </w:tc>
      </w:tr>
      <w:tr w14:paraId="0919224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F902033">
            <w:pPr>
              <w:spacing w:after="0" w:line="264" w:lineRule="auto"/>
              <w:jc w:val="center"/>
            </w:pPr>
            <w:r>
              <w:rPr>
                <w:rFonts w:ascii="Noto Sans SC Thin" w:hAnsi="Noto Sans SC Thin" w:eastAsia="Noto Sans SC Thin"/>
                <w:b w:val="0"/>
                <w:i w:val="0"/>
                <w:color w:val="111827"/>
                <w:sz w:val="17"/>
              </w:rPr>
              <w:t>负提示</w:t>
            </w:r>
          </w:p>
        </w:tc>
        <w:tc>
          <w:tcPr>
            <w:tcW w:w="3100" w:type="dxa"/>
            <w:tcMar>
              <w:top w:w="80" w:type="dxa"/>
              <w:left w:w="120" w:type="dxa"/>
              <w:bottom w:w="80" w:type="dxa"/>
              <w:right w:w="120" w:type="dxa"/>
            </w:tcMar>
            <w:vAlign w:val="center"/>
          </w:tcPr>
          <w:p w14:paraId="24550F75">
            <w:pPr>
              <w:spacing w:after="0" w:line="264" w:lineRule="auto"/>
              <w:jc w:val="left"/>
            </w:pPr>
            <w:r>
              <w:rPr>
                <w:rFonts w:ascii="Noto Sans SC Thin" w:hAnsi="Noto Sans SC Thin" w:eastAsia="Noto Sans SC Thin"/>
                <w:b w:val="0"/>
                <w:i w:val="0"/>
                <w:color w:val="111827"/>
                <w:sz w:val="17"/>
              </w:rPr>
              <w:t>Empty Accuracy、False Positive Area</w:t>
            </w:r>
          </w:p>
        </w:tc>
        <w:tc>
          <w:tcPr>
            <w:tcW w:w="4560" w:type="dxa"/>
            <w:tcMar>
              <w:top w:w="80" w:type="dxa"/>
              <w:left w:w="120" w:type="dxa"/>
              <w:bottom w:w="80" w:type="dxa"/>
              <w:right w:w="120" w:type="dxa"/>
            </w:tcMar>
            <w:vAlign w:val="center"/>
          </w:tcPr>
          <w:p w14:paraId="377631A2">
            <w:pPr>
              <w:spacing w:after="0" w:line="264" w:lineRule="auto"/>
              <w:jc w:val="left"/>
            </w:pPr>
            <w:r>
              <w:rPr>
                <w:rFonts w:ascii="Noto Sans SC Thin" w:hAnsi="Noto Sans SC Thin" w:eastAsia="Noto Sans SC Thin"/>
                <w:b w:val="0"/>
                <w:i w:val="0"/>
                <w:color w:val="111827"/>
                <w:sz w:val="17"/>
              </w:rPr>
              <w:t>评价不存在目标和条件不成立时的幻觉。</w:t>
            </w:r>
          </w:p>
        </w:tc>
      </w:tr>
      <w:tr w14:paraId="4964CD7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7EB0B21C">
            <w:pPr>
              <w:spacing w:after="0" w:line="264" w:lineRule="auto"/>
              <w:jc w:val="center"/>
            </w:pPr>
            <w:r>
              <w:rPr>
                <w:rFonts w:ascii="Noto Sans SC Thin" w:hAnsi="Noto Sans SC Thin" w:eastAsia="Noto Sans SC Thin"/>
                <w:b w:val="0"/>
                <w:i w:val="0"/>
                <w:color w:val="111827"/>
                <w:sz w:val="17"/>
              </w:rPr>
              <w:t>纠错能力</w:t>
            </w:r>
          </w:p>
        </w:tc>
        <w:tc>
          <w:tcPr>
            <w:tcW w:w="3100" w:type="dxa"/>
            <w:shd w:val="clear" w:color="auto" w:fill="FAFBFC"/>
            <w:tcMar>
              <w:top w:w="80" w:type="dxa"/>
              <w:left w:w="120" w:type="dxa"/>
              <w:bottom w:w="80" w:type="dxa"/>
              <w:right w:w="120" w:type="dxa"/>
            </w:tcMar>
            <w:vAlign w:val="center"/>
          </w:tcPr>
          <w:p w14:paraId="70DAE900">
            <w:pPr>
              <w:spacing w:after="0" w:line="264" w:lineRule="auto"/>
              <w:jc w:val="center"/>
            </w:pPr>
            <w:r>
              <w:rPr>
                <w:rFonts w:ascii="Noto Sans SC Thin" w:hAnsi="Noto Sans SC Thin" w:eastAsia="Noto Sans SC Thin"/>
                <w:b w:val="0"/>
                <w:i w:val="0"/>
                <w:color w:val="111827"/>
                <w:sz w:val="17"/>
              </w:rPr>
              <w:t>Recovery Gain</w:t>
            </w:r>
          </w:p>
        </w:tc>
        <w:tc>
          <w:tcPr>
            <w:tcW w:w="4560" w:type="dxa"/>
            <w:shd w:val="clear" w:color="auto" w:fill="FAFBFC"/>
            <w:tcMar>
              <w:top w:w="80" w:type="dxa"/>
              <w:left w:w="120" w:type="dxa"/>
              <w:bottom w:w="80" w:type="dxa"/>
              <w:right w:w="120" w:type="dxa"/>
            </w:tcMar>
            <w:vAlign w:val="center"/>
          </w:tcPr>
          <w:p w14:paraId="1B18B70C">
            <w:pPr>
              <w:spacing w:after="0" w:line="264" w:lineRule="auto"/>
              <w:jc w:val="left"/>
            </w:pPr>
            <w:r>
              <w:rPr>
                <w:rFonts w:ascii="Noto Sans SC Thin" w:hAnsi="Noto Sans SC Thin" w:eastAsia="Noto Sans SC Thin"/>
                <w:b w:val="0"/>
                <w:i w:val="0"/>
                <w:color w:val="111827"/>
                <w:sz w:val="17"/>
              </w:rPr>
              <w:t>IoU(qₛ²,M)−IoU(qₛ¹,M)。</w:t>
            </w:r>
          </w:p>
        </w:tc>
      </w:tr>
      <w:tr w14:paraId="7766F9D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3D9CD55">
            <w:pPr>
              <w:spacing w:after="0" w:line="264" w:lineRule="auto"/>
              <w:jc w:val="center"/>
            </w:pPr>
            <w:r>
              <w:rPr>
                <w:rFonts w:ascii="Noto Sans SC Thin" w:hAnsi="Noto Sans SC Thin" w:eastAsia="Noto Sans SC Thin"/>
                <w:b w:val="0"/>
                <w:i w:val="0"/>
                <w:color w:val="111827"/>
                <w:sz w:val="17"/>
              </w:rPr>
              <w:t>校准</w:t>
            </w:r>
          </w:p>
        </w:tc>
        <w:tc>
          <w:tcPr>
            <w:tcW w:w="3100" w:type="dxa"/>
            <w:tcMar>
              <w:top w:w="80" w:type="dxa"/>
              <w:left w:w="120" w:type="dxa"/>
              <w:bottom w:w="80" w:type="dxa"/>
              <w:right w:w="120" w:type="dxa"/>
            </w:tcMar>
            <w:vAlign w:val="center"/>
          </w:tcPr>
          <w:p w14:paraId="0D9A659B">
            <w:pPr>
              <w:spacing w:after="0" w:line="264" w:lineRule="auto"/>
              <w:jc w:val="center"/>
            </w:pPr>
            <w:r>
              <w:rPr>
                <w:rFonts w:ascii="Noto Sans SC Thin" w:hAnsi="Noto Sans SC Thin" w:eastAsia="Noto Sans SC Thin"/>
                <w:b w:val="0"/>
                <w:i w:val="0"/>
                <w:color w:val="111827"/>
                <w:sz w:val="17"/>
              </w:rPr>
              <w:t>ECE、No-mask ECE</w:t>
            </w:r>
          </w:p>
        </w:tc>
        <w:tc>
          <w:tcPr>
            <w:tcW w:w="4560" w:type="dxa"/>
            <w:tcMar>
              <w:top w:w="80" w:type="dxa"/>
              <w:left w:w="120" w:type="dxa"/>
              <w:bottom w:w="80" w:type="dxa"/>
              <w:right w:w="120" w:type="dxa"/>
            </w:tcMar>
            <w:vAlign w:val="center"/>
          </w:tcPr>
          <w:p w14:paraId="01DB2924">
            <w:pPr>
              <w:spacing w:after="0" w:line="264" w:lineRule="auto"/>
              <w:jc w:val="center"/>
            </w:pPr>
            <w:r>
              <w:rPr>
                <w:rFonts w:ascii="Noto Sans SC Thin" w:hAnsi="Noto Sans SC Thin" w:eastAsia="Noto Sans SC Thin"/>
                <w:b w:val="0"/>
                <w:i w:val="0"/>
                <w:color w:val="111827"/>
                <w:sz w:val="17"/>
              </w:rPr>
              <w:t>概率置信度与实际正确性的匹配。</w:t>
            </w:r>
          </w:p>
        </w:tc>
      </w:tr>
      <w:tr w14:paraId="1F81586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shd w:val="clear" w:color="auto" w:fill="FAFBFC"/>
            <w:tcMar>
              <w:top w:w="80" w:type="dxa"/>
              <w:left w:w="120" w:type="dxa"/>
              <w:bottom w:w="80" w:type="dxa"/>
              <w:right w:w="120" w:type="dxa"/>
            </w:tcMar>
            <w:vAlign w:val="center"/>
          </w:tcPr>
          <w:p w14:paraId="3C0FB001">
            <w:pPr>
              <w:spacing w:after="0" w:line="264" w:lineRule="auto"/>
              <w:jc w:val="center"/>
            </w:pPr>
            <w:r>
              <w:rPr>
                <w:rFonts w:ascii="Noto Sans SC Thin" w:hAnsi="Noto Sans SC Thin" w:eastAsia="Noto Sans SC Thin"/>
                <w:b w:val="0"/>
                <w:i w:val="0"/>
                <w:color w:val="111827"/>
                <w:sz w:val="17"/>
              </w:rPr>
              <w:t>数据效率</w:t>
            </w:r>
          </w:p>
        </w:tc>
        <w:tc>
          <w:tcPr>
            <w:tcW w:w="3100" w:type="dxa"/>
            <w:shd w:val="clear" w:color="auto" w:fill="FAFBFC"/>
            <w:tcMar>
              <w:top w:w="80" w:type="dxa"/>
              <w:left w:w="120" w:type="dxa"/>
              <w:bottom w:w="80" w:type="dxa"/>
              <w:right w:w="120" w:type="dxa"/>
            </w:tcMar>
            <w:vAlign w:val="center"/>
          </w:tcPr>
          <w:p w14:paraId="5EEC38EB">
            <w:pPr>
              <w:spacing w:after="0" w:line="264" w:lineRule="auto"/>
              <w:jc w:val="left"/>
            </w:pPr>
            <w:r>
              <w:rPr>
                <w:rFonts w:ascii="Noto Sans SC Thin" w:hAnsi="Noto Sans SC Thin" w:eastAsia="Noto Sans SC Thin"/>
                <w:b w:val="0"/>
                <w:i w:val="0"/>
                <w:color w:val="111827"/>
                <w:sz w:val="17"/>
              </w:rPr>
              <w:t>ΔgIoU / accepted samples</w:t>
            </w:r>
          </w:p>
        </w:tc>
        <w:tc>
          <w:tcPr>
            <w:tcW w:w="4560" w:type="dxa"/>
            <w:shd w:val="clear" w:color="auto" w:fill="FAFBFC"/>
            <w:tcMar>
              <w:top w:w="80" w:type="dxa"/>
              <w:left w:w="120" w:type="dxa"/>
              <w:bottom w:w="80" w:type="dxa"/>
              <w:right w:w="120" w:type="dxa"/>
            </w:tcMar>
            <w:vAlign w:val="center"/>
          </w:tcPr>
          <w:p w14:paraId="683F937D">
            <w:pPr>
              <w:spacing w:after="0" w:line="264" w:lineRule="auto"/>
              <w:jc w:val="center"/>
            </w:pPr>
            <w:r>
              <w:rPr>
                <w:rFonts w:ascii="Noto Sans SC Thin" w:hAnsi="Noto Sans SC Thin" w:eastAsia="Noto Sans SC Thin"/>
                <w:b w:val="0"/>
                <w:i w:val="0"/>
                <w:color w:val="111827"/>
                <w:sz w:val="17"/>
              </w:rPr>
              <w:t>单位新增有效样本带来的收益。</w:t>
            </w:r>
          </w:p>
        </w:tc>
      </w:tr>
      <w:tr w14:paraId="5A57CC2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187C352">
            <w:pPr>
              <w:spacing w:after="0" w:line="264" w:lineRule="auto"/>
              <w:jc w:val="center"/>
            </w:pPr>
            <w:r>
              <w:rPr>
                <w:rFonts w:ascii="Noto Sans SC Thin" w:hAnsi="Noto Sans SC Thin" w:eastAsia="Noto Sans SC Thin"/>
                <w:b w:val="0"/>
                <w:i w:val="0"/>
                <w:color w:val="111827"/>
                <w:sz w:val="17"/>
              </w:rPr>
              <w:t>部署效率</w:t>
            </w:r>
          </w:p>
        </w:tc>
        <w:tc>
          <w:tcPr>
            <w:tcW w:w="3100" w:type="dxa"/>
            <w:tcMar>
              <w:top w:w="80" w:type="dxa"/>
              <w:left w:w="120" w:type="dxa"/>
              <w:bottom w:w="80" w:type="dxa"/>
              <w:right w:w="120" w:type="dxa"/>
            </w:tcMar>
            <w:vAlign w:val="center"/>
          </w:tcPr>
          <w:p w14:paraId="5EE1CE97">
            <w:pPr>
              <w:spacing w:after="0" w:line="264" w:lineRule="auto"/>
              <w:jc w:val="left"/>
            </w:pPr>
            <w:r>
              <w:rPr>
                <w:rFonts w:ascii="Noto Sans SC Thin" w:hAnsi="Noto Sans SC Thin" w:eastAsia="Noto Sans SC Thin"/>
                <w:b w:val="0"/>
                <w:i w:val="0"/>
                <w:color w:val="111827"/>
                <w:sz w:val="17"/>
              </w:rPr>
              <w:t>Params、Latency、GPU memory</w:t>
            </w:r>
          </w:p>
        </w:tc>
        <w:tc>
          <w:tcPr>
            <w:tcW w:w="4560" w:type="dxa"/>
            <w:tcMar>
              <w:top w:w="80" w:type="dxa"/>
              <w:left w:w="120" w:type="dxa"/>
              <w:bottom w:w="80" w:type="dxa"/>
              <w:right w:w="120" w:type="dxa"/>
            </w:tcMar>
            <w:vAlign w:val="center"/>
          </w:tcPr>
          <w:p w14:paraId="52796071">
            <w:pPr>
              <w:spacing w:after="0" w:line="264" w:lineRule="auto"/>
              <w:jc w:val="left"/>
            </w:pPr>
            <w:r>
              <w:rPr>
                <w:rFonts w:ascii="Noto Sans SC Thin" w:hAnsi="Noto Sans SC Thin" w:eastAsia="Noto Sans SC Thin"/>
                <w:b w:val="0"/>
                <w:i w:val="0"/>
                <w:color w:val="111827"/>
                <w:sz w:val="17"/>
              </w:rPr>
              <w:t>比较One-pass、Two-pass与教师模型。</w:t>
            </w:r>
          </w:p>
        </w:tc>
      </w:tr>
    </w:tbl>
    <w:p w14:paraId="286911E3">
      <w:pPr>
        <w:spacing w:after="20"/>
      </w:pPr>
    </w:p>
    <w:p w14:paraId="17228444">
      <w:pPr>
        <w:pStyle w:val="4"/>
      </w:pPr>
      <w:r>
        <w:t>7.4 关键因果验证</w:t>
      </w:r>
    </w:p>
    <w:p w14:paraId="6A670903">
      <w:pPr>
        <w:numPr>
          <w:ilvl w:val="0"/>
          <w:numId w:val="8"/>
        </w:numPr>
        <w:spacing w:after="80" w:line="290" w:lineRule="auto"/>
        <w:ind w:left="540" w:hanging="279"/>
      </w:pPr>
      <w:r>
        <w:rPr>
          <w:rFonts w:ascii="Noto Sans SC Thin" w:hAnsi="Noto Sans SC Thin" w:eastAsia="Noto Sans SC Thin"/>
          <w:b w:val="0"/>
          <w:i w:val="0"/>
          <w:color w:val="111827"/>
          <w:sz w:val="22"/>
        </w:rPr>
        <w:t>状态因果：固定训练数据，仅改变Random/Historical/Current mask state。</w:t>
      </w:r>
    </w:p>
    <w:p w14:paraId="0596A4B5">
      <w:pPr>
        <w:numPr>
          <w:ilvl w:val="0"/>
          <w:numId w:val="8"/>
        </w:numPr>
        <w:spacing w:after="80" w:line="290" w:lineRule="auto"/>
        <w:ind w:left="540" w:hanging="279"/>
      </w:pPr>
      <w:r>
        <w:rPr>
          <w:rFonts w:ascii="Noto Sans SC Thin" w:hAnsi="Noto Sans SC Thin" w:eastAsia="Noto Sans SC Thin"/>
          <w:b w:val="0"/>
          <w:i w:val="0"/>
          <w:color w:val="111827"/>
          <w:sz w:val="22"/>
        </w:rPr>
        <w:t>数据因果：固定教师与训练步数，仅改变Random与Error-driven数据策略。</w:t>
      </w:r>
    </w:p>
    <w:p w14:paraId="6051F0CB">
      <w:pPr>
        <w:numPr>
          <w:ilvl w:val="0"/>
          <w:numId w:val="8"/>
        </w:numPr>
        <w:spacing w:after="80" w:line="290" w:lineRule="auto"/>
        <w:ind w:left="540" w:hanging="279"/>
      </w:pPr>
      <w:r>
        <w:rPr>
          <w:rFonts w:ascii="Noto Sans SC Thin" w:hAnsi="Noto Sans SC Thin" w:eastAsia="Noto Sans SC Thin"/>
          <w:b w:val="0"/>
          <w:i w:val="0"/>
          <w:color w:val="111827"/>
          <w:sz w:val="22"/>
        </w:rPr>
        <w:t>损失因果：逐项加入pixel、boundary、representation及collapse loss。</w:t>
      </w:r>
    </w:p>
    <w:p w14:paraId="12872680">
      <w:pPr>
        <w:numPr>
          <w:ilvl w:val="0"/>
          <w:numId w:val="8"/>
        </w:numPr>
        <w:spacing w:after="80" w:line="290" w:lineRule="auto"/>
        <w:ind w:left="540" w:hanging="279"/>
      </w:pPr>
      <w:r>
        <w:rPr>
          <w:rFonts w:ascii="Noto Sans SC Thin" w:hAnsi="Noto Sans SC Thin" w:eastAsia="Noto Sans SC Thin"/>
          <w:b w:val="0"/>
          <w:i w:val="0"/>
          <w:color w:val="111827"/>
          <w:sz w:val="22"/>
        </w:rPr>
        <w:t>成本因果：固定教师查询预算，比较在线、周期缓存与纯离线蒸馏。</w:t>
      </w:r>
    </w:p>
    <w:p w14:paraId="3D9106E1">
      <w:pPr>
        <w:numPr>
          <w:ilvl w:val="0"/>
          <w:numId w:val="8"/>
        </w:numPr>
        <w:spacing w:after="80" w:line="290" w:lineRule="auto"/>
        <w:ind w:left="540" w:hanging="279"/>
      </w:pPr>
      <w:r>
        <w:rPr>
          <w:rFonts w:ascii="Noto Sans SC Thin" w:hAnsi="Noto Sans SC Thin" w:eastAsia="Noto Sans SC Thin"/>
          <w:b w:val="0"/>
          <w:i w:val="0"/>
          <w:color w:val="111827"/>
          <w:sz w:val="22"/>
        </w:rPr>
        <w:t>模型因果：在7B→3B、3B→小模型及相同规模自蒸馏设置下验证通用性。</w:t>
      </w:r>
    </w:p>
    <w:p w14:paraId="1C7D0A8F">
      <w:pPr>
        <w:pStyle w:val="3"/>
      </w:pPr>
      <w:r>
        <w:t>8. 预期创新点</w:t>
      </w:r>
    </w:p>
    <w:p w14:paraId="12ABF5A1">
      <w:pPr>
        <w:numPr>
          <w:ilvl w:val="0"/>
          <w:numId w:val="9"/>
        </w:numPr>
        <w:spacing w:after="80" w:line="290" w:lineRule="auto"/>
        <w:ind w:left="540" w:hanging="279"/>
      </w:pPr>
      <w:r>
        <w:rPr>
          <w:rFonts w:ascii="Noto Sans SC Thin" w:hAnsi="Noto Sans SC Thin" w:eastAsia="Noto Sans SC Thin"/>
          <w:b w:val="0"/>
          <w:i w:val="0"/>
          <w:color w:val="111827"/>
          <w:sz w:val="22"/>
        </w:rPr>
        <w:t>提出面向非自回归分割的on-policy定义，将学生掩码提议建模为可被教师纠正的策略状态。</w:t>
      </w:r>
    </w:p>
    <w:p w14:paraId="06BC87E7">
      <w:pPr>
        <w:numPr>
          <w:ilvl w:val="0"/>
          <w:numId w:val="9"/>
        </w:numPr>
        <w:spacing w:after="80" w:line="290" w:lineRule="auto"/>
        <w:ind w:left="540" w:hanging="279"/>
      </w:pPr>
      <w:r>
        <w:rPr>
          <w:rFonts w:ascii="Noto Sans SC Thin" w:hAnsi="Noto Sans SC Thin" w:eastAsia="Noto Sans SC Thin"/>
          <w:b w:val="0"/>
          <w:i w:val="0"/>
          <w:color w:val="111827"/>
          <w:sz w:val="22"/>
        </w:rPr>
        <w:t>提出错误条件化的数据层OPD，使提示类别、生成算子和样本配比随学生能力动态变化。</w:t>
      </w:r>
    </w:p>
    <w:p w14:paraId="7E18333F">
      <w:pPr>
        <w:numPr>
          <w:ilvl w:val="0"/>
          <w:numId w:val="9"/>
        </w:numPr>
        <w:spacing w:after="80" w:line="290" w:lineRule="auto"/>
        <w:ind w:left="540" w:hanging="279"/>
      </w:pPr>
      <w:r>
        <w:rPr>
          <w:rFonts w:ascii="Noto Sans SC Thin" w:hAnsi="Noto Sans SC Thin" w:eastAsia="Noto Sans SC Thin"/>
          <w:b w:val="0"/>
          <w:i w:val="0"/>
          <w:color w:val="111827"/>
          <w:sz w:val="22"/>
        </w:rPr>
        <w:t>建立语义推理、像素概率、几何边界和中间表征的多粒度联合蒸馏机制。</w:t>
      </w:r>
    </w:p>
    <w:p w14:paraId="31742595">
      <w:pPr>
        <w:numPr>
          <w:ilvl w:val="0"/>
          <w:numId w:val="9"/>
        </w:numPr>
        <w:spacing w:after="80" w:line="290" w:lineRule="auto"/>
        <w:ind w:left="540" w:hanging="279"/>
      </w:pPr>
      <w:r>
        <w:rPr>
          <w:rFonts w:ascii="Noto Sans SC Thin" w:hAnsi="Noto Sans SC Thin" w:eastAsia="Noto Sans SC Thin"/>
          <w:b w:val="0"/>
          <w:i w:val="0"/>
          <w:color w:val="111827"/>
          <w:sz w:val="22"/>
        </w:rPr>
        <w:t>提出Iterative-to-Single-Pass Collapse，使训练阶段多步纠错能力兼容单次前向部署。</w:t>
      </w:r>
    </w:p>
    <w:p w14:paraId="4E2616BE">
      <w:pPr>
        <w:numPr>
          <w:ilvl w:val="0"/>
          <w:numId w:val="9"/>
        </w:numPr>
        <w:spacing w:after="80" w:line="290" w:lineRule="auto"/>
        <w:ind w:left="540" w:hanging="279"/>
      </w:pPr>
      <w:r>
        <w:rPr>
          <w:rFonts w:ascii="Noto Sans SC Thin" w:hAnsi="Noto Sans SC Thin" w:eastAsia="Noto Sans SC Thin"/>
          <w:b w:val="0"/>
          <w:i w:val="0"/>
          <w:color w:val="111827"/>
          <w:sz w:val="22"/>
        </w:rPr>
        <w:t>构建面向会话式分割的困难提示、负提示和掩码恢复评价体系。</w:t>
      </w:r>
    </w:p>
    <w:p w14:paraId="4C8BC7B8">
      <w:pPr>
        <w:pStyle w:val="3"/>
      </w:pPr>
      <w:r>
        <w:t>9. 研究计划与里程碑</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900"/>
        <w:gridCol w:w="1000"/>
        <w:gridCol w:w="4200"/>
        <w:gridCol w:w="3260"/>
      </w:tblGrid>
      <w:tr w14:paraId="56B4C214">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900" w:type="dxa"/>
            <w:shd w:val="clear" w:color="auto" w:fill="E8EEF5"/>
            <w:tcMar>
              <w:top w:w="80" w:type="dxa"/>
              <w:left w:w="120" w:type="dxa"/>
              <w:bottom w:w="80" w:type="dxa"/>
              <w:right w:w="120" w:type="dxa"/>
            </w:tcMar>
            <w:vAlign w:val="center"/>
          </w:tcPr>
          <w:p w14:paraId="5211241E">
            <w:pPr>
              <w:spacing w:after="0" w:line="259" w:lineRule="auto"/>
              <w:jc w:val="center"/>
            </w:pPr>
            <w:r>
              <w:rPr>
                <w:rFonts w:ascii="Noto Sans SC Thin" w:hAnsi="Noto Sans SC Thin" w:eastAsia="Noto Sans SC Thin"/>
                <w:b/>
                <w:i w:val="0"/>
                <w:color w:val="17365D"/>
                <w:sz w:val="17"/>
              </w:rPr>
              <w:t>阶段</w:t>
            </w:r>
          </w:p>
        </w:tc>
        <w:tc>
          <w:tcPr>
            <w:tcW w:w="1000" w:type="dxa"/>
            <w:shd w:val="clear" w:color="auto" w:fill="E8EEF5"/>
            <w:tcMar>
              <w:top w:w="80" w:type="dxa"/>
              <w:left w:w="120" w:type="dxa"/>
              <w:bottom w:w="80" w:type="dxa"/>
              <w:right w:w="120" w:type="dxa"/>
            </w:tcMar>
            <w:vAlign w:val="center"/>
          </w:tcPr>
          <w:p w14:paraId="7C51E5A4">
            <w:pPr>
              <w:spacing w:after="0" w:line="259" w:lineRule="auto"/>
              <w:jc w:val="center"/>
            </w:pPr>
            <w:r>
              <w:rPr>
                <w:rFonts w:ascii="Noto Sans SC Thin" w:hAnsi="Noto Sans SC Thin" w:eastAsia="Noto Sans SC Thin"/>
                <w:b/>
                <w:i w:val="0"/>
                <w:color w:val="17365D"/>
                <w:sz w:val="17"/>
              </w:rPr>
              <w:t>月份</w:t>
            </w:r>
          </w:p>
        </w:tc>
        <w:tc>
          <w:tcPr>
            <w:tcW w:w="4200" w:type="dxa"/>
            <w:shd w:val="clear" w:color="auto" w:fill="E8EEF5"/>
            <w:tcMar>
              <w:top w:w="80" w:type="dxa"/>
              <w:left w:w="120" w:type="dxa"/>
              <w:bottom w:w="80" w:type="dxa"/>
              <w:right w:w="120" w:type="dxa"/>
            </w:tcMar>
            <w:vAlign w:val="center"/>
          </w:tcPr>
          <w:p w14:paraId="194034EC">
            <w:pPr>
              <w:spacing w:after="0" w:line="259" w:lineRule="auto"/>
              <w:jc w:val="center"/>
            </w:pPr>
            <w:r>
              <w:rPr>
                <w:rFonts w:ascii="Noto Sans SC Thin" w:hAnsi="Noto Sans SC Thin" w:eastAsia="Noto Sans SC Thin"/>
                <w:b/>
                <w:i w:val="0"/>
                <w:color w:val="17365D"/>
                <w:sz w:val="17"/>
              </w:rPr>
              <w:t>主要任务</w:t>
            </w:r>
          </w:p>
        </w:tc>
        <w:tc>
          <w:tcPr>
            <w:tcW w:w="3260" w:type="dxa"/>
            <w:shd w:val="clear" w:color="auto" w:fill="E8EEF5"/>
            <w:tcMar>
              <w:top w:w="80" w:type="dxa"/>
              <w:left w:w="120" w:type="dxa"/>
              <w:bottom w:w="80" w:type="dxa"/>
              <w:right w:w="120" w:type="dxa"/>
            </w:tcMar>
            <w:vAlign w:val="center"/>
          </w:tcPr>
          <w:p w14:paraId="672E30F0">
            <w:pPr>
              <w:spacing w:after="0" w:line="259" w:lineRule="auto"/>
              <w:jc w:val="center"/>
            </w:pPr>
            <w:r>
              <w:rPr>
                <w:rFonts w:ascii="Noto Sans SC Thin" w:hAnsi="Noto Sans SC Thin" w:eastAsia="Noto Sans SC Thin"/>
                <w:b/>
                <w:i w:val="0"/>
                <w:color w:val="17365D"/>
                <w:sz w:val="17"/>
              </w:rPr>
              <w:t>里程碑</w:t>
            </w:r>
          </w:p>
        </w:tc>
      </w:tr>
      <w:tr w14:paraId="5383B83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009A7A83">
            <w:pPr>
              <w:spacing w:after="0" w:line="264" w:lineRule="auto"/>
              <w:jc w:val="center"/>
            </w:pPr>
            <w:r>
              <w:rPr>
                <w:rFonts w:ascii="Noto Sans SC Thin" w:hAnsi="Noto Sans SC Thin" w:eastAsia="Noto Sans SC Thin"/>
                <w:b w:val="0"/>
                <w:i w:val="0"/>
                <w:color w:val="111827"/>
                <w:sz w:val="17"/>
              </w:rPr>
              <w:t>I</w:t>
            </w:r>
          </w:p>
        </w:tc>
        <w:tc>
          <w:tcPr>
            <w:tcW w:w="1000" w:type="dxa"/>
            <w:tcMar>
              <w:top w:w="80" w:type="dxa"/>
              <w:left w:w="120" w:type="dxa"/>
              <w:bottom w:w="80" w:type="dxa"/>
              <w:right w:w="120" w:type="dxa"/>
            </w:tcMar>
            <w:vAlign w:val="center"/>
          </w:tcPr>
          <w:p w14:paraId="65BBDFFC">
            <w:pPr>
              <w:spacing w:after="0" w:line="264" w:lineRule="auto"/>
              <w:jc w:val="center"/>
            </w:pPr>
            <w:r>
              <w:rPr>
                <w:rFonts w:ascii="Noto Sans SC Thin" w:hAnsi="Noto Sans SC Thin" w:eastAsia="Noto Sans SC Thin"/>
                <w:b w:val="0"/>
                <w:i w:val="0"/>
                <w:color w:val="111827"/>
                <w:sz w:val="17"/>
              </w:rPr>
              <w:t>M1–M2</w:t>
            </w:r>
          </w:p>
        </w:tc>
        <w:tc>
          <w:tcPr>
            <w:tcW w:w="4200" w:type="dxa"/>
            <w:tcMar>
              <w:top w:w="80" w:type="dxa"/>
              <w:left w:w="120" w:type="dxa"/>
              <w:bottom w:w="80" w:type="dxa"/>
              <w:right w:w="120" w:type="dxa"/>
            </w:tcMar>
            <w:vAlign w:val="center"/>
          </w:tcPr>
          <w:p w14:paraId="1FE65808">
            <w:pPr>
              <w:spacing w:after="0" w:line="264" w:lineRule="auto"/>
              <w:jc w:val="left"/>
            </w:pPr>
            <w:r>
              <w:rPr>
                <w:rFonts w:ascii="Noto Sans SC Thin" w:hAnsi="Noto Sans SC Thin" w:eastAsia="Noto Sans SC Thin"/>
                <w:b w:val="0"/>
                <w:i w:val="0"/>
                <w:color w:val="111827"/>
                <w:sz w:val="17"/>
              </w:rPr>
              <w:t>复现ConVerSeg；建立统一训练、评测与错误诊断管线。</w:t>
            </w:r>
          </w:p>
        </w:tc>
        <w:tc>
          <w:tcPr>
            <w:tcW w:w="3260" w:type="dxa"/>
            <w:tcMar>
              <w:top w:w="80" w:type="dxa"/>
              <w:left w:w="120" w:type="dxa"/>
              <w:bottom w:w="80" w:type="dxa"/>
              <w:right w:w="120" w:type="dxa"/>
            </w:tcMar>
            <w:vAlign w:val="center"/>
          </w:tcPr>
          <w:p w14:paraId="439522C5">
            <w:pPr>
              <w:spacing w:after="0" w:line="264" w:lineRule="auto"/>
              <w:jc w:val="center"/>
            </w:pPr>
            <w:r>
              <w:rPr>
                <w:rFonts w:ascii="Noto Sans SC Thin" w:hAnsi="Noto Sans SC Thin" w:eastAsia="Noto Sans SC Thin"/>
                <w:b w:val="0"/>
                <w:i w:val="0"/>
                <w:color w:val="111827"/>
                <w:sz w:val="17"/>
              </w:rPr>
              <w:t>获得可重复基线和五类概念错误画像。</w:t>
            </w:r>
          </w:p>
        </w:tc>
      </w:tr>
      <w:tr w14:paraId="5088C97C">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shd w:val="clear" w:color="auto" w:fill="FAFBFC"/>
            <w:tcMar>
              <w:top w:w="80" w:type="dxa"/>
              <w:left w:w="120" w:type="dxa"/>
              <w:bottom w:w="80" w:type="dxa"/>
              <w:right w:w="120" w:type="dxa"/>
            </w:tcMar>
            <w:vAlign w:val="center"/>
          </w:tcPr>
          <w:p w14:paraId="72243A2F">
            <w:pPr>
              <w:spacing w:after="0" w:line="264" w:lineRule="auto"/>
              <w:jc w:val="center"/>
            </w:pPr>
            <w:r>
              <w:rPr>
                <w:rFonts w:ascii="Noto Sans SC Thin" w:hAnsi="Noto Sans SC Thin" w:eastAsia="Noto Sans SC Thin"/>
                <w:b w:val="0"/>
                <w:i w:val="0"/>
                <w:color w:val="111827"/>
                <w:sz w:val="17"/>
              </w:rPr>
              <w:t>II</w:t>
            </w:r>
          </w:p>
        </w:tc>
        <w:tc>
          <w:tcPr>
            <w:tcW w:w="1000" w:type="dxa"/>
            <w:shd w:val="clear" w:color="auto" w:fill="FAFBFC"/>
            <w:tcMar>
              <w:top w:w="80" w:type="dxa"/>
              <w:left w:w="120" w:type="dxa"/>
              <w:bottom w:w="80" w:type="dxa"/>
              <w:right w:w="120" w:type="dxa"/>
            </w:tcMar>
            <w:vAlign w:val="center"/>
          </w:tcPr>
          <w:p w14:paraId="7C3D3863">
            <w:pPr>
              <w:spacing w:after="0" w:line="264" w:lineRule="auto"/>
              <w:jc w:val="center"/>
            </w:pPr>
            <w:r>
              <w:rPr>
                <w:rFonts w:ascii="Noto Sans SC Thin" w:hAnsi="Noto Sans SC Thin" w:eastAsia="Noto Sans SC Thin"/>
                <w:b w:val="0"/>
                <w:i w:val="0"/>
                <w:color w:val="111827"/>
                <w:sz w:val="17"/>
              </w:rPr>
              <w:t>M3–M4</w:t>
            </w:r>
          </w:p>
        </w:tc>
        <w:tc>
          <w:tcPr>
            <w:tcW w:w="4200" w:type="dxa"/>
            <w:shd w:val="clear" w:color="auto" w:fill="FAFBFC"/>
            <w:tcMar>
              <w:top w:w="80" w:type="dxa"/>
              <w:left w:w="120" w:type="dxa"/>
              <w:bottom w:w="80" w:type="dxa"/>
              <w:right w:w="120" w:type="dxa"/>
            </w:tcMar>
            <w:vAlign w:val="center"/>
          </w:tcPr>
          <w:p w14:paraId="1E22D5A7">
            <w:pPr>
              <w:spacing w:after="0" w:line="264" w:lineRule="auto"/>
              <w:jc w:val="left"/>
            </w:pPr>
            <w:r>
              <w:rPr>
                <w:rFonts w:ascii="Noto Sans SC Thin" w:hAnsi="Noto Sans SC Thin" w:eastAsia="Noto Sans SC Thin"/>
                <w:b w:val="0"/>
                <w:i w:val="0"/>
                <w:color w:val="111827"/>
                <w:sz w:val="17"/>
              </w:rPr>
              <w:t>训练Mask Refinement Teacher；验证各类腐化恢复。</w:t>
            </w:r>
          </w:p>
        </w:tc>
        <w:tc>
          <w:tcPr>
            <w:tcW w:w="3260" w:type="dxa"/>
            <w:shd w:val="clear" w:color="auto" w:fill="FAFBFC"/>
            <w:tcMar>
              <w:top w:w="80" w:type="dxa"/>
              <w:left w:w="120" w:type="dxa"/>
              <w:bottom w:w="80" w:type="dxa"/>
              <w:right w:w="120" w:type="dxa"/>
            </w:tcMar>
            <w:vAlign w:val="center"/>
          </w:tcPr>
          <w:p w14:paraId="7896C88C">
            <w:pPr>
              <w:spacing w:after="0" w:line="264" w:lineRule="auto"/>
              <w:jc w:val="left"/>
            </w:pPr>
            <w:r>
              <w:rPr>
                <w:rFonts w:ascii="Noto Sans SC Thin" w:hAnsi="Noto Sans SC Thin" w:eastAsia="Noto Sans SC Thin"/>
                <w:b w:val="0"/>
                <w:i w:val="0"/>
                <w:color w:val="111827"/>
                <w:sz w:val="17"/>
              </w:rPr>
              <w:t>教师Recovery Gain达到稳定正增益。</w:t>
            </w:r>
          </w:p>
        </w:tc>
      </w:tr>
      <w:tr w14:paraId="04D9016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35D10B0E">
            <w:pPr>
              <w:spacing w:after="0" w:line="264" w:lineRule="auto"/>
              <w:jc w:val="center"/>
            </w:pPr>
            <w:r>
              <w:rPr>
                <w:rFonts w:ascii="Noto Sans SC Thin" w:hAnsi="Noto Sans SC Thin" w:eastAsia="Noto Sans SC Thin"/>
                <w:b w:val="0"/>
                <w:i w:val="0"/>
                <w:color w:val="111827"/>
                <w:sz w:val="17"/>
              </w:rPr>
              <w:t>III</w:t>
            </w:r>
          </w:p>
        </w:tc>
        <w:tc>
          <w:tcPr>
            <w:tcW w:w="1000" w:type="dxa"/>
            <w:tcMar>
              <w:top w:w="80" w:type="dxa"/>
              <w:left w:w="120" w:type="dxa"/>
              <w:bottom w:w="80" w:type="dxa"/>
              <w:right w:w="120" w:type="dxa"/>
            </w:tcMar>
            <w:vAlign w:val="center"/>
          </w:tcPr>
          <w:p w14:paraId="6DAF838A">
            <w:pPr>
              <w:spacing w:after="0" w:line="264" w:lineRule="auto"/>
              <w:jc w:val="center"/>
            </w:pPr>
            <w:r>
              <w:rPr>
                <w:rFonts w:ascii="Noto Sans SC Thin" w:hAnsi="Noto Sans SC Thin" w:eastAsia="Noto Sans SC Thin"/>
                <w:b w:val="0"/>
                <w:i w:val="0"/>
                <w:color w:val="111827"/>
                <w:sz w:val="17"/>
              </w:rPr>
              <w:t>M5–M6</w:t>
            </w:r>
          </w:p>
        </w:tc>
        <w:tc>
          <w:tcPr>
            <w:tcW w:w="4200" w:type="dxa"/>
            <w:tcMar>
              <w:top w:w="80" w:type="dxa"/>
              <w:left w:w="120" w:type="dxa"/>
              <w:bottom w:w="80" w:type="dxa"/>
              <w:right w:w="120" w:type="dxa"/>
            </w:tcMar>
            <w:vAlign w:val="center"/>
          </w:tcPr>
          <w:p w14:paraId="11CC7F5E">
            <w:pPr>
              <w:spacing w:after="0" w:line="264" w:lineRule="auto"/>
              <w:jc w:val="left"/>
            </w:pPr>
            <w:r>
              <w:rPr>
                <w:rFonts w:ascii="Noto Sans SC Thin" w:hAnsi="Noto Sans SC Thin" w:eastAsia="Noto Sans SC Thin"/>
                <w:b w:val="0"/>
                <w:i w:val="0"/>
                <w:color w:val="111827"/>
                <w:sz w:val="17"/>
              </w:rPr>
              <w:t>实现MaskStateEncoder与内层Mask-OPD。</w:t>
            </w:r>
          </w:p>
        </w:tc>
        <w:tc>
          <w:tcPr>
            <w:tcW w:w="3260" w:type="dxa"/>
            <w:tcMar>
              <w:top w:w="80" w:type="dxa"/>
              <w:left w:w="120" w:type="dxa"/>
              <w:bottom w:w="80" w:type="dxa"/>
              <w:right w:w="120" w:type="dxa"/>
            </w:tcMar>
            <w:vAlign w:val="center"/>
          </w:tcPr>
          <w:p w14:paraId="4955152E">
            <w:pPr>
              <w:spacing w:after="0" w:line="264" w:lineRule="auto"/>
              <w:jc w:val="left"/>
            </w:pPr>
            <w:r>
              <w:rPr>
                <w:rFonts w:ascii="Noto Sans SC Thin" w:hAnsi="Noto Sans SC Thin" w:eastAsia="Noto Sans SC Thin"/>
                <w:b w:val="0"/>
                <w:i w:val="0"/>
                <w:color w:val="111827"/>
                <w:sz w:val="17"/>
              </w:rPr>
              <w:t>证明Current-state优于Random/Historical state。</w:t>
            </w:r>
          </w:p>
        </w:tc>
      </w:tr>
      <w:tr w14:paraId="3EA33EF5">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shd w:val="clear" w:color="auto" w:fill="FAFBFC"/>
            <w:tcMar>
              <w:top w:w="80" w:type="dxa"/>
              <w:left w:w="120" w:type="dxa"/>
              <w:bottom w:w="80" w:type="dxa"/>
              <w:right w:w="120" w:type="dxa"/>
            </w:tcMar>
            <w:vAlign w:val="center"/>
          </w:tcPr>
          <w:p w14:paraId="10945E09">
            <w:pPr>
              <w:spacing w:after="0" w:line="264" w:lineRule="auto"/>
              <w:jc w:val="center"/>
            </w:pPr>
            <w:r>
              <w:rPr>
                <w:rFonts w:ascii="Noto Sans SC Thin" w:hAnsi="Noto Sans SC Thin" w:eastAsia="Noto Sans SC Thin"/>
                <w:b w:val="0"/>
                <w:i w:val="0"/>
                <w:color w:val="111827"/>
                <w:sz w:val="17"/>
              </w:rPr>
              <w:t>IV</w:t>
            </w:r>
          </w:p>
        </w:tc>
        <w:tc>
          <w:tcPr>
            <w:tcW w:w="1000" w:type="dxa"/>
            <w:shd w:val="clear" w:color="auto" w:fill="FAFBFC"/>
            <w:tcMar>
              <w:top w:w="80" w:type="dxa"/>
              <w:left w:w="120" w:type="dxa"/>
              <w:bottom w:w="80" w:type="dxa"/>
              <w:right w:w="120" w:type="dxa"/>
            </w:tcMar>
            <w:vAlign w:val="center"/>
          </w:tcPr>
          <w:p w14:paraId="55BD55F1">
            <w:pPr>
              <w:spacing w:after="0" w:line="264" w:lineRule="auto"/>
              <w:jc w:val="center"/>
            </w:pPr>
            <w:r>
              <w:rPr>
                <w:rFonts w:ascii="Noto Sans SC Thin" w:hAnsi="Noto Sans SC Thin" w:eastAsia="Noto Sans SC Thin"/>
                <w:b w:val="0"/>
                <w:i w:val="0"/>
                <w:color w:val="111827"/>
                <w:sz w:val="17"/>
              </w:rPr>
              <w:t>M7–M8</w:t>
            </w:r>
          </w:p>
        </w:tc>
        <w:tc>
          <w:tcPr>
            <w:tcW w:w="4200" w:type="dxa"/>
            <w:shd w:val="clear" w:color="auto" w:fill="FAFBFC"/>
            <w:tcMar>
              <w:top w:w="80" w:type="dxa"/>
              <w:left w:w="120" w:type="dxa"/>
              <w:bottom w:w="80" w:type="dxa"/>
              <w:right w:w="120" w:type="dxa"/>
            </w:tcMar>
            <w:vAlign w:val="center"/>
          </w:tcPr>
          <w:p w14:paraId="631F5F7B">
            <w:pPr>
              <w:spacing w:after="0" w:line="264" w:lineRule="auto"/>
              <w:jc w:val="left"/>
            </w:pPr>
            <w:r>
              <w:rPr>
                <w:rFonts w:ascii="Noto Sans SC Thin" w:hAnsi="Noto Sans SC Thin" w:eastAsia="Noto Sans SC Thin"/>
                <w:b w:val="0"/>
                <w:i w:val="0"/>
                <w:color w:val="111827"/>
                <w:sz w:val="17"/>
              </w:rPr>
              <w:t>实现外层错误驱动采样、困难提示生成与多级验证。</w:t>
            </w:r>
          </w:p>
        </w:tc>
        <w:tc>
          <w:tcPr>
            <w:tcW w:w="3260" w:type="dxa"/>
            <w:shd w:val="clear" w:color="auto" w:fill="FAFBFC"/>
            <w:tcMar>
              <w:top w:w="80" w:type="dxa"/>
              <w:left w:w="120" w:type="dxa"/>
              <w:bottom w:w="80" w:type="dxa"/>
              <w:right w:w="120" w:type="dxa"/>
            </w:tcMar>
            <w:vAlign w:val="center"/>
          </w:tcPr>
          <w:p w14:paraId="1D285209">
            <w:pPr>
              <w:spacing w:after="0" w:line="264" w:lineRule="auto"/>
              <w:jc w:val="left"/>
            </w:pPr>
            <w:r>
              <w:rPr>
                <w:rFonts w:ascii="Noto Sans SC Thin" w:hAnsi="Noto Sans SC Thin" w:eastAsia="Noto Sans SC Thin"/>
                <w:b w:val="0"/>
                <w:i w:val="0"/>
                <w:color w:val="111827"/>
                <w:sz w:val="17"/>
              </w:rPr>
              <w:t>相同数据预算下优于Random-Augment。</w:t>
            </w:r>
          </w:p>
        </w:tc>
      </w:tr>
      <w:tr w14:paraId="7AC726D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1FBCC078">
            <w:pPr>
              <w:spacing w:after="0" w:line="264" w:lineRule="auto"/>
              <w:jc w:val="center"/>
            </w:pPr>
            <w:r>
              <w:rPr>
                <w:rFonts w:ascii="Noto Sans SC Thin" w:hAnsi="Noto Sans SC Thin" w:eastAsia="Noto Sans SC Thin"/>
                <w:b w:val="0"/>
                <w:i w:val="0"/>
                <w:color w:val="111827"/>
                <w:sz w:val="17"/>
              </w:rPr>
              <w:t>V</w:t>
            </w:r>
          </w:p>
        </w:tc>
        <w:tc>
          <w:tcPr>
            <w:tcW w:w="1000" w:type="dxa"/>
            <w:tcMar>
              <w:top w:w="80" w:type="dxa"/>
              <w:left w:w="120" w:type="dxa"/>
              <w:bottom w:w="80" w:type="dxa"/>
              <w:right w:w="120" w:type="dxa"/>
            </w:tcMar>
            <w:vAlign w:val="center"/>
          </w:tcPr>
          <w:p w14:paraId="32EE35F2">
            <w:pPr>
              <w:spacing w:after="0" w:line="264" w:lineRule="auto"/>
              <w:jc w:val="center"/>
            </w:pPr>
            <w:r>
              <w:rPr>
                <w:rFonts w:ascii="Noto Sans SC Thin" w:hAnsi="Noto Sans SC Thin" w:eastAsia="Noto Sans SC Thin"/>
                <w:b w:val="0"/>
                <w:i w:val="0"/>
                <w:color w:val="111827"/>
                <w:sz w:val="17"/>
              </w:rPr>
              <w:t>M9–M10</w:t>
            </w:r>
          </w:p>
        </w:tc>
        <w:tc>
          <w:tcPr>
            <w:tcW w:w="4200" w:type="dxa"/>
            <w:tcMar>
              <w:top w:w="80" w:type="dxa"/>
              <w:left w:w="120" w:type="dxa"/>
              <w:bottom w:w="80" w:type="dxa"/>
              <w:right w:w="120" w:type="dxa"/>
            </w:tcMar>
            <w:vAlign w:val="center"/>
          </w:tcPr>
          <w:p w14:paraId="23E3C3BD">
            <w:pPr>
              <w:spacing w:after="0" w:line="264" w:lineRule="auto"/>
              <w:jc w:val="left"/>
            </w:pPr>
            <w:r>
              <w:rPr>
                <w:rFonts w:ascii="Noto Sans SC Thin" w:hAnsi="Noto Sans SC Thin" w:eastAsia="Noto Sans SC Thin"/>
                <w:b w:val="0"/>
                <w:i w:val="0"/>
                <w:color w:val="111827"/>
                <w:sz w:val="17"/>
              </w:rPr>
              <w:t>完成双层协同、collapse及跨模型规模实验。</w:t>
            </w:r>
          </w:p>
        </w:tc>
        <w:tc>
          <w:tcPr>
            <w:tcW w:w="3260" w:type="dxa"/>
            <w:tcMar>
              <w:top w:w="80" w:type="dxa"/>
              <w:left w:w="120" w:type="dxa"/>
              <w:bottom w:w="80" w:type="dxa"/>
              <w:right w:w="120" w:type="dxa"/>
            </w:tcMar>
            <w:vAlign w:val="center"/>
          </w:tcPr>
          <w:p w14:paraId="3B78946A">
            <w:pPr>
              <w:spacing w:after="0" w:line="264" w:lineRule="auto"/>
              <w:jc w:val="center"/>
            </w:pPr>
            <w:r>
              <w:rPr>
                <w:rFonts w:ascii="Noto Sans SC Thin" w:hAnsi="Noto Sans SC Thin" w:eastAsia="Noto Sans SC Thin"/>
                <w:b w:val="0"/>
                <w:i w:val="0"/>
                <w:color w:val="111827"/>
                <w:sz w:val="17"/>
              </w:rPr>
              <w:t>形成完整DL-OPD与主要消融。</w:t>
            </w:r>
          </w:p>
        </w:tc>
      </w:tr>
      <w:tr w14:paraId="5EF8C41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900" w:type="dxa"/>
            <w:shd w:val="clear" w:color="auto" w:fill="FAFBFC"/>
            <w:tcMar>
              <w:top w:w="80" w:type="dxa"/>
              <w:left w:w="120" w:type="dxa"/>
              <w:bottom w:w="80" w:type="dxa"/>
              <w:right w:w="120" w:type="dxa"/>
            </w:tcMar>
            <w:vAlign w:val="center"/>
          </w:tcPr>
          <w:p w14:paraId="2F55D5F3">
            <w:pPr>
              <w:spacing w:after="0" w:line="264" w:lineRule="auto"/>
              <w:jc w:val="center"/>
            </w:pPr>
            <w:r>
              <w:rPr>
                <w:rFonts w:ascii="Noto Sans SC Thin" w:hAnsi="Noto Sans SC Thin" w:eastAsia="Noto Sans SC Thin"/>
                <w:b w:val="0"/>
                <w:i w:val="0"/>
                <w:color w:val="111827"/>
                <w:sz w:val="17"/>
              </w:rPr>
              <w:t>VI</w:t>
            </w:r>
          </w:p>
        </w:tc>
        <w:tc>
          <w:tcPr>
            <w:tcW w:w="1000" w:type="dxa"/>
            <w:shd w:val="clear" w:color="auto" w:fill="FAFBFC"/>
            <w:tcMar>
              <w:top w:w="80" w:type="dxa"/>
              <w:left w:w="120" w:type="dxa"/>
              <w:bottom w:w="80" w:type="dxa"/>
              <w:right w:w="120" w:type="dxa"/>
            </w:tcMar>
            <w:vAlign w:val="center"/>
          </w:tcPr>
          <w:p w14:paraId="6F0F1DB8">
            <w:pPr>
              <w:spacing w:after="0" w:line="264" w:lineRule="auto"/>
              <w:jc w:val="center"/>
            </w:pPr>
            <w:r>
              <w:rPr>
                <w:rFonts w:ascii="Noto Sans SC Thin" w:hAnsi="Noto Sans SC Thin" w:eastAsia="Noto Sans SC Thin"/>
                <w:b w:val="0"/>
                <w:i w:val="0"/>
                <w:color w:val="111827"/>
                <w:sz w:val="17"/>
              </w:rPr>
              <w:t>M11–M12</w:t>
            </w:r>
          </w:p>
        </w:tc>
        <w:tc>
          <w:tcPr>
            <w:tcW w:w="4200" w:type="dxa"/>
            <w:shd w:val="clear" w:color="auto" w:fill="FAFBFC"/>
            <w:tcMar>
              <w:top w:w="80" w:type="dxa"/>
              <w:left w:w="120" w:type="dxa"/>
              <w:bottom w:w="80" w:type="dxa"/>
              <w:right w:w="120" w:type="dxa"/>
            </w:tcMar>
            <w:vAlign w:val="center"/>
          </w:tcPr>
          <w:p w14:paraId="4510AF68">
            <w:pPr>
              <w:spacing w:after="0" w:line="264" w:lineRule="auto"/>
              <w:jc w:val="left"/>
            </w:pPr>
            <w:r>
              <w:rPr>
                <w:rFonts w:ascii="Noto Sans SC Thin" w:hAnsi="Noto Sans SC Thin" w:eastAsia="Noto Sans SC Thin"/>
                <w:b w:val="0"/>
                <w:i w:val="0"/>
                <w:color w:val="111827"/>
                <w:sz w:val="17"/>
              </w:rPr>
              <w:t>泛化实验、统计分析、代码整理和论文撰写。</w:t>
            </w:r>
          </w:p>
        </w:tc>
        <w:tc>
          <w:tcPr>
            <w:tcW w:w="3260" w:type="dxa"/>
            <w:shd w:val="clear" w:color="auto" w:fill="FAFBFC"/>
            <w:tcMar>
              <w:top w:w="80" w:type="dxa"/>
              <w:left w:w="120" w:type="dxa"/>
              <w:bottom w:w="80" w:type="dxa"/>
              <w:right w:w="120" w:type="dxa"/>
            </w:tcMar>
            <w:vAlign w:val="center"/>
          </w:tcPr>
          <w:p w14:paraId="10095FE8">
            <w:pPr>
              <w:spacing w:after="0" w:line="264" w:lineRule="auto"/>
              <w:jc w:val="center"/>
            </w:pPr>
            <w:r>
              <w:rPr>
                <w:rFonts w:ascii="Noto Sans SC Thin" w:hAnsi="Noto Sans SC Thin" w:eastAsia="Noto Sans SC Thin"/>
                <w:b w:val="0"/>
                <w:i w:val="0"/>
                <w:color w:val="111827"/>
                <w:sz w:val="17"/>
              </w:rPr>
              <w:t>提交论文、代码、模型和测试集。</w:t>
            </w:r>
          </w:p>
        </w:tc>
      </w:tr>
    </w:tbl>
    <w:p w14:paraId="72FD555A">
      <w:pPr>
        <w:spacing w:after="20"/>
      </w:pPr>
    </w:p>
    <w:p w14:paraId="78239D33">
      <w:pPr>
        <w:pStyle w:val="3"/>
      </w:pPr>
      <w:r>
        <w:t>10. 资源需求与可行性</w:t>
      </w:r>
    </w:p>
    <w:p w14:paraId="62181978">
      <w:pPr>
        <w:pStyle w:val="4"/>
      </w:pPr>
      <w:r>
        <w:t>10.1 计算与数据资源</w:t>
      </w:r>
    </w:p>
    <w:p w14:paraId="42B4A3DE">
      <w:pPr>
        <w:pStyle w:val="16"/>
        <w:spacing w:after="80" w:line="290" w:lineRule="auto"/>
        <w:ind w:left="540" w:hanging="279"/>
      </w:pPr>
      <w:r>
        <w:rPr>
          <w:rFonts w:ascii="Noto Sans SC Thin" w:hAnsi="Noto Sans SC Thin" w:eastAsia="Noto Sans SC Thin"/>
          <w:b w:val="0"/>
          <w:i w:val="0"/>
          <w:color w:val="111827"/>
          <w:sz w:val="22"/>
        </w:rPr>
        <w:t>基础学生训练：单卡A100/H100 80GB或等效多卡环境。</w:t>
      </w:r>
    </w:p>
    <w:p w14:paraId="0DC433B0">
      <w:pPr>
        <w:pStyle w:val="16"/>
        <w:spacing w:after="80" w:line="290" w:lineRule="auto"/>
        <w:ind w:left="540" w:hanging="279"/>
      </w:pPr>
      <w:r>
        <w:rPr>
          <w:rFonts w:ascii="Noto Sans SC Thin" w:hAnsi="Noto Sans SC Thin" w:eastAsia="Noto Sans SC Thin"/>
          <w:b w:val="0"/>
          <w:i w:val="0"/>
          <w:color w:val="111827"/>
          <w:sz w:val="22"/>
        </w:rPr>
        <w:t>7B纠错教师：建议2–4张80GB GPU进行训练，推理阶段可量化或张量并行。</w:t>
      </w:r>
    </w:p>
    <w:p w14:paraId="030967E0">
      <w:pPr>
        <w:pStyle w:val="16"/>
        <w:spacing w:after="80" w:line="290" w:lineRule="auto"/>
        <w:ind w:left="540" w:hanging="279"/>
      </w:pPr>
      <w:r>
        <w:rPr>
          <w:rFonts w:ascii="Noto Sans SC Thin" w:hAnsi="Noto Sans SC Thin" w:eastAsia="Noto Sans SC Thin"/>
          <w:b w:val="0"/>
          <w:i w:val="0"/>
          <w:color w:val="111827"/>
          <w:sz w:val="22"/>
        </w:rPr>
        <w:t>数据存储：原始图像、掩码、教师soft logits和中间特征建议预留3–5TB。</w:t>
      </w:r>
    </w:p>
    <w:p w14:paraId="3904C9C4">
      <w:pPr>
        <w:pStyle w:val="16"/>
        <w:spacing w:after="80" w:line="290" w:lineRule="auto"/>
        <w:ind w:left="540" w:hanging="279"/>
      </w:pPr>
      <w:r>
        <w:rPr>
          <w:rFonts w:ascii="Noto Sans SC Thin" w:hAnsi="Noto Sans SC Thin" w:eastAsia="Noto Sans SC Thin"/>
          <w:b w:val="0"/>
          <w:i w:val="0"/>
          <w:color w:val="111827"/>
          <w:sz w:val="22"/>
        </w:rPr>
        <w:t>未标注图像池：COCO、SA-1B授权可用子集及自建场景图像。</w:t>
      </w:r>
    </w:p>
    <w:p w14:paraId="6FA9752E">
      <w:pPr>
        <w:pStyle w:val="16"/>
        <w:spacing w:after="80" w:line="290" w:lineRule="auto"/>
        <w:ind w:left="540" w:hanging="279"/>
      </w:pPr>
      <w:r>
        <w:rPr>
          <w:rFonts w:ascii="Noto Sans SC Thin" w:hAnsi="Noto Sans SC Thin" w:eastAsia="Noto Sans SC Thin"/>
          <w:b w:val="0"/>
          <w:i w:val="0"/>
          <w:color w:val="111827"/>
          <w:sz w:val="22"/>
        </w:rPr>
        <w:t>教师查询：优先使用开放权重VLM保证复现；闭源VLM仅作为数据验证增强。</w:t>
      </w:r>
    </w:p>
    <w:p w14:paraId="5E4F312C">
      <w:pPr>
        <w:pStyle w:val="4"/>
      </w:pPr>
      <w:r>
        <w:t>10.2 技术可行性</w:t>
      </w:r>
    </w:p>
    <w:p w14:paraId="361D9185">
      <w:pPr>
        <w:keepLines w:val="0"/>
        <w:spacing w:before="0" w:after="120" w:line="300" w:lineRule="auto"/>
        <w:jc w:val="both"/>
      </w:pPr>
      <w:r>
        <w:rPr>
          <w:rFonts w:ascii="Noto Sans SC Thin" w:hAnsi="Noto Sans SC Thin" w:eastAsia="Noto Sans SC Thin"/>
          <w:b w:val="0"/>
          <w:i w:val="0"/>
          <w:color w:val="111827"/>
          <w:sz w:val="22"/>
        </w:rPr>
        <w:t>ConVerSeg已公开训练代码、数据格式和模型权重，架构中的SAM2 dense prompt与Mask Decoder为引入掩码状态提供了直接接口[1,2]。Qwen提示编码器采用LoRA微调，便于控制学生与教师规模[3]。本方案新增模块均为轻量级，主要计算压力来自冻结教师在线查询，可通过短生命周期缓存和高价值样本查询缓解。</w:t>
      </w:r>
    </w:p>
    <w:p w14:paraId="56731D5E">
      <w:pPr>
        <w:pStyle w:val="3"/>
      </w:pPr>
      <w:r>
        <w:t>11. 风险分析与应对</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800"/>
        <w:gridCol w:w="3100"/>
        <w:gridCol w:w="4460"/>
      </w:tblGrid>
      <w:tr w14:paraId="7544DA3A">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2BA2A953">
            <w:pPr>
              <w:spacing w:after="0" w:line="259" w:lineRule="auto"/>
              <w:jc w:val="center"/>
            </w:pPr>
            <w:r>
              <w:rPr>
                <w:rFonts w:ascii="Noto Sans SC Thin" w:hAnsi="Noto Sans SC Thin" w:eastAsia="Noto Sans SC Thin"/>
                <w:b/>
                <w:i w:val="0"/>
                <w:color w:val="17365D"/>
                <w:sz w:val="17"/>
              </w:rPr>
              <w:t>风险</w:t>
            </w:r>
          </w:p>
        </w:tc>
        <w:tc>
          <w:tcPr>
            <w:tcW w:w="3100" w:type="dxa"/>
            <w:shd w:val="clear" w:color="auto" w:fill="E8EEF5"/>
            <w:tcMar>
              <w:top w:w="80" w:type="dxa"/>
              <w:left w:w="120" w:type="dxa"/>
              <w:bottom w:w="80" w:type="dxa"/>
              <w:right w:w="120" w:type="dxa"/>
            </w:tcMar>
            <w:vAlign w:val="center"/>
          </w:tcPr>
          <w:p w14:paraId="25D9C1D9">
            <w:pPr>
              <w:spacing w:after="0" w:line="259" w:lineRule="auto"/>
              <w:jc w:val="center"/>
            </w:pPr>
            <w:r>
              <w:rPr>
                <w:rFonts w:ascii="Noto Sans SC Thin" w:hAnsi="Noto Sans SC Thin" w:eastAsia="Noto Sans SC Thin"/>
                <w:b/>
                <w:i w:val="0"/>
                <w:color w:val="17365D"/>
                <w:sz w:val="17"/>
              </w:rPr>
              <w:t>表现</w:t>
            </w:r>
          </w:p>
        </w:tc>
        <w:tc>
          <w:tcPr>
            <w:tcW w:w="4460" w:type="dxa"/>
            <w:shd w:val="clear" w:color="auto" w:fill="E8EEF5"/>
            <w:tcMar>
              <w:top w:w="80" w:type="dxa"/>
              <w:left w:w="120" w:type="dxa"/>
              <w:bottom w:w="80" w:type="dxa"/>
              <w:right w:w="120" w:type="dxa"/>
            </w:tcMar>
            <w:vAlign w:val="center"/>
          </w:tcPr>
          <w:p w14:paraId="267A255D">
            <w:pPr>
              <w:spacing w:after="0" w:line="259" w:lineRule="auto"/>
              <w:jc w:val="center"/>
            </w:pPr>
            <w:r>
              <w:rPr>
                <w:rFonts w:ascii="Noto Sans SC Thin" w:hAnsi="Noto Sans SC Thin" w:eastAsia="Noto Sans SC Thin"/>
                <w:b/>
                <w:i w:val="0"/>
                <w:color w:val="17365D"/>
                <w:sz w:val="17"/>
              </w:rPr>
              <w:t>应对措施</w:t>
            </w:r>
          </w:p>
        </w:tc>
      </w:tr>
      <w:tr w14:paraId="3EA3CC0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120556A">
            <w:pPr>
              <w:spacing w:after="0" w:line="264" w:lineRule="auto"/>
              <w:jc w:val="center"/>
            </w:pPr>
            <w:r>
              <w:rPr>
                <w:rFonts w:ascii="Noto Sans SC Thin" w:hAnsi="Noto Sans SC Thin" w:eastAsia="Noto Sans SC Thin"/>
                <w:b w:val="0"/>
                <w:i w:val="0"/>
                <w:color w:val="111827"/>
                <w:sz w:val="17"/>
              </w:rPr>
              <w:t>教师复制输入掩码</w:t>
            </w:r>
          </w:p>
        </w:tc>
        <w:tc>
          <w:tcPr>
            <w:tcW w:w="3100" w:type="dxa"/>
            <w:tcMar>
              <w:top w:w="80" w:type="dxa"/>
              <w:left w:w="120" w:type="dxa"/>
              <w:bottom w:w="80" w:type="dxa"/>
              <w:right w:w="120" w:type="dxa"/>
            </w:tcMar>
            <w:vAlign w:val="center"/>
          </w:tcPr>
          <w:p w14:paraId="5F7A8C88">
            <w:pPr>
              <w:spacing w:after="0" w:line="264" w:lineRule="auto"/>
              <w:jc w:val="center"/>
            </w:pPr>
            <w:r>
              <w:rPr>
                <w:rFonts w:ascii="Noto Sans SC Thin" w:hAnsi="Noto Sans SC Thin" w:eastAsia="Noto Sans SC Thin"/>
                <w:b w:val="0"/>
                <w:i w:val="0"/>
                <w:color w:val="111827"/>
                <w:sz w:val="17"/>
              </w:rPr>
              <w:t>纠错结果与学生错误高度一致</w:t>
            </w:r>
          </w:p>
        </w:tc>
        <w:tc>
          <w:tcPr>
            <w:tcW w:w="4460" w:type="dxa"/>
            <w:tcMar>
              <w:top w:w="80" w:type="dxa"/>
              <w:left w:w="120" w:type="dxa"/>
              <w:bottom w:w="80" w:type="dxa"/>
              <w:right w:w="120" w:type="dxa"/>
            </w:tcMar>
            <w:vAlign w:val="center"/>
          </w:tcPr>
          <w:p w14:paraId="0C673C41">
            <w:pPr>
              <w:spacing w:after="0" w:line="264" w:lineRule="auto"/>
              <w:jc w:val="left"/>
            </w:pPr>
            <w:r>
              <w:rPr>
                <w:rFonts w:ascii="Noto Sans SC Thin" w:hAnsi="Noto Sans SC Thin" w:eastAsia="Noto Sans SC Thin"/>
                <w:b w:val="0"/>
                <w:i w:val="0"/>
                <w:color w:val="111827"/>
                <w:sz w:val="17"/>
              </w:rPr>
              <w:t>掩码dropout；教师独立图文编码；设置Teacher Recovery Gain门槛。</w:t>
            </w:r>
          </w:p>
        </w:tc>
      </w:tr>
      <w:tr w14:paraId="52D821C7">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2722AB1B">
            <w:pPr>
              <w:spacing w:after="0" w:line="264" w:lineRule="auto"/>
              <w:jc w:val="center"/>
            </w:pPr>
            <w:r>
              <w:rPr>
                <w:rFonts w:ascii="Noto Sans SC Thin" w:hAnsi="Noto Sans SC Thin" w:eastAsia="Noto Sans SC Thin"/>
                <w:b w:val="0"/>
                <w:i w:val="0"/>
                <w:color w:val="111827"/>
                <w:sz w:val="17"/>
              </w:rPr>
              <w:t>教师偏差放大</w:t>
            </w:r>
          </w:p>
        </w:tc>
        <w:tc>
          <w:tcPr>
            <w:tcW w:w="3100" w:type="dxa"/>
            <w:shd w:val="clear" w:color="auto" w:fill="FAFBFC"/>
            <w:tcMar>
              <w:top w:w="80" w:type="dxa"/>
              <w:left w:w="120" w:type="dxa"/>
              <w:bottom w:w="80" w:type="dxa"/>
              <w:right w:w="120" w:type="dxa"/>
            </w:tcMar>
            <w:vAlign w:val="center"/>
          </w:tcPr>
          <w:p w14:paraId="66346676">
            <w:pPr>
              <w:spacing w:after="0" w:line="264" w:lineRule="auto"/>
              <w:jc w:val="center"/>
            </w:pPr>
            <w:r>
              <w:rPr>
                <w:rFonts w:ascii="Noto Sans SC Thin" w:hAnsi="Noto Sans SC Thin" w:eastAsia="Noto Sans SC Thin"/>
                <w:b w:val="0"/>
                <w:i w:val="0"/>
                <w:color w:val="111827"/>
                <w:sz w:val="17"/>
              </w:rPr>
              <w:t>伪标签错误进入闭环</w:t>
            </w:r>
          </w:p>
        </w:tc>
        <w:tc>
          <w:tcPr>
            <w:tcW w:w="4460" w:type="dxa"/>
            <w:shd w:val="clear" w:color="auto" w:fill="FAFBFC"/>
            <w:tcMar>
              <w:top w:w="80" w:type="dxa"/>
              <w:left w:w="120" w:type="dxa"/>
              <w:bottom w:w="80" w:type="dxa"/>
              <w:right w:w="120" w:type="dxa"/>
            </w:tcMar>
            <w:vAlign w:val="center"/>
          </w:tcPr>
          <w:p w14:paraId="18A41875">
            <w:pPr>
              <w:spacing w:after="0" w:line="264" w:lineRule="auto"/>
              <w:jc w:val="left"/>
            </w:pPr>
            <w:r>
              <w:rPr>
                <w:rFonts w:ascii="Noto Sans SC Thin" w:hAnsi="Noto Sans SC Thin" w:eastAsia="Noto Sans SC Thin"/>
                <w:b w:val="0"/>
                <w:i w:val="0"/>
                <w:color w:val="111827"/>
                <w:sz w:val="17"/>
              </w:rPr>
              <w:t>GT优先；双教师一致；置信门控；低置信样本仅作soft supervision。</w:t>
            </w:r>
          </w:p>
        </w:tc>
      </w:tr>
      <w:tr w14:paraId="3B708AB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EC7BBDD">
            <w:pPr>
              <w:spacing w:after="0" w:line="264" w:lineRule="auto"/>
              <w:jc w:val="center"/>
            </w:pPr>
            <w:r>
              <w:rPr>
                <w:rFonts w:ascii="Noto Sans SC Thin" w:hAnsi="Noto Sans SC Thin" w:eastAsia="Noto Sans SC Thin"/>
                <w:b w:val="0"/>
                <w:i w:val="0"/>
                <w:color w:val="111827"/>
                <w:sz w:val="17"/>
              </w:rPr>
              <w:t>数据策略坍缩</w:t>
            </w:r>
          </w:p>
        </w:tc>
        <w:tc>
          <w:tcPr>
            <w:tcW w:w="3100" w:type="dxa"/>
            <w:tcMar>
              <w:top w:w="80" w:type="dxa"/>
              <w:left w:w="120" w:type="dxa"/>
              <w:bottom w:w="80" w:type="dxa"/>
              <w:right w:w="120" w:type="dxa"/>
            </w:tcMar>
            <w:vAlign w:val="center"/>
          </w:tcPr>
          <w:p w14:paraId="731B7C83">
            <w:pPr>
              <w:spacing w:after="0" w:line="264" w:lineRule="auto"/>
              <w:jc w:val="center"/>
            </w:pPr>
            <w:r>
              <w:rPr>
                <w:rFonts w:ascii="Noto Sans SC Thin" w:hAnsi="Noto Sans SC Thin" w:eastAsia="Noto Sans SC Thin"/>
                <w:b w:val="0"/>
                <w:i w:val="0"/>
                <w:color w:val="111827"/>
                <w:sz w:val="17"/>
              </w:rPr>
              <w:t>长期集中于少数弱项</w:t>
            </w:r>
          </w:p>
        </w:tc>
        <w:tc>
          <w:tcPr>
            <w:tcW w:w="4460" w:type="dxa"/>
            <w:tcMar>
              <w:top w:w="80" w:type="dxa"/>
              <w:left w:w="120" w:type="dxa"/>
              <w:bottom w:w="80" w:type="dxa"/>
              <w:right w:w="120" w:type="dxa"/>
            </w:tcMar>
            <w:vAlign w:val="center"/>
          </w:tcPr>
          <w:p w14:paraId="4FA7969F">
            <w:pPr>
              <w:spacing w:after="0" w:line="264" w:lineRule="auto"/>
              <w:jc w:val="left"/>
            </w:pPr>
            <w:r>
              <w:rPr>
                <w:rFonts w:ascii="Noto Sans SC Thin" w:hAnsi="Noto Sans SC Thin" w:eastAsia="Noto Sans SC Thin"/>
                <w:b w:val="0"/>
                <w:i w:val="0"/>
                <w:color w:val="111827"/>
                <w:sz w:val="17"/>
              </w:rPr>
              <w:t>类别覆盖下限；采样熵约束；基础数据回放。</w:t>
            </w:r>
          </w:p>
        </w:tc>
      </w:tr>
      <w:tr w14:paraId="0B26504E">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19616792">
            <w:pPr>
              <w:spacing w:after="0" w:line="264" w:lineRule="auto"/>
              <w:jc w:val="center"/>
            </w:pPr>
            <w:r>
              <w:rPr>
                <w:rFonts w:ascii="Noto Sans SC Thin" w:hAnsi="Noto Sans SC Thin" w:eastAsia="Noto Sans SC Thin"/>
                <w:b w:val="0"/>
                <w:i w:val="0"/>
                <w:color w:val="111827"/>
                <w:sz w:val="17"/>
              </w:rPr>
              <w:t>Hard Buffer陈旧</w:t>
            </w:r>
          </w:p>
        </w:tc>
        <w:tc>
          <w:tcPr>
            <w:tcW w:w="3100" w:type="dxa"/>
            <w:shd w:val="clear" w:color="auto" w:fill="FAFBFC"/>
            <w:tcMar>
              <w:top w:w="80" w:type="dxa"/>
              <w:left w:w="120" w:type="dxa"/>
              <w:bottom w:w="80" w:type="dxa"/>
              <w:right w:w="120" w:type="dxa"/>
            </w:tcMar>
            <w:vAlign w:val="center"/>
          </w:tcPr>
          <w:p w14:paraId="294D2AA7">
            <w:pPr>
              <w:spacing w:after="0" w:line="264" w:lineRule="auto"/>
              <w:jc w:val="center"/>
            </w:pPr>
            <w:r>
              <w:rPr>
                <w:rFonts w:ascii="Noto Sans SC Thin" w:hAnsi="Noto Sans SC Thin" w:eastAsia="Noto Sans SC Thin"/>
                <w:b w:val="0"/>
                <w:i w:val="0"/>
                <w:color w:val="111827"/>
                <w:sz w:val="17"/>
              </w:rPr>
              <w:t>历史数据偏离当前学生分布</w:t>
            </w:r>
          </w:p>
        </w:tc>
        <w:tc>
          <w:tcPr>
            <w:tcW w:w="4460" w:type="dxa"/>
            <w:shd w:val="clear" w:color="auto" w:fill="FAFBFC"/>
            <w:tcMar>
              <w:top w:w="80" w:type="dxa"/>
              <w:left w:w="120" w:type="dxa"/>
              <w:bottom w:w="80" w:type="dxa"/>
              <w:right w:w="120" w:type="dxa"/>
            </w:tcMar>
            <w:vAlign w:val="center"/>
          </w:tcPr>
          <w:p w14:paraId="69979064">
            <w:pPr>
              <w:spacing w:after="0" w:line="264" w:lineRule="auto"/>
              <w:jc w:val="left"/>
            </w:pPr>
            <w:r>
              <w:rPr>
                <w:rFonts w:ascii="Noto Sans SC Thin" w:hAnsi="Noto Sans SC Thin" w:eastAsia="Noto Sans SC Thin"/>
                <w:b w:val="0"/>
                <w:i w:val="0"/>
                <w:color w:val="111827"/>
                <w:sz w:val="17"/>
              </w:rPr>
              <w:t>TTL限制为1–2周期；每轮重新生成。</w:t>
            </w:r>
          </w:p>
        </w:tc>
      </w:tr>
      <w:tr w14:paraId="2D7DE05B">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D3B1328">
            <w:pPr>
              <w:spacing w:after="0" w:line="264" w:lineRule="auto"/>
              <w:jc w:val="center"/>
            </w:pPr>
            <w:r>
              <w:rPr>
                <w:rFonts w:ascii="Noto Sans SC Thin" w:hAnsi="Noto Sans SC Thin" w:eastAsia="Noto Sans SC Thin"/>
                <w:b w:val="0"/>
                <w:i w:val="0"/>
                <w:color w:val="111827"/>
                <w:sz w:val="17"/>
              </w:rPr>
              <w:t>多解提示硬标签错误</w:t>
            </w:r>
          </w:p>
        </w:tc>
        <w:tc>
          <w:tcPr>
            <w:tcW w:w="3100" w:type="dxa"/>
            <w:tcMar>
              <w:top w:w="80" w:type="dxa"/>
              <w:left w:w="120" w:type="dxa"/>
              <w:bottom w:w="80" w:type="dxa"/>
              <w:right w:w="120" w:type="dxa"/>
            </w:tcMar>
            <w:vAlign w:val="center"/>
          </w:tcPr>
          <w:p w14:paraId="634EFF9D">
            <w:pPr>
              <w:spacing w:after="0" w:line="264" w:lineRule="auto"/>
              <w:jc w:val="center"/>
            </w:pPr>
            <w:r>
              <w:rPr>
                <w:rFonts w:ascii="Noto Sans SC Thin" w:hAnsi="Noto Sans SC Thin" w:eastAsia="Noto Sans SC Thin"/>
                <w:b w:val="0"/>
                <w:i w:val="0"/>
                <w:color w:val="111827"/>
                <w:sz w:val="17"/>
              </w:rPr>
              <w:t>合理区域被误判为负样本</w:t>
            </w:r>
          </w:p>
        </w:tc>
        <w:tc>
          <w:tcPr>
            <w:tcW w:w="4460" w:type="dxa"/>
            <w:tcMar>
              <w:top w:w="80" w:type="dxa"/>
              <w:left w:w="120" w:type="dxa"/>
              <w:bottom w:w="80" w:type="dxa"/>
              <w:right w:w="120" w:type="dxa"/>
            </w:tcMar>
            <w:vAlign w:val="center"/>
          </w:tcPr>
          <w:p w14:paraId="277C0204">
            <w:pPr>
              <w:spacing w:after="0" w:line="264" w:lineRule="auto"/>
              <w:jc w:val="left"/>
            </w:pPr>
            <w:r>
              <w:rPr>
                <w:rFonts w:ascii="Noto Sans SC Thin" w:hAnsi="Noto Sans SC Thin" w:eastAsia="Noto Sans SC Thin"/>
                <w:b w:val="0"/>
                <w:i w:val="0"/>
                <w:color w:val="111827"/>
                <w:sz w:val="17"/>
              </w:rPr>
              <w:t>候选掩码集合、soft mask和人工抽检。</w:t>
            </w:r>
          </w:p>
        </w:tc>
      </w:tr>
      <w:tr w14:paraId="0D19D33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shd w:val="clear" w:color="auto" w:fill="FAFBFC"/>
            <w:tcMar>
              <w:top w:w="80" w:type="dxa"/>
              <w:left w:w="120" w:type="dxa"/>
              <w:bottom w:w="80" w:type="dxa"/>
              <w:right w:w="120" w:type="dxa"/>
            </w:tcMar>
            <w:vAlign w:val="center"/>
          </w:tcPr>
          <w:p w14:paraId="03C5B20A">
            <w:pPr>
              <w:spacing w:after="0" w:line="264" w:lineRule="auto"/>
              <w:jc w:val="center"/>
            </w:pPr>
            <w:r>
              <w:rPr>
                <w:rFonts w:ascii="Noto Sans SC Thin" w:hAnsi="Noto Sans SC Thin" w:eastAsia="Noto Sans SC Thin"/>
                <w:b w:val="0"/>
                <w:i w:val="0"/>
                <w:color w:val="111827"/>
                <w:sz w:val="17"/>
              </w:rPr>
              <w:t>基础能力遗忘</w:t>
            </w:r>
          </w:p>
        </w:tc>
        <w:tc>
          <w:tcPr>
            <w:tcW w:w="3100" w:type="dxa"/>
            <w:shd w:val="clear" w:color="auto" w:fill="FAFBFC"/>
            <w:tcMar>
              <w:top w:w="80" w:type="dxa"/>
              <w:left w:w="120" w:type="dxa"/>
              <w:bottom w:w="80" w:type="dxa"/>
              <w:right w:w="120" w:type="dxa"/>
            </w:tcMar>
            <w:vAlign w:val="center"/>
          </w:tcPr>
          <w:p w14:paraId="662F0B86">
            <w:pPr>
              <w:spacing w:after="0" w:line="264" w:lineRule="auto"/>
              <w:jc w:val="center"/>
            </w:pPr>
            <w:r>
              <w:rPr>
                <w:rFonts w:ascii="Noto Sans SC Thin" w:hAnsi="Noto Sans SC Thin" w:eastAsia="Noto Sans SC Thin"/>
                <w:b w:val="0"/>
                <w:i w:val="0"/>
                <w:color w:val="111827"/>
                <w:sz w:val="17"/>
              </w:rPr>
              <w:t>RefCOCO等性能下降</w:t>
            </w:r>
          </w:p>
        </w:tc>
        <w:tc>
          <w:tcPr>
            <w:tcW w:w="4460" w:type="dxa"/>
            <w:shd w:val="clear" w:color="auto" w:fill="FAFBFC"/>
            <w:tcMar>
              <w:top w:w="80" w:type="dxa"/>
              <w:left w:w="120" w:type="dxa"/>
              <w:bottom w:w="80" w:type="dxa"/>
              <w:right w:w="120" w:type="dxa"/>
            </w:tcMar>
            <w:vAlign w:val="center"/>
          </w:tcPr>
          <w:p w14:paraId="3202119A">
            <w:pPr>
              <w:spacing w:after="0" w:line="264" w:lineRule="auto"/>
              <w:jc w:val="left"/>
            </w:pPr>
            <w:r>
              <w:rPr>
                <w:rFonts w:ascii="Noto Sans SC Thin" w:hAnsi="Noto Sans SC Thin" w:eastAsia="Noto Sans SC Thin"/>
                <w:b w:val="0"/>
                <w:i w:val="0"/>
                <w:color w:val="111827"/>
                <w:sz w:val="17"/>
              </w:rPr>
              <w:t>Anchor loss与不低于25%的基础数据回放。</w:t>
            </w:r>
          </w:p>
        </w:tc>
      </w:tr>
      <w:tr w14:paraId="12800A6D">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B09E781">
            <w:pPr>
              <w:spacing w:after="0" w:line="264" w:lineRule="auto"/>
              <w:jc w:val="center"/>
            </w:pPr>
            <w:r>
              <w:rPr>
                <w:rFonts w:ascii="Noto Sans SC Thin" w:hAnsi="Noto Sans SC Thin" w:eastAsia="Noto Sans SC Thin"/>
                <w:b w:val="0"/>
                <w:i w:val="0"/>
                <w:color w:val="111827"/>
                <w:sz w:val="17"/>
              </w:rPr>
              <w:t>计算成本过高</w:t>
            </w:r>
          </w:p>
        </w:tc>
        <w:tc>
          <w:tcPr>
            <w:tcW w:w="3100" w:type="dxa"/>
            <w:tcMar>
              <w:top w:w="80" w:type="dxa"/>
              <w:left w:w="120" w:type="dxa"/>
              <w:bottom w:w="80" w:type="dxa"/>
              <w:right w:w="120" w:type="dxa"/>
            </w:tcMar>
            <w:vAlign w:val="center"/>
          </w:tcPr>
          <w:p w14:paraId="568C2257">
            <w:pPr>
              <w:spacing w:after="0" w:line="264" w:lineRule="auto"/>
              <w:jc w:val="center"/>
            </w:pPr>
            <w:r>
              <w:rPr>
                <w:rFonts w:ascii="Noto Sans SC Thin" w:hAnsi="Noto Sans SC Thin" w:eastAsia="Noto Sans SC Thin"/>
                <w:b w:val="0"/>
                <w:i w:val="0"/>
                <w:color w:val="111827"/>
                <w:sz w:val="17"/>
              </w:rPr>
              <w:t>教师调用限制实验规模</w:t>
            </w:r>
          </w:p>
        </w:tc>
        <w:tc>
          <w:tcPr>
            <w:tcW w:w="4460" w:type="dxa"/>
            <w:tcMar>
              <w:top w:w="80" w:type="dxa"/>
              <w:left w:w="120" w:type="dxa"/>
              <w:bottom w:w="80" w:type="dxa"/>
              <w:right w:w="120" w:type="dxa"/>
            </w:tcMar>
            <w:vAlign w:val="center"/>
          </w:tcPr>
          <w:p w14:paraId="6D3487DD">
            <w:pPr>
              <w:spacing w:after="0" w:line="264" w:lineRule="auto"/>
              <w:jc w:val="left"/>
            </w:pPr>
            <w:r>
              <w:rPr>
                <w:rFonts w:ascii="Noto Sans SC Thin" w:hAnsi="Noto Sans SC Thin" w:eastAsia="Noto Sans SC Thin"/>
                <w:b w:val="0"/>
                <w:i w:val="0"/>
                <w:color w:val="111827"/>
                <w:sz w:val="17"/>
              </w:rPr>
              <w:t>高价值查询、周期缓存、特征选层和教师量化。</w:t>
            </w:r>
          </w:p>
        </w:tc>
      </w:tr>
    </w:tbl>
    <w:p w14:paraId="53BB31B9">
      <w:pPr>
        <w:spacing w:after="20"/>
      </w:pPr>
    </w:p>
    <w:p w14:paraId="60C333E5">
      <w:pPr>
        <w:pStyle w:val="3"/>
      </w:pPr>
      <w:r>
        <w:t>12. 预期成果与验收标准</w:t>
      </w:r>
    </w:p>
    <w:tbl>
      <w:tblPr>
        <w:tblStyle w:val="33"/>
        <w:tblW w:w="9360" w:type="dxa"/>
        <w:tblInd w:w="120" w:type="dxa"/>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550"/>
        <w:gridCol w:w="4200"/>
        <w:gridCol w:w="3610"/>
      </w:tblGrid>
      <w:tr w14:paraId="31832D69">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rPr>
          <w:tblHeader/>
        </w:trPr>
        <w:tc>
          <w:tcPr>
            <w:tcW w:w="1550" w:type="dxa"/>
            <w:shd w:val="clear" w:color="auto" w:fill="E8EEF5"/>
            <w:tcMar>
              <w:top w:w="80" w:type="dxa"/>
              <w:left w:w="120" w:type="dxa"/>
              <w:bottom w:w="80" w:type="dxa"/>
              <w:right w:w="120" w:type="dxa"/>
            </w:tcMar>
            <w:vAlign w:val="center"/>
          </w:tcPr>
          <w:p w14:paraId="340BA676">
            <w:pPr>
              <w:spacing w:after="0" w:line="259" w:lineRule="auto"/>
              <w:jc w:val="center"/>
            </w:pPr>
            <w:r>
              <w:rPr>
                <w:rFonts w:ascii="Noto Sans SC Thin" w:hAnsi="Noto Sans SC Thin" w:eastAsia="Noto Sans SC Thin"/>
                <w:b/>
                <w:i w:val="0"/>
                <w:color w:val="17365D"/>
                <w:sz w:val="17"/>
              </w:rPr>
              <w:t>成果</w:t>
            </w:r>
          </w:p>
        </w:tc>
        <w:tc>
          <w:tcPr>
            <w:tcW w:w="4200" w:type="dxa"/>
            <w:shd w:val="clear" w:color="auto" w:fill="E8EEF5"/>
            <w:tcMar>
              <w:top w:w="80" w:type="dxa"/>
              <w:left w:w="120" w:type="dxa"/>
              <w:bottom w:w="80" w:type="dxa"/>
              <w:right w:w="120" w:type="dxa"/>
            </w:tcMar>
            <w:vAlign w:val="center"/>
          </w:tcPr>
          <w:p w14:paraId="1428B91D">
            <w:pPr>
              <w:spacing w:after="0" w:line="259" w:lineRule="auto"/>
              <w:jc w:val="center"/>
            </w:pPr>
            <w:r>
              <w:rPr>
                <w:rFonts w:ascii="Noto Sans SC Thin" w:hAnsi="Noto Sans SC Thin" w:eastAsia="Noto Sans SC Thin"/>
                <w:b/>
                <w:i w:val="0"/>
                <w:color w:val="17365D"/>
                <w:sz w:val="17"/>
              </w:rPr>
              <w:t>内容</w:t>
            </w:r>
          </w:p>
        </w:tc>
        <w:tc>
          <w:tcPr>
            <w:tcW w:w="3610" w:type="dxa"/>
            <w:shd w:val="clear" w:color="auto" w:fill="E8EEF5"/>
            <w:tcMar>
              <w:top w:w="80" w:type="dxa"/>
              <w:left w:w="120" w:type="dxa"/>
              <w:bottom w:w="80" w:type="dxa"/>
              <w:right w:w="120" w:type="dxa"/>
            </w:tcMar>
            <w:vAlign w:val="center"/>
          </w:tcPr>
          <w:p w14:paraId="09F4DC6D">
            <w:pPr>
              <w:spacing w:after="0" w:line="259" w:lineRule="auto"/>
              <w:jc w:val="center"/>
            </w:pPr>
            <w:r>
              <w:rPr>
                <w:rFonts w:ascii="Noto Sans SC Thin" w:hAnsi="Noto Sans SC Thin" w:eastAsia="Noto Sans SC Thin"/>
                <w:b/>
                <w:i w:val="0"/>
                <w:color w:val="17365D"/>
                <w:sz w:val="17"/>
              </w:rPr>
              <w:t>建议验收标准</w:t>
            </w:r>
          </w:p>
        </w:tc>
      </w:tr>
      <w:tr w14:paraId="55E76F8F">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602D20D8">
            <w:pPr>
              <w:spacing w:after="0" w:line="264" w:lineRule="auto"/>
              <w:jc w:val="center"/>
            </w:pPr>
            <w:r>
              <w:rPr>
                <w:rFonts w:ascii="Noto Sans SC Thin" w:hAnsi="Noto Sans SC Thin" w:eastAsia="Noto Sans SC Thin"/>
                <w:b w:val="0"/>
                <w:i w:val="0"/>
                <w:color w:val="111827"/>
                <w:sz w:val="17"/>
              </w:rPr>
              <w:t>算法</w:t>
            </w:r>
          </w:p>
        </w:tc>
        <w:tc>
          <w:tcPr>
            <w:tcW w:w="4200" w:type="dxa"/>
            <w:tcMar>
              <w:top w:w="80" w:type="dxa"/>
              <w:left w:w="120" w:type="dxa"/>
              <w:bottom w:w="80" w:type="dxa"/>
              <w:right w:w="120" w:type="dxa"/>
            </w:tcMar>
            <w:vAlign w:val="center"/>
          </w:tcPr>
          <w:p w14:paraId="14A95C0A">
            <w:pPr>
              <w:spacing w:after="0" w:line="264" w:lineRule="auto"/>
              <w:jc w:val="left"/>
            </w:pPr>
            <w:r>
              <w:rPr>
                <w:rFonts w:ascii="Noto Sans SC Thin" w:hAnsi="Noto Sans SC Thin" w:eastAsia="Noto Sans SC Thin"/>
                <w:b w:val="0"/>
                <w:i w:val="0"/>
                <w:color w:val="111827"/>
                <w:sz w:val="17"/>
              </w:rPr>
              <w:t>DL-OPD完整框架及One-pass/Two-pass模型</w:t>
            </w:r>
          </w:p>
        </w:tc>
        <w:tc>
          <w:tcPr>
            <w:tcW w:w="3610" w:type="dxa"/>
            <w:tcMar>
              <w:top w:w="80" w:type="dxa"/>
              <w:left w:w="120" w:type="dxa"/>
              <w:bottom w:w="80" w:type="dxa"/>
              <w:right w:w="120" w:type="dxa"/>
            </w:tcMar>
            <w:vAlign w:val="center"/>
          </w:tcPr>
          <w:p w14:paraId="3C0016DC">
            <w:pPr>
              <w:spacing w:after="0" w:line="264" w:lineRule="auto"/>
              <w:jc w:val="left"/>
            </w:pPr>
            <w:r>
              <w:rPr>
                <w:rFonts w:ascii="Noto Sans SC Thin" w:hAnsi="Noto Sans SC Thin" w:eastAsia="Noto Sans SC Thin"/>
                <w:b w:val="0"/>
                <w:i w:val="0"/>
                <w:color w:val="111827"/>
                <w:sz w:val="17"/>
              </w:rPr>
              <w:t>在ConVerSeg总体及困难类别上稳定优于原模型和off-policy KD。</w:t>
            </w:r>
          </w:p>
        </w:tc>
      </w:tr>
      <w:tr w14:paraId="57231320">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550" w:type="dxa"/>
            <w:shd w:val="clear" w:color="auto" w:fill="FAFBFC"/>
            <w:tcMar>
              <w:top w:w="80" w:type="dxa"/>
              <w:left w:w="120" w:type="dxa"/>
              <w:bottom w:w="80" w:type="dxa"/>
              <w:right w:w="120" w:type="dxa"/>
            </w:tcMar>
            <w:vAlign w:val="center"/>
          </w:tcPr>
          <w:p w14:paraId="5FB55EFD">
            <w:pPr>
              <w:spacing w:after="0" w:line="264" w:lineRule="auto"/>
              <w:jc w:val="center"/>
            </w:pPr>
            <w:r>
              <w:rPr>
                <w:rFonts w:ascii="Noto Sans SC Thin" w:hAnsi="Noto Sans SC Thin" w:eastAsia="Noto Sans SC Thin"/>
                <w:b w:val="0"/>
                <w:i w:val="0"/>
                <w:color w:val="111827"/>
                <w:sz w:val="17"/>
              </w:rPr>
              <w:t>数据</w:t>
            </w:r>
          </w:p>
        </w:tc>
        <w:tc>
          <w:tcPr>
            <w:tcW w:w="4200" w:type="dxa"/>
            <w:shd w:val="clear" w:color="auto" w:fill="FAFBFC"/>
            <w:tcMar>
              <w:top w:w="80" w:type="dxa"/>
              <w:left w:w="120" w:type="dxa"/>
              <w:bottom w:w="80" w:type="dxa"/>
              <w:right w:w="120" w:type="dxa"/>
            </w:tcMar>
            <w:vAlign w:val="center"/>
          </w:tcPr>
          <w:p w14:paraId="6E1265B1">
            <w:pPr>
              <w:spacing w:after="0" w:line="264" w:lineRule="auto"/>
              <w:jc w:val="left"/>
            </w:pPr>
            <w:r>
              <w:rPr>
                <w:rFonts w:ascii="Noto Sans SC Thin" w:hAnsi="Noto Sans SC Thin" w:eastAsia="Noto Sans SC Thin"/>
                <w:b w:val="0"/>
                <w:i w:val="0"/>
                <w:color w:val="111827"/>
                <w:sz w:val="17"/>
              </w:rPr>
              <w:t>Hard Prompt、Minimal Pair、Negative与Mask Recovery集合</w:t>
            </w:r>
          </w:p>
        </w:tc>
        <w:tc>
          <w:tcPr>
            <w:tcW w:w="3610" w:type="dxa"/>
            <w:shd w:val="clear" w:color="auto" w:fill="FAFBFC"/>
            <w:tcMar>
              <w:top w:w="80" w:type="dxa"/>
              <w:left w:w="120" w:type="dxa"/>
              <w:bottom w:w="80" w:type="dxa"/>
              <w:right w:w="120" w:type="dxa"/>
            </w:tcMar>
            <w:vAlign w:val="center"/>
          </w:tcPr>
          <w:p w14:paraId="00029EFD">
            <w:pPr>
              <w:spacing w:after="0" w:line="264" w:lineRule="auto"/>
              <w:jc w:val="left"/>
            </w:pPr>
            <w:r>
              <w:rPr>
                <w:rFonts w:ascii="Noto Sans SC Thin" w:hAnsi="Noto Sans SC Thin" w:eastAsia="Noto Sans SC Thin"/>
                <w:b w:val="0"/>
                <w:i w:val="0"/>
                <w:color w:val="111827"/>
                <w:sz w:val="17"/>
              </w:rPr>
              <w:t>具备类别、错误类型、质量置信度和生成来源记录。</w:t>
            </w:r>
          </w:p>
        </w:tc>
      </w:tr>
      <w:tr w14:paraId="4BA20BF1">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048324BB">
            <w:pPr>
              <w:spacing w:after="0" w:line="264" w:lineRule="auto"/>
              <w:jc w:val="center"/>
            </w:pPr>
            <w:r>
              <w:rPr>
                <w:rFonts w:ascii="Noto Sans SC Thin" w:hAnsi="Noto Sans SC Thin" w:eastAsia="Noto Sans SC Thin"/>
                <w:b w:val="0"/>
                <w:i w:val="0"/>
                <w:color w:val="111827"/>
                <w:sz w:val="17"/>
              </w:rPr>
              <w:t>代码</w:t>
            </w:r>
          </w:p>
        </w:tc>
        <w:tc>
          <w:tcPr>
            <w:tcW w:w="4200" w:type="dxa"/>
            <w:tcMar>
              <w:top w:w="80" w:type="dxa"/>
              <w:left w:w="120" w:type="dxa"/>
              <w:bottom w:w="80" w:type="dxa"/>
              <w:right w:w="120" w:type="dxa"/>
            </w:tcMar>
            <w:vAlign w:val="center"/>
          </w:tcPr>
          <w:p w14:paraId="1FDDD6C0">
            <w:pPr>
              <w:spacing w:after="0" w:line="264" w:lineRule="auto"/>
              <w:jc w:val="left"/>
            </w:pPr>
            <w:r>
              <w:rPr>
                <w:rFonts w:ascii="Noto Sans SC Thin" w:hAnsi="Noto Sans SC Thin" w:eastAsia="Noto Sans SC Thin"/>
                <w:b w:val="0"/>
                <w:i w:val="0"/>
                <w:color w:val="111827"/>
                <w:sz w:val="17"/>
              </w:rPr>
              <w:t>训练、rollout、教师纠错、数据策略与评测工具</w:t>
            </w:r>
          </w:p>
        </w:tc>
        <w:tc>
          <w:tcPr>
            <w:tcW w:w="3610" w:type="dxa"/>
            <w:tcMar>
              <w:top w:w="80" w:type="dxa"/>
              <w:left w:w="120" w:type="dxa"/>
              <w:bottom w:w="80" w:type="dxa"/>
              <w:right w:w="120" w:type="dxa"/>
            </w:tcMar>
            <w:vAlign w:val="center"/>
          </w:tcPr>
          <w:p w14:paraId="34AE3AC3">
            <w:pPr>
              <w:spacing w:after="0" w:line="264" w:lineRule="auto"/>
              <w:jc w:val="center"/>
            </w:pPr>
            <w:r>
              <w:rPr>
                <w:rFonts w:ascii="Noto Sans SC Thin" w:hAnsi="Noto Sans SC Thin" w:eastAsia="Noto Sans SC Thin"/>
                <w:b w:val="0"/>
                <w:i w:val="0"/>
                <w:color w:val="111827"/>
                <w:sz w:val="17"/>
              </w:rPr>
              <w:t>配置化运行，关键实验可复现。</w:t>
            </w:r>
          </w:p>
        </w:tc>
      </w:tr>
      <w:tr w14:paraId="1EAB9776">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550" w:type="dxa"/>
            <w:shd w:val="clear" w:color="auto" w:fill="FAFBFC"/>
            <w:tcMar>
              <w:top w:w="80" w:type="dxa"/>
              <w:left w:w="120" w:type="dxa"/>
              <w:bottom w:w="80" w:type="dxa"/>
              <w:right w:w="120" w:type="dxa"/>
            </w:tcMar>
            <w:vAlign w:val="center"/>
          </w:tcPr>
          <w:p w14:paraId="1818700C">
            <w:pPr>
              <w:spacing w:after="0" w:line="264" w:lineRule="auto"/>
              <w:jc w:val="center"/>
            </w:pPr>
            <w:r>
              <w:rPr>
                <w:rFonts w:ascii="Noto Sans SC Thin" w:hAnsi="Noto Sans SC Thin" w:eastAsia="Noto Sans SC Thin"/>
                <w:b w:val="0"/>
                <w:i w:val="0"/>
                <w:color w:val="111827"/>
                <w:sz w:val="17"/>
              </w:rPr>
              <w:t>论文</w:t>
            </w:r>
          </w:p>
        </w:tc>
        <w:tc>
          <w:tcPr>
            <w:tcW w:w="4200" w:type="dxa"/>
            <w:shd w:val="clear" w:color="auto" w:fill="FAFBFC"/>
            <w:tcMar>
              <w:top w:w="80" w:type="dxa"/>
              <w:left w:w="120" w:type="dxa"/>
              <w:bottom w:w="80" w:type="dxa"/>
              <w:right w:w="120" w:type="dxa"/>
            </w:tcMar>
            <w:vAlign w:val="center"/>
          </w:tcPr>
          <w:p w14:paraId="24AB942C">
            <w:pPr>
              <w:spacing w:after="0" w:line="264" w:lineRule="auto"/>
              <w:jc w:val="center"/>
            </w:pPr>
            <w:r>
              <w:rPr>
                <w:rFonts w:ascii="Noto Sans SC Thin" w:hAnsi="Noto Sans SC Thin" w:eastAsia="Noto Sans SC Thin"/>
                <w:b w:val="0"/>
                <w:i w:val="0"/>
                <w:color w:val="111827"/>
                <w:sz w:val="17"/>
              </w:rPr>
              <w:t>方法论文及系统实验</w:t>
            </w:r>
          </w:p>
        </w:tc>
        <w:tc>
          <w:tcPr>
            <w:tcW w:w="3610" w:type="dxa"/>
            <w:shd w:val="clear" w:color="auto" w:fill="FAFBFC"/>
            <w:tcMar>
              <w:top w:w="80" w:type="dxa"/>
              <w:left w:w="120" w:type="dxa"/>
              <w:bottom w:w="80" w:type="dxa"/>
              <w:right w:w="120" w:type="dxa"/>
            </w:tcMar>
            <w:vAlign w:val="center"/>
          </w:tcPr>
          <w:p w14:paraId="1D53284E">
            <w:pPr>
              <w:spacing w:after="0" w:line="264" w:lineRule="auto"/>
              <w:jc w:val="left"/>
            </w:pPr>
            <w:r>
              <w:rPr>
                <w:rFonts w:ascii="Noto Sans SC Thin" w:hAnsi="Noto Sans SC Thin" w:eastAsia="Noto Sans SC Thin"/>
                <w:b w:val="0"/>
                <w:i w:val="0"/>
                <w:color w:val="111827"/>
                <w:sz w:val="17"/>
              </w:rPr>
              <w:t>完成主实验、核心因果消融、效率和失败案例分析。</w:t>
            </w:r>
          </w:p>
        </w:tc>
      </w:tr>
      <w:tr w14:paraId="6E407B13">
        <w:tblPrEx>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CellMar>
            <w:top w:w="0" w:type="dxa"/>
            <w:left w:w="108" w:type="dxa"/>
            <w:bottom w:w="0" w:type="dxa"/>
            <w:right w:w="108" w:type="dxa"/>
          </w:tblCellMar>
        </w:tblPrEx>
        <w:tc>
          <w:tcPr>
            <w:tcW w:w="1550" w:type="dxa"/>
            <w:tcMar>
              <w:top w:w="80" w:type="dxa"/>
              <w:left w:w="120" w:type="dxa"/>
              <w:bottom w:w="80" w:type="dxa"/>
              <w:right w:w="120" w:type="dxa"/>
            </w:tcMar>
            <w:vAlign w:val="center"/>
          </w:tcPr>
          <w:p w14:paraId="56134F44">
            <w:pPr>
              <w:spacing w:after="0" w:line="264" w:lineRule="auto"/>
              <w:jc w:val="center"/>
            </w:pPr>
            <w:r>
              <w:rPr>
                <w:rFonts w:ascii="Noto Sans SC Thin" w:hAnsi="Noto Sans SC Thin" w:eastAsia="Noto Sans SC Thin"/>
                <w:b w:val="0"/>
                <w:i w:val="0"/>
                <w:color w:val="111827"/>
                <w:sz w:val="17"/>
              </w:rPr>
              <w:t>开放资产</w:t>
            </w:r>
          </w:p>
        </w:tc>
        <w:tc>
          <w:tcPr>
            <w:tcW w:w="4200" w:type="dxa"/>
            <w:tcMar>
              <w:top w:w="80" w:type="dxa"/>
              <w:left w:w="120" w:type="dxa"/>
              <w:bottom w:w="80" w:type="dxa"/>
              <w:right w:w="120" w:type="dxa"/>
            </w:tcMar>
            <w:vAlign w:val="center"/>
          </w:tcPr>
          <w:p w14:paraId="27B0FDAE">
            <w:pPr>
              <w:spacing w:after="0" w:line="264" w:lineRule="auto"/>
              <w:jc w:val="left"/>
            </w:pPr>
            <w:r>
              <w:rPr>
                <w:rFonts w:ascii="Noto Sans SC Thin" w:hAnsi="Noto Sans SC Thin" w:eastAsia="Noto Sans SC Thin"/>
                <w:b w:val="0"/>
                <w:i w:val="0"/>
                <w:color w:val="111827"/>
                <w:sz w:val="17"/>
              </w:rPr>
              <w:t>模型权重、错误分类规范与数据引擎接口</w:t>
            </w:r>
          </w:p>
        </w:tc>
        <w:tc>
          <w:tcPr>
            <w:tcW w:w="3610" w:type="dxa"/>
            <w:tcMar>
              <w:top w:w="80" w:type="dxa"/>
              <w:left w:w="120" w:type="dxa"/>
              <w:bottom w:w="80" w:type="dxa"/>
              <w:right w:w="120" w:type="dxa"/>
            </w:tcMar>
            <w:vAlign w:val="center"/>
          </w:tcPr>
          <w:p w14:paraId="0F3C4C6C">
            <w:pPr>
              <w:spacing w:after="0" w:line="264" w:lineRule="auto"/>
              <w:jc w:val="center"/>
            </w:pPr>
            <w:r>
              <w:rPr>
                <w:rFonts w:ascii="Noto Sans SC Thin" w:hAnsi="Noto Sans SC Thin" w:eastAsia="Noto Sans SC Thin"/>
                <w:b w:val="0"/>
                <w:i w:val="0"/>
                <w:color w:val="111827"/>
                <w:sz w:val="17"/>
              </w:rPr>
              <w:t>在授权允许范围内公开。</w:t>
            </w:r>
          </w:p>
        </w:tc>
      </w:tr>
    </w:tbl>
    <w:p w14:paraId="0BE9E4F8">
      <w:pPr>
        <w:spacing w:after="20"/>
      </w:pPr>
    </w:p>
    <w:tbl>
      <w:tblPr>
        <w:tblStyle w:val="33"/>
        <w:tblW w:w="9360" w:type="dxa"/>
        <w:tblInd w:w="120" w:type="dxa"/>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Layout w:type="fixed"/>
        <w:tblCellMar>
          <w:top w:w="0" w:type="dxa"/>
          <w:left w:w="108" w:type="dxa"/>
          <w:bottom w:w="0" w:type="dxa"/>
          <w:right w:w="108" w:type="dxa"/>
        </w:tblCellMar>
      </w:tblPr>
      <w:tblGrid>
        <w:gridCol w:w="9360"/>
      </w:tblGrid>
      <w:tr w14:paraId="3AC7833E">
        <w:tblPrEx>
          <w:tblBorders>
            <w:top w:val="single" w:color="C9D2DC" w:sz="6" w:space="0"/>
            <w:left w:val="single" w:color="C9D2DC" w:sz="6" w:space="0"/>
            <w:bottom w:val="single" w:color="C9D2DC" w:sz="6" w:space="0"/>
            <w:right w:val="single" w:color="C9D2DC" w:sz="6" w:space="0"/>
            <w:insideH w:val="single" w:color="C9D2DC" w:sz="6" w:space="0"/>
            <w:insideV w:val="single" w:color="C9D2DC" w:sz="6" w:space="0"/>
          </w:tblBorders>
          <w:tblCellMar>
            <w:top w:w="0" w:type="dxa"/>
            <w:left w:w="108" w:type="dxa"/>
            <w:bottom w:w="0" w:type="dxa"/>
            <w:right w:w="108" w:type="dxa"/>
          </w:tblCellMar>
        </w:tblPrEx>
        <w:tc>
          <w:tcPr>
            <w:tcW w:w="9360" w:type="dxa"/>
            <w:shd w:val="clear" w:color="auto" w:fill="EAF2F8"/>
            <w:tcMar>
              <w:top w:w="80" w:type="dxa"/>
              <w:left w:w="120" w:type="dxa"/>
              <w:bottom w:w="80" w:type="dxa"/>
              <w:right w:w="120" w:type="dxa"/>
            </w:tcMar>
            <w:vAlign w:val="center"/>
          </w:tcPr>
          <w:p w14:paraId="7A3D0C0F">
            <w:pPr>
              <w:spacing w:before="40" w:after="40" w:line="283" w:lineRule="auto"/>
            </w:pPr>
            <w:r>
              <w:rPr>
                <w:rFonts w:ascii="Noto Sans SC Thin" w:hAnsi="Noto Sans SC Thin" w:eastAsia="Noto Sans SC Thin"/>
                <w:b/>
                <w:i w:val="0"/>
                <w:color w:val="17365D"/>
                <w:sz w:val="22"/>
              </w:rPr>
              <w:t>建议的主结论：</w:t>
            </w:r>
            <w:r>
              <w:rPr>
                <w:rFonts w:ascii="Noto Sans SC Thin" w:hAnsi="Noto Sans SC Thin" w:eastAsia="Noto Sans SC Thin"/>
                <w:b w:val="0"/>
                <w:i w:val="0"/>
                <w:color w:val="111827"/>
                <w:sz w:val="22"/>
              </w:rPr>
              <w:t>在相同新增数据量与教师查询预算下，DL-OPD应同时提升Physics/Safety、Affordance、负提示抑制和边界质量，并证明Current-state监督与Error-driven数据策略分别提供独立且互补的收益。</w:t>
            </w:r>
          </w:p>
        </w:tc>
      </w:tr>
    </w:tbl>
    <w:p w14:paraId="3B29C9D6">
      <w:pPr>
        <w:spacing w:after="20"/>
      </w:pPr>
    </w:p>
    <w:p w14:paraId="06F20FB8">
      <w:pPr>
        <w:pStyle w:val="3"/>
      </w:pPr>
      <w:r>
        <w:t>13. 论文组织建议</w:t>
      </w:r>
    </w:p>
    <w:p w14:paraId="0E4B25DA">
      <w:pPr>
        <w:pStyle w:val="16"/>
        <w:spacing w:after="80" w:line="290" w:lineRule="auto"/>
        <w:ind w:left="540" w:hanging="279"/>
      </w:pPr>
      <w:r>
        <w:rPr>
          <w:rFonts w:ascii="Noto Sans SC Thin" w:hAnsi="Noto Sans SC Thin" w:eastAsia="Noto Sans SC Thin"/>
          <w:b w:val="0"/>
          <w:i w:val="0"/>
          <w:color w:val="111827"/>
          <w:sz w:val="22"/>
        </w:rPr>
        <w:t>Introduction：静态数据与静态蒸馏无法覆盖学生部署错误。</w:t>
      </w:r>
    </w:p>
    <w:p w14:paraId="1DA9FF0C">
      <w:pPr>
        <w:pStyle w:val="16"/>
        <w:spacing w:after="80" w:line="290" w:lineRule="auto"/>
        <w:ind w:left="540" w:hanging="279"/>
      </w:pPr>
      <w:r>
        <w:rPr>
          <w:rFonts w:ascii="Noto Sans SC Thin" w:hAnsi="Noto Sans SC Thin" w:eastAsia="Noto Sans SC Thin"/>
          <w:b w:val="0"/>
          <w:i w:val="0"/>
          <w:color w:val="111827"/>
          <w:sz w:val="22"/>
        </w:rPr>
        <w:t>Method：先定义Mask-Policy OPD，再定义Data-Policy OPD，最后给出协同算法。</w:t>
      </w:r>
    </w:p>
    <w:p w14:paraId="26A96844">
      <w:pPr>
        <w:pStyle w:val="16"/>
        <w:spacing w:after="80" w:line="290" w:lineRule="auto"/>
        <w:ind w:left="540" w:hanging="279"/>
      </w:pPr>
      <w:r>
        <w:rPr>
          <w:rFonts w:ascii="Noto Sans SC Thin" w:hAnsi="Noto Sans SC Thin" w:eastAsia="Noto Sans SC Thin"/>
          <w:b w:val="0"/>
          <w:i w:val="0"/>
          <w:color w:val="111827"/>
          <w:sz w:val="22"/>
        </w:rPr>
        <w:t>Experiments：围绕H1–H4组织，而不是只罗列指标提升。</w:t>
      </w:r>
    </w:p>
    <w:p w14:paraId="3581981F">
      <w:pPr>
        <w:pStyle w:val="16"/>
        <w:spacing w:after="80" w:line="290" w:lineRule="auto"/>
        <w:ind w:left="540" w:hanging="279"/>
      </w:pPr>
      <w:r>
        <w:rPr>
          <w:rFonts w:ascii="Noto Sans SC Thin" w:hAnsi="Noto Sans SC Thin" w:eastAsia="Noto Sans SC Thin"/>
          <w:b w:val="0"/>
          <w:i w:val="0"/>
          <w:color w:val="111827"/>
          <w:sz w:val="22"/>
        </w:rPr>
        <w:t>Analysis：重点展示学生错误分布如何随外层周期迁移、Hard Buffer如何变化。</w:t>
      </w:r>
    </w:p>
    <w:p w14:paraId="0EDEB53E">
      <w:pPr>
        <w:pStyle w:val="16"/>
        <w:spacing w:after="80" w:line="290" w:lineRule="auto"/>
        <w:ind w:left="540" w:hanging="279"/>
      </w:pPr>
      <w:r>
        <w:rPr>
          <w:rFonts w:ascii="Noto Sans SC Thin" w:hAnsi="Noto Sans SC Thin" w:eastAsia="Noto Sans SC Thin"/>
          <w:b w:val="0"/>
          <w:i w:val="0"/>
          <w:color w:val="111827"/>
          <w:sz w:val="22"/>
        </w:rPr>
        <w:t>Limitations：教师偏差、数据生成成本、多解提示和严格在线程度。</w:t>
      </w:r>
    </w:p>
    <w:p w14:paraId="061A9D6F">
      <w:pPr>
        <w:keepLines w:val="0"/>
        <w:spacing w:before="0" w:after="120" w:line="300" w:lineRule="auto"/>
        <w:jc w:val="both"/>
      </w:pPr>
      <w:r>
        <w:rPr>
          <w:rFonts w:ascii="Noto Sans SC Thin" w:hAnsi="Noto Sans SC Thin" w:eastAsia="Noto Sans SC Thin"/>
          <w:b w:val="0"/>
          <w:i w:val="0"/>
          <w:color w:val="111827"/>
          <w:sz w:val="22"/>
        </w:rPr>
        <w:t>建议论文题目：Learning from Its Own Mistakes: Dual-Level On-Policy Distillation for Conversational Image Segmentation。方法简称可使用DL-OPD；若突出应用场景，可使用ConverOPD。</w:t>
      </w:r>
    </w:p>
    <w:p w14:paraId="7ADF4F52">
      <w:pPr>
        <w:pStyle w:val="3"/>
      </w:pPr>
      <w:r>
        <w:t>参考文献</w:t>
      </w:r>
    </w:p>
    <w:p w14:paraId="599FF57E">
      <w:pPr>
        <w:spacing w:after="120" w:line="276" w:lineRule="auto"/>
        <w:ind w:left="360" w:hanging="360"/>
      </w:pPr>
      <w:r>
        <w:rPr>
          <w:rFonts w:ascii="Noto Sans SC Thin" w:hAnsi="Noto Sans SC Thin" w:eastAsia="Noto Sans SC Thin"/>
          <w:b w:val="0"/>
          <w:i w:val="0"/>
          <w:color w:val="344054"/>
          <w:sz w:val="19"/>
        </w:rPr>
        <w:t>[1] Sahoo, A., Gkioxari, G. Conversational Image Segmentation: Grounding Abstract Concepts with Scalable Supervision. arXiv:2602.13195, 2026. https://arxiv.org/abs/2602.13195</w:t>
      </w:r>
    </w:p>
    <w:p w14:paraId="640CF445">
      <w:pPr>
        <w:spacing w:after="120" w:line="276" w:lineRule="auto"/>
        <w:ind w:left="360" w:hanging="360"/>
      </w:pPr>
      <w:r>
        <w:rPr>
          <w:rFonts w:ascii="Noto Sans SC Thin" w:hAnsi="Noto Sans SC Thin" w:eastAsia="Noto Sans SC Thin"/>
          <w:b w:val="0"/>
          <w:i w:val="0"/>
          <w:color w:val="344054"/>
          <w:sz w:val="19"/>
        </w:rPr>
        <w:t>[2] Ravi, N., et al. SAM 2: Segment Anything in Images and Videos. arXiv:2408.00714, 2024. https://arxiv.org/abs/2408.00714</w:t>
      </w:r>
    </w:p>
    <w:p w14:paraId="1DCB2D5F">
      <w:pPr>
        <w:spacing w:after="120" w:line="276" w:lineRule="auto"/>
        <w:ind w:left="360" w:hanging="360"/>
      </w:pPr>
      <w:r>
        <w:rPr>
          <w:rFonts w:ascii="Noto Sans SC Thin" w:hAnsi="Noto Sans SC Thin" w:eastAsia="Noto Sans SC Thin"/>
          <w:b w:val="0"/>
          <w:i w:val="0"/>
          <w:color w:val="344054"/>
          <w:sz w:val="19"/>
        </w:rPr>
        <w:t>[3] Bai, S., et al. Qwen2.5-VL Technical Report. arXiv:2502.13923, 2025. https://arxiv.org/abs/2502.13923</w:t>
      </w:r>
    </w:p>
    <w:p w14:paraId="336E30E6">
      <w:pPr>
        <w:spacing w:after="120" w:line="276" w:lineRule="auto"/>
        <w:ind w:left="360" w:hanging="360"/>
      </w:pPr>
      <w:r>
        <w:rPr>
          <w:rFonts w:ascii="Noto Sans SC Thin" w:hAnsi="Noto Sans SC Thin" w:eastAsia="Noto Sans SC Thin"/>
          <w:b w:val="0"/>
          <w:i w:val="0"/>
          <w:color w:val="344054"/>
          <w:sz w:val="19"/>
        </w:rPr>
        <w:t>[4] Yang, S., et al. OPRD: On-Policy Representation Distillation. arXiv:2606.06021, 2026. https://arxiv.org/abs/2606.06021</w:t>
      </w:r>
    </w:p>
    <w:p w14:paraId="1BA122AD">
      <w:pPr>
        <w:spacing w:after="120" w:line="276" w:lineRule="auto"/>
        <w:ind w:left="360" w:hanging="360"/>
      </w:pPr>
      <w:r>
        <w:rPr>
          <w:rFonts w:ascii="Noto Sans SC Thin" w:hAnsi="Noto Sans SC Thin" w:eastAsia="Noto Sans SC Thin"/>
          <w:b w:val="0"/>
          <w:i w:val="0"/>
          <w:color w:val="344054"/>
          <w:sz w:val="19"/>
        </w:rPr>
        <w:t>[5] Zhang, D., et al. Fast and Effective On-policy Distillation from Reasoning Prefixes. arXiv:2602.15260, 2026. https://arxiv.org/abs/2602.15260</w:t>
      </w:r>
    </w:p>
    <w:p w14:paraId="256368F5">
      <w:pPr>
        <w:spacing w:after="120" w:line="276" w:lineRule="auto"/>
        <w:ind w:left="360" w:hanging="360"/>
      </w:pPr>
      <w:r>
        <w:rPr>
          <w:rFonts w:ascii="Noto Sans SC Thin" w:hAnsi="Noto Sans SC Thin" w:eastAsia="Noto Sans SC Thin"/>
          <w:b w:val="0"/>
          <w:i w:val="0"/>
          <w:color w:val="344054"/>
          <w:sz w:val="19"/>
        </w:rPr>
        <w:t>[6] Wei, Q., et al. STEP-OPD: Rethinking Output Targets and Internal Dynamics in On-Policy Distillation for Diffusion Models. arXiv:2608.04887, 2026. https://arxiv.org/abs/2608.04887</w:t>
      </w:r>
    </w:p>
    <w:p w14:paraId="3E9CDA12">
      <w:pPr>
        <w:spacing w:after="120" w:line="276" w:lineRule="auto"/>
        <w:ind w:left="360" w:hanging="360"/>
      </w:pPr>
      <w:r>
        <w:rPr>
          <w:rFonts w:ascii="Noto Sans SC Thin" w:hAnsi="Noto Sans SC Thin" w:eastAsia="Noto Sans SC Thin"/>
          <w:b w:val="0"/>
          <w:i w:val="0"/>
          <w:color w:val="344054"/>
          <w:sz w:val="19"/>
        </w:rPr>
        <w:t>[7] Kazemzadeh, S., et al. ReferItGame: Referring to Objects in Photographs of Natural Scenes. EMNLP, 2014.</w:t>
      </w:r>
    </w:p>
    <w:p w14:paraId="45E45DFD">
      <w:pPr>
        <w:spacing w:after="120" w:line="276" w:lineRule="auto"/>
        <w:ind w:left="360" w:hanging="360"/>
      </w:pPr>
      <w:r>
        <w:rPr>
          <w:rFonts w:ascii="Noto Sans SC Thin" w:hAnsi="Noto Sans SC Thin" w:eastAsia="Noto Sans SC Thin"/>
          <w:b w:val="0"/>
          <w:i w:val="0"/>
          <w:color w:val="344054"/>
          <w:sz w:val="19"/>
        </w:rPr>
        <w:t>[8] Lai, X., et al. LISA: Reasoning Segmentation via Large Language Model. CVPR, 2024.</w:t>
      </w:r>
    </w:p>
    <w:p w14:paraId="6B15F4A4">
      <w:r>
        <w:br w:type="page"/>
      </w:r>
    </w:p>
    <w:p w14:paraId="6BDEFEA9">
      <w:pPr>
        <w:pStyle w:val="3"/>
      </w:pPr>
      <w:r>
        <w:t>附录A：最小实现版本（MVP）</w:t>
      </w:r>
    </w:p>
    <w:p w14:paraId="2F730EDE">
      <w:pPr>
        <w:numPr>
          <w:ilvl w:val="0"/>
          <w:numId w:val="10"/>
        </w:numPr>
        <w:spacing w:after="80" w:line="290" w:lineRule="auto"/>
        <w:ind w:left="540" w:hanging="279"/>
      </w:pPr>
      <w:r>
        <w:rPr>
          <w:rFonts w:ascii="Noto Sans SC Thin" w:hAnsi="Noto Sans SC Thin" w:eastAsia="Noto Sans SC Thin"/>
          <w:b w:val="0"/>
          <w:i w:val="0"/>
          <w:color w:val="111827"/>
          <w:sz w:val="22"/>
        </w:rPr>
        <w:t>复现官方ConVerSeg并固定基线；只使用当前公开训练数据。</w:t>
      </w:r>
    </w:p>
    <w:p w14:paraId="1B3AD16C">
      <w:pPr>
        <w:numPr>
          <w:ilvl w:val="0"/>
          <w:numId w:val="10"/>
        </w:numPr>
        <w:spacing w:after="80" w:line="290" w:lineRule="auto"/>
        <w:ind w:left="540" w:hanging="279"/>
      </w:pPr>
      <w:r>
        <w:rPr>
          <w:rFonts w:ascii="Noto Sans SC Thin" w:hAnsi="Noto Sans SC Thin" w:eastAsia="Noto Sans SC Thin"/>
          <w:b w:val="0"/>
          <w:i w:val="0"/>
          <w:color w:val="111827"/>
          <w:sz w:val="22"/>
        </w:rPr>
        <w:t>训练一个能够修复随机与语义腐化掩码的7B教师。</w:t>
      </w:r>
    </w:p>
    <w:p w14:paraId="32588FE1">
      <w:pPr>
        <w:numPr>
          <w:ilvl w:val="0"/>
          <w:numId w:val="10"/>
        </w:numPr>
        <w:spacing w:after="80" w:line="290" w:lineRule="auto"/>
        <w:ind w:left="540" w:hanging="279"/>
      </w:pPr>
      <w:r>
        <w:rPr>
          <w:rFonts w:ascii="Noto Sans SC Thin" w:hAnsi="Noto Sans SC Thin" w:eastAsia="Noto Sans SC Thin"/>
          <w:b w:val="0"/>
          <w:i w:val="0"/>
          <w:color w:val="111827"/>
          <w:sz w:val="22"/>
        </w:rPr>
        <w:t>实现MaskStateEncoder、Current-state rollout与像素/边界OPD。</w:t>
      </w:r>
    </w:p>
    <w:p w14:paraId="34DC007D">
      <w:pPr>
        <w:numPr>
          <w:ilvl w:val="0"/>
          <w:numId w:val="10"/>
        </w:numPr>
        <w:spacing w:after="80" w:line="290" w:lineRule="auto"/>
        <w:ind w:left="540" w:hanging="279"/>
      </w:pPr>
      <w:r>
        <w:rPr>
          <w:rFonts w:ascii="Noto Sans SC Thin" w:hAnsi="Noto Sans SC Thin" w:eastAsia="Noto Sans SC Thin"/>
          <w:b w:val="0"/>
          <w:i w:val="0"/>
          <w:color w:val="111827"/>
          <w:sz w:val="22"/>
        </w:rPr>
        <w:t>以规则方式统计五类概念和负提示错误，并按错误率重新采样已有数据。</w:t>
      </w:r>
    </w:p>
    <w:p w14:paraId="5FF94CC8">
      <w:pPr>
        <w:numPr>
          <w:ilvl w:val="0"/>
          <w:numId w:val="10"/>
        </w:numPr>
        <w:spacing w:after="80" w:line="290" w:lineRule="auto"/>
        <w:ind w:left="540" w:hanging="279"/>
      </w:pPr>
      <w:r>
        <w:rPr>
          <w:rFonts w:ascii="Noto Sans SC Thin" w:hAnsi="Noto Sans SC Thin" w:eastAsia="Noto Sans SC Thin"/>
          <w:b w:val="0"/>
          <w:i w:val="0"/>
          <w:color w:val="111827"/>
          <w:sz w:val="22"/>
        </w:rPr>
        <w:t>加入语义保持改写与最小语义对两种低噪声生成算子。</w:t>
      </w:r>
    </w:p>
    <w:p w14:paraId="07B7129A">
      <w:pPr>
        <w:numPr>
          <w:ilvl w:val="0"/>
          <w:numId w:val="10"/>
        </w:numPr>
        <w:spacing w:after="80" w:line="290" w:lineRule="auto"/>
        <w:ind w:left="540" w:hanging="279"/>
      </w:pPr>
      <w:r>
        <w:rPr>
          <w:rFonts w:ascii="Noto Sans SC Thin" w:hAnsi="Noto Sans SC Thin" w:eastAsia="Noto Sans SC Thin"/>
          <w:b w:val="0"/>
          <w:i w:val="0"/>
          <w:color w:val="111827"/>
          <w:sz w:val="22"/>
        </w:rPr>
        <w:t>完成ConVerSeg、Off-policy KD、Random-State KD、Mask-OPD和DL-OPD五组主实验。</w:t>
      </w:r>
    </w:p>
    <w:p w14:paraId="538B14CA">
      <w:pPr>
        <w:keepLines w:val="0"/>
        <w:spacing w:before="0" w:after="120" w:line="300" w:lineRule="auto"/>
        <w:jc w:val="both"/>
      </w:pPr>
      <w:r>
        <w:rPr>
          <w:rFonts w:ascii="Noto Sans SC Thin" w:hAnsi="Noto Sans SC Thin" w:eastAsia="Noto Sans SC Thin"/>
          <w:b w:val="0"/>
          <w:i w:val="0"/>
          <w:color w:val="111827"/>
          <w:sz w:val="22"/>
        </w:rPr>
        <w:t>在MVP验证后，再逐步加入中间表征蒸馏、Contextual Bandit、更多生成算子和跨规模模型实验，避免第一版同时引入过多不稳定变量。</w:t>
      </w:r>
    </w:p>
    <w:sectPr>
      <w:headerReference r:id="rId7" w:type="default"/>
      <w:footerReference r:id="rId8" w:type="default"/>
      <w:pgSz w:w="12240" w:h="15840"/>
      <w:pgMar w:top="1440" w:right="1440" w:bottom="1440" w:left="1440" w:header="708" w:footer="708"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园长桐三岁" w:date="2026-09-23T16:05:21Z" w:initials="">
    <w:p w14:paraId="2D7190C0">
      <w:pPr>
        <w:pStyle w:val="17"/>
        <w:rPr>
          <w:rFonts w:hint="default" w:eastAsia="Noto Sans SC Thin"/>
          <w:lang w:val="en-US" w:eastAsia="zh-CN"/>
        </w:rPr>
      </w:pPr>
      <w:r>
        <w:rPr>
          <w:rFonts w:hint="eastAsia"/>
          <w:lang w:val="en-US" w:eastAsia="zh-CN"/>
        </w:rPr>
        <w:t>这里的多级指多教师级联吗？</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7190C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SC Thin">
    <w:panose1 w:val="020B0200000000000000"/>
    <w:charset w:val="86"/>
    <w:family w:val="auto"/>
    <w:pitch w:val="default"/>
    <w:sig w:usb0="20000083" w:usb1="2ADF3C10" w:usb2="00000016" w:usb3="00000000" w:csb0="60060107"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5896">
    <w:pPr>
      <w:pStyle w:val="25"/>
      <w:jc w:val="right"/>
    </w:pPr>
    <w:r>
      <w:rPr>
        <w:rFonts w:ascii="Noto Sans SC Thin" w:hAnsi="Noto Sans SC Thin" w:eastAsia="Noto Sans SC Thin"/>
        <w:b w:val="0"/>
        <w:i w:val="0"/>
        <w:color w:val="667085"/>
        <w:sz w:val="18"/>
      </w:rPr>
      <w:t xml:space="preserve">第 </w:t>
    </w:r>
    <w:r>
      <w:fldChar w:fldCharType="begin"/>
    </w:r>
    <w:r>
      <w:instrText xml:space="preserve"> PAGE </w:instrText>
    </w:r>
    <w:r>
      <w:fldChar w:fldCharType="end"/>
    </w:r>
    <w:r>
      <w:rPr>
        <w:rFonts w:ascii="Noto Sans SC Thin" w:hAnsi="Noto Sans SC Thin" w:eastAsia="Noto Sans SC Thin"/>
        <w:b w:val="0"/>
        <w:i w:val="0"/>
        <w:color w:val="667085"/>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0CF2D">
    <w:pPr>
      <w:pStyle w:val="26"/>
      <w:spacing w:after="0"/>
      <w:jc w:val="left"/>
    </w:pPr>
    <w:r>
      <w:rPr>
        <w:rFonts w:ascii="Noto Sans SC Thin" w:hAnsi="Noto Sans SC Thin" w:eastAsia="Noto Sans SC Thin"/>
        <w:b/>
        <w:i w:val="0"/>
        <w:color w:val="667085"/>
        <w:sz w:val="18"/>
      </w:rPr>
      <w:t>DL-OPD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540"/>
        </w:tabs>
        <w:ind w:left="540" w:hanging="280"/>
      </w:pPr>
    </w:lvl>
  </w:abstractNum>
  <w:abstractNum w:abstractNumId="1">
    <w:nsid w:val="CF092B84"/>
    <w:multiLevelType w:val="singleLevel"/>
    <w:tmpl w:val="CF092B84"/>
    <w:lvl w:ilvl="0" w:tentative="0">
      <w:start w:val="1"/>
      <w:numFmt w:val="decimal"/>
      <w:lvlText w:val="%1."/>
      <w:lvlJc w:val="left"/>
      <w:pPr>
        <w:tabs>
          <w:tab w:val="left" w:pos="540"/>
        </w:tabs>
        <w:ind w:left="540" w:hanging="280"/>
      </w:pPr>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53208E"/>
    <w:multiLevelType w:val="singleLevel"/>
    <w:tmpl w:val="0053208E"/>
    <w:lvl w:ilvl="0" w:tentative="0">
      <w:start w:val="1"/>
      <w:numFmt w:val="decimal"/>
      <w:lvlText w:val="%1."/>
      <w:lvlJc w:val="left"/>
      <w:pPr>
        <w:tabs>
          <w:tab w:val="left" w:pos="540"/>
        </w:tabs>
        <w:ind w:left="540" w:hanging="280"/>
      </w:pPr>
    </w:lvl>
  </w:abstractNum>
  <w:abstractNum w:abstractNumId="9">
    <w:nsid w:val="59ADCABA"/>
    <w:multiLevelType w:val="singleLevel"/>
    <w:tmpl w:val="59ADCABA"/>
    <w:lvl w:ilvl="0" w:tentative="0">
      <w:start w:val="1"/>
      <w:numFmt w:val="decimal"/>
      <w:lvlText w:val="%1."/>
      <w:lvlJc w:val="left"/>
      <w:pPr>
        <w:tabs>
          <w:tab w:val="left" w:pos="540"/>
        </w:tabs>
        <w:ind w:left="540" w:hanging="28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9"/>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园长桐三岁">
    <w15:presenceInfo w15:providerId="WPS Office" w15:userId="3974004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EB4326"/>
    <w:rsid w:val="680337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Noto Sans SC Thin" w:hAnsi="Noto Sans SC Thin" w:eastAsia="Noto Sans SC Thin" w:cstheme="minorBidi"/>
      <w:sz w:val="22"/>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contextualSpacing/>
    </w:pPr>
    <w:rPr>
      <w:rFonts w:ascii="Noto Sans SC Thin" w:hAnsi="Noto Sans SC Thin" w:eastAsia="Noto Sans SC Thin"/>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contextualSpacing/>
    </w:pPr>
    <w:rPr>
      <w:rFonts w:ascii="Noto Sans SC Thin" w:hAnsi="Noto Sans SC Thin" w:eastAsia="Noto Sans SC Thin"/>
      <w:sz w:val="22"/>
    </w:r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pPr>
      <w:keepNext/>
      <w:spacing w:before="0" w:after="160"/>
    </w:pPr>
    <w:rPr>
      <w:rFonts w:asciiTheme="majorHAnsi" w:hAnsiTheme="majorHAnsi" w:eastAsiaTheme="majorEastAsia" w:cstheme="majorBidi"/>
      <w:i/>
      <w:iCs/>
      <w:color w:val="667085"/>
      <w:spacing w:val="15"/>
      <w:sz w:val="28"/>
      <w:szCs w:val="24"/>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7365D"/>
      <w:spacing w:val="5"/>
      <w:kern w:val="28"/>
      <w:sz w:val="5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6551</Words>
  <Characters>9960</Characters>
  <Lines>0</Lines>
  <Paragraphs>0</Paragraphs>
  <TotalTime>1197</TotalTime>
  <ScaleCrop>false</ScaleCrop>
  <LinksUpToDate>false</LinksUpToDate>
  <CharactersWithSpaces>10366</CharactersWithSpaces>
  <Application>WPS Office_12.1.0.28792_F1E327BC-269C-435d-A152-05C5408002CA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程乐超</dc:creator>
  <dc:description>Research proposal draft</dc:description>
  <cp:keywords>ConVerSeg, On-Policy Distillation, Conversational Image Segmentation, DL-OPD</cp:keywords>
  <cp:lastModifiedBy>园长桐三岁</cp:lastModifiedBy>
  <dcterms:modified xsi:type="dcterms:W3CDTF">2026-09-23T08:05:37Z</dcterms:modified>
  <dc:subject>Dual-Level On-Policy Distillation for Conversational Image Segmentation</dc:subject>
  <dc:title>双层OPD驱动的会话式图像分割研究Proposal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2052-12.1.0.28792</vt:lpwstr>
  </property>
  <property fmtid="{D5CDD505-2E9C-101B-9397-08002B2CF9AE}" pid="3" name="ICV">
    <vt:lpwstr>EE7AA10B5C524CF492B1BA5D40BD889E_13</vt:lpwstr>
  </property>
  <property fmtid="{D5CDD505-2E9C-101B-9397-08002B2CF9AE}" pid="4" name="KSOTemplateDocerSaveRecord">
    <vt:lpwstr>eyJoZGlkIjoiZjFmZWIzNDg2MmIzZjExOTIzMmViNTBmYTMwYTk0ZWYiLCJ1c2VySWQiOiI0Mzc2NTEzMzkifQ==</vt:lpwstr>
  </property>
</Properties>
</file>