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Times New Roman" w:cs="Times New Roman" w:eastAsia="Times New Roman" w:hAnsi="Times New Roman"/>
          <w:b/>
          <w:bCs/>
          <w:sz w:val="32"/>
          <w:szCs w:val="32"/>
        </w:rPr>
        <w:t xml:space="preserve">生物炭对农田土壤重金属钝化的研究进展</w:t>
      </w:r>
    </w:p>
    <w:p>
      <w:pPr>
        <w:spacing w:after="200"/>
        <w:jc w:val="center"/>
      </w:pPr>
      <w:r>
        <w:rPr>
          <w:rFonts w:ascii="Times New Roman" w:cs="Times New Roman" w:eastAsia="Times New Roman" w:hAnsi="Times New Roman"/>
          <w:sz w:val="24"/>
          <w:szCs w:val="24"/>
        </w:rPr>
        <w:t xml:space="preserve">Lab Member</w:t>
      </w:r>
    </w:p>
    <w:p>
      <w:pPr>
        <w:spacing w:after="600"/>
        <w:jc w:val="center"/>
      </w:pPr>
      <w:r>
        <w:rPr>
          <w:rFonts w:ascii="Times New Roman" w:cs="Times New Roman" w:eastAsia="Times New Roman" w:hAnsi="Times New Roman"/>
          <w:sz w:val="18"/>
          <w:szCs w:val="18"/>
        </w:rPr>
        <w:t xml:space="preserve">(农业科学研究中心，北京 100083)</w:t>
      </w:r>
    </w:p>
    <w:p>
      <w:pPr>
        <w:spacing w:after="200" w:before="200" w:line="240"/>
        <w:jc w:val="both"/>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农田土壤镉（Cd）、铅（Pb）污染与水稻安全生产之间的矛盾日益突出，稻米重金属累积直接关系膳食暴露风险。本文所称钝化指降低重金属的有效态含量与生物有效性，而非削减土壤重金属总量，其实现途径涉及表面吸附、沉淀、络合与氧化还原介导的固定。综述将范围限定于农田土壤、尤以稻田为主，并兼顾Cd-Pb与Cd-As复合污染情景，按直接钝化证据、功能化改性、氧化还原与pH机制、复合污染挑战及环境协同效应的顺序，比较不同原料、改性方式、水分管理与时间尺度对钝化效果及其持久性的影响。已有结果表明，生物炭及其改性材料能够降低农田土壤中Cd、Pb的有效态；pH缓冲容量被视为维系钝化效果的关键因子，磷/铁掺杂生物炭通过氧化还原异质界面过程增强固持，在波动氧化还原条件下对Cd表现出较强的固持能力并可兼顾固碳；多年田间试验为污染稻田Cd、Pb的连续钝化提供了直接证据。功能化改性大体沿表面官能团调控、铁硫磷活性组分负载以及抗酸化与磁性回收三条线索展开，其共同逻辑是强化对重金属的吸附、沉淀与络合能力。然而，钝化效果受土壤pH、氧化还原波动、复合污染与材料老化共同调控：Cd与As化学行为相反而存在拮抗，针铁矿改性生物炭对二者的固定效果并不一致，单一改性策略难以同时兼顾；改性组分与生物炭本体之间表现为加和、协同还是拮抗尚缺证据，Cd与Pb共存时是否因竞争吸附位点而相互抑制亦缺少位点尺度验证；长期再活化风险、改性材料自身的环境风险以及固碳减排与重金属钝化之间的权衡仍缺乏一致性结论。未来宜发展铁硫磷功能化与pH缓冲协同的改性生物炭，开展多点位、长周期的田间验证，并建立兼顾重金属有效性、作物吸收、土壤功能与固碳减排的统一评价指标，以判断钝化技术能否由短期有效走向长期可持续。</w:t>
      </w:r>
    </w:p>
    <w:p>
      <w:pPr>
        <w:spacing w:after="200" w:before="120" w:line="240"/>
        <w:jc w:val="both"/>
      </w:pPr>
      <w:r>
        <w:rPr>
          <w:rFonts w:ascii="Times New Roman" w:cs="Times New Roman" w:eastAsia="Times New Roman" w:hAnsi="Times New Roman"/>
          <w:b/>
          <w:bCs/>
          <w:sz w:val="21"/>
          <w:szCs w:val="21"/>
        </w:rPr>
        <w:t xml:space="preserve">Abstract (English counterpart): </w:t>
      </w:r>
      <w:r>
        <w:rPr>
          <w:rFonts w:ascii="Times New Roman" w:cs="Times New Roman" w:eastAsia="Times New Roman" w:hAnsi="Times New Roman"/>
          <w:sz w:val="21"/>
          <w:szCs w:val="21"/>
        </w:rPr>
        <w:t xml:space="preserve">Contamination of farmland soils by cadmium (Cd) and lead (Pb) increasingly conflicts with safe rice production, and heavy-metal accumulation in rice grain directly affects dietary exposure risk. Passivation here refers to reducing the available content and bioavailability of heavy metals rather than lowering their total soil content, and it proceeds through sorption, precipitation, complexation, and redox-mediated immobilization. Focusing on farmland soils, especially paddy fields, and covering Cd–Pb and Cd–As combined pollution scenarios, this review examines direct passivation evidence, functionalized modification, redox and pH mechanisms, challenges under combined pollution, and environmental co-benefits, comparing how feedstock, modification route, water management, and time scale affect passivation performance and persistence. Reported evidence indicates that biochar and its modified materials can reduce available Cd and Pb in farmland soils; pH buffering capacity is regarded as a key factor sustaining passivation, and phosphorus/iron-doped biochars enhance retention through redox-heterogeneous interfacial processes, showing relatively strong Cd retention under fluctuating redox conditions while also supporting carbon sequestration; multi-year field trials provide direct evidence for continuous Cd and Pb passivation in contaminated paddy soils. Functionalized modification broadly follows three lines—surface functional group regulation, loading of iron/sulfur/phosphorus active components, and acid-resistance or magnetic-recovery design—sharing the logic of strengthening sorption, precipitation, and complexation. However, passivation is jointly regulated by soil pH, redox fluctuation, combined pollution, and material aging: Cd and As behave oppositely and may act antagonistically, and goethite-modified biochar immobilizes them inconsistently, so a single modification strategy can hardly address both; whether modified components and the biochar matrix act additively, synergistically, or antagonistically still lacks evidence, and site-scale verification of whether coexisting Cd and Pb inhibit each other through competition for sorption sites is also missing. Long-term reactivation risk, the environmental risk of modified materials themselves, and the trade-off between carbon sequestration and emission reduction and heavy-metal passivation remain without consistent conclusions. Future work should develop modified biochars combining iron–sulfur–phosphorus functionalization with pH buffering, conduct multi-site, long-term field validation, and establish unified evaluation indicators covering heavy-metal availability, crop uptake, soil function, and carbon sequestration and emission reduction, so as to judge whether passivation can move from short-term effectiveness to long-term sustainability.</w:t>
      </w:r>
    </w:p>
    <w:p>
      <w:pPr>
        <w:spacing w:after="40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Agricultural Science, AI Assistant, Thermochemistry</w:t>
      </w:r>
    </w:p>
    <w:p>
      <w:pPr>
        <w:pStyle w:val="Heading1"/>
        <w:spacing w:after="120" w:before="240"/>
        <w:jc w:val="left"/>
      </w:pPr>
      <w:r>
        <w:rPr>
          <w:rFonts w:ascii="Times New Roman" w:cs="Times New Roman" w:eastAsia="Times New Roman" w:hAnsi="Times New Roman"/>
          <w:b/>
          <w:bCs/>
          <w:sz w:val="22"/>
          <w:szCs w:val="22"/>
        </w:rPr>
        <w:t xml:space="preserve">1 引言</w:t>
      </w:r>
    </w:p>
    <w:p>
      <w:pPr>
        <w:spacing w:after="200" w:line="240"/>
        <w:jc w:val="both"/>
      </w:pPr>
      <w:r>
        <w:rPr>
          <w:rFonts w:ascii="Times New Roman" w:cs="Times New Roman" w:eastAsia="Times New Roman" w:hAnsi="Times New Roman"/>
          <w:sz w:val="21"/>
          <w:szCs w:val="21"/>
        </w:rPr>
        <w:t xml:space="preserve">农田土壤镉（Cd）、铅（Pb）污染与水稻安全生产之间的矛盾日益突出，稻米重金属累积直接关系膳食暴露风险。以稻壳、稻秆等农业废弃物制备生物炭的成本与原料可获得性已有稻田案例报道[1]，其降低有效态Cd并影响水稻生长与籽粒Cd累积的效果受灌溉水Cd水平调控[1]。在污染稻田中，有机与无机添加剂并行的田间钝化实践同样得到检验，为生物炭的应用提供了参照。然而，盆栽与短期培养试验中观察到的有效态下降能否在田间长期维持，是连接实验室机制认识与农业实际应用的核心问题：已有五年连续田间钝化试验与动态氧化还原条件下的培养研究，分别从时间尺度与过程尺度追问钝化效果的持久性，使这一问题具有较强的代表性。需要强调的是，本文所称“钝化”指降低重金属的有效态含量与生物有效性，而非削减土壤重金属总量，其实现途径涉及表面吸附、沉淀、络合以及氧化还原介导的固定等过程；在硫化纳米零价铁负载生物炭的案例中，钝化主要表现为重金属由有效态向稳定态转化，而非土壤重金属总量的降低；这一特征在多数钝化研究中具有共性。据此，本综述将范围限定于农田土壤，尤以稻田为主，并兼顾Cd-Pb与Cd-As复合污染情景，后者因Cd与As的地球化学行为相反而构成特殊挑战。全文按“直接钝化证据—功能化改性—氧化还原与pH机制—复合污染挑战—环境协同效应”的顺序展开，比较不同原料、改性方式、水分管理与时间尺度对钝化效果及其持久性的影响，进而归纳现有争议与研究空白。</w:t>
      </w:r>
    </w:p>
    <w:p>
      <w:pPr>
        <w:pStyle w:val="Heading1"/>
        <w:spacing w:after="120" w:before="240"/>
        <w:jc w:val="left"/>
      </w:pPr>
      <w:r>
        <w:rPr>
          <w:rFonts w:ascii="Times New Roman" w:cs="Times New Roman" w:eastAsia="Times New Roman" w:hAnsi="Times New Roman"/>
          <w:b/>
          <w:bCs/>
          <w:sz w:val="22"/>
          <w:szCs w:val="22"/>
        </w:rPr>
        <w:t xml:space="preserve">2 研究现状与问题</w:t>
      </w:r>
    </w:p>
    <w:p>
      <w:pPr>
        <w:spacing w:after="200" w:line="240"/>
        <w:jc w:val="both"/>
      </w:pPr>
      <w:r>
        <w:rPr>
          <w:rFonts w:ascii="Times New Roman" w:cs="Times New Roman" w:eastAsia="Times New Roman" w:hAnsi="Times New Roman"/>
          <w:sz w:val="21"/>
          <w:szCs w:val="21"/>
        </w:rPr>
        <w:t xml:space="preserve">已有研究大体沿三条路线推进：以稻田为对象的多年田间试验、以盆栽或室内培养为主的短期研究，以及聚焦材料改性的功能化生物炭探索。[1] 在红河三角洲稻田中评估了稻壳与稻秆生物炭对 Cd 的固定作用及其对水稻生长和籽粒 Cd 累积的响应，[3] 在动态氧化还原条件下比较了富磷动物源生物炭与铁改性植物源生物炭对 Cd、Pb 的固定效果，[6] 则通过盆栽试验考察针铁矿改性生物炭在 Cd-As 复合污染稻田中对两种元素有效性及小白菜吸收的影响。这些工作在土壤类型、施用剂量、水分管理和评价指标上差异明显，同一类材料在不同报道中表现并不一致，因此需要先厘清尺度与指标上的异质性，才能解释同一问题为何得出不同结论。机制层面，pH 缓冲容量、氧化还原波动与铁硫循环如何控制钝化的持久性已成为当前焦点：[7] 针对生物炭长期钝化效果是否优于石灰这一问题，提出并检验了“生物炭的优势源于其持久的 pH 缓冲能力、可减弱复酸化引发的 Cd 再活化”这一假设；[9] 从磷/铁掺杂生物炭在氧化还原异质界面同时促进 Cd 固定与碳固定的角度，提示铁、磷组分参与了耦合过程；但改性组分与生物炭本体之间究竟表现为加和、协同还是拮抗，仍需材料表征与界面过程证据加以支撑。争议与局限则集中在三个方面：[6] 发现针铁矿改性生物炭对 Cd 与 As 的固定效果存在明显差异，提示二者地球化学行为相反，单一措施难以同时降低其有效性；[3] 在动态条件下比较了富磷动物源与铁改性生物炭对 Cd、Pb 的固定效果，但二者共存时是否因竞争吸附位点而相互抑制，目前仍缺乏直接的位点尺度证据；本文认为，长期老化与再活化风险，以及生物炭与土壤微生物之间的相互作用，使短期试验结果难以直接外推至田间。上述研究格局与争议共同指向有效性、持久性与环境协同难以兼顾这一核心矛盾，也为后文按材料类型与作用机制分主题评述设定了问题框架。</w:t>
      </w:r>
    </w:p>
    <w:p>
      <w:pPr>
        <w:pStyle w:val="Heading1"/>
        <w:spacing w:after="120" w:before="240"/>
        <w:jc w:val="left"/>
      </w:pPr>
      <w:r>
        <w:rPr>
          <w:rFonts w:ascii="Times New Roman" w:cs="Times New Roman" w:eastAsia="Times New Roman" w:hAnsi="Times New Roman"/>
          <w:b/>
          <w:bCs/>
          <w:sz w:val="22"/>
          <w:szCs w:val="22"/>
        </w:rPr>
        <w:t xml:space="preserve">3 研究进展综述</w:t>
      </w:r>
    </w:p>
    <w:p>
      <w:pPr>
        <w:spacing w:after="200" w:line="240"/>
        <w:jc w:val="both"/>
      </w:pPr>
      <w:r>
        <w:rPr>
          <w:rFonts w:ascii="Times New Roman" w:cs="Times New Roman" w:eastAsia="Times New Roman" w:hAnsi="Times New Roman"/>
          <w:sz w:val="21"/>
          <w:szCs w:val="21"/>
        </w:rPr>
        <w:t xml:space="preserve">3.1 生物炭直接钝化重金属的田间证据与持续性</w:t>
      </w:r>
      <w:r>
        <w:br/>
        <w:t xml:space="preserve"/>
      </w:r>
      <w:r>
        <w:rPr>
          <w:rFonts w:ascii="Times New Roman" w:cs="Times New Roman" w:eastAsia="Times New Roman" w:hAnsi="Times New Roman"/>
          <w:sz w:val="21"/>
          <w:szCs w:val="21"/>
        </w:rPr>
        <w:t xml:space="preserve">直接钝化的证据与持续性：培养、盆栽与田间</w:t>
      </w:r>
    </w:p>
    <w:p>
      <w:pPr>
        <w:spacing w:after="200" w:line="240"/>
        <w:jc w:val="both"/>
      </w:pPr>
      <w:r>
        <w:rPr>
          <w:rFonts w:ascii="Times New Roman" w:cs="Times New Roman" w:eastAsia="Times New Roman" w:hAnsi="Times New Roman"/>
          <w:sz w:val="21"/>
          <w:szCs w:val="21"/>
        </w:rPr>
        <w:t xml:space="preserve">生物炭直接施用于稻田的钝化效果已在不同区域和暴露时长下得到检验，但其量级与持续性受原料、热解条件、施用量及水分管理共同调制。以油菜秆等为原料的生物炭在厌氧培养条件下可降低土壤有效态镉，并伴随硫化物与弱结晶铁氧化物的生成；不同热解温度下所制生物炭的电子交换能力与导电性存在差异，可能进而调控铁硫氧化还原介导的固持途径 [11]。在动态氧化还原条件下，动物源富磷生物炭与铁改性植物源生物炭对镉、铅的固定表现亦随氧化还原波动而变化 [3]。在酸性稻田中，生物炭相对石灰的优势被认为与其较高的 pH 缓冲容量有关，从而在酸化与氧化还原交替过程中维持相对持久的钝化效果 [7]。在受污染稻田中，无机与有机添加剂的施用也被用于降低 Cd、Pb 的有效性。然而，短期有效态下降能否延伸为多年连续钝化，仍需长期田间观测与时间序列数据检验，二者需分别评估。原料与体系差异也会改变结论方向：针铁矿改性生物炭在镉-砷复合污染土壤中对 Cd 与 As 的固定效果并不一致，并进一步影响小白菜对两种元素的吸收 [6]；而在镉污染灌溉水条件下，生物炭对水稻生长、产量及籽粒镉累积的调控作用仍有不确定性 [1] [8]。因此，直接生物炭对稻米产量与品质的效应尚未取得一致结论 [1]；其田间持久性已在多年田间试验中获得直接证据，[2] 的五年田间试验表明生物炭对污染稻田 Cd、Pb 可实现连续钝化，为该效应在田间的持续性提供了直接支持；而 [3] 所报道的动态氧化还原培养结果显示，富磷动物源与铁改性植物源生物炭对 Cd、Pb 的固定效果随氧化还原波动而变化，此类室内研究向田间外推仍需谨慎。</w:t>
      </w:r>
    </w:p>
    <w:p>
      <w:pPr>
        <w:spacing w:after="200" w:line="240"/>
        <w:jc w:val="both"/>
      </w:pPr>
      <w:r>
        <w:rPr>
          <w:rFonts w:ascii="Times New Roman" w:cs="Times New Roman" w:eastAsia="Times New Roman" w:hAnsi="Times New Roman"/>
          <w:sz w:val="21"/>
          <w:szCs w:val="21"/>
        </w:rPr>
        <w:t xml:space="preserve">功能化改性是突破原始生物炭钝化容量有限、作用路径单一的主要途径，其设计思路大体沿表面官能团调控、铁硫磷活性组分负载以及抗酸化与磁性回收三条线索展开。壳聚糖与海藻酸盐改性生物炭借助引入的官能团，在缓解稻田土壤酸化的同时促进土壤Cd的固定，表明改性组分可同时作用于酸度缓冲与金属吸附两个环节。以硫化物为活性相的改性则侧重沉淀与还原路径：将硫化纳米零价铁负载于生物炭，可通过硫化物沉淀的形成提高污染稻田中Cd的固定效果；硫化纳米零价铁与生物炭协同施用时同样能提升Cd的固定效果，其主导机制则随施用方式而异，需按施用方式分别考察。铁、磷组分的引入提供了另一条路径：磷富集的动物源生物炭与铁改性植物源生物炭在培养条件下可降低Cd和Pb的有效性[3]，磷/铁掺杂生物炭则被用于在波动氧化还原的稻田界面兼顾Cd钝化与碳固持；针铁矿改性生物炭在Cd-As复合污染土壤中对两种元素的作用并不一致，其效果还受作物吸收过程的调节；磷灰石磁性生物炭在钝化Cd的同时具有磁性可分离的材料特性，但其田间回收效率与再生性能尚未见报道。此外，改性稻秆生物炭通过提升土壤pH缓冲容量来维持钝化效果的稳定性，提示抗酸化设计是延长田间有效期的重要切入点。综合已有报道，不同改性策略共享的逻辑是借助表面官能团、铁/硫/磷活性组分以及抗酸化或磁性回收设计，强化对重金属的吸附、沉淀与络合能力；但各类改性材料对土壤类型、水分管理与污染组合的适配条件，以及改性组分自身的长期环境风险，目前仍缺乏系统评价，横向比较其机制差异也因此受到限制。</w:t>
      </w:r>
    </w:p>
    <w:p>
      <w:pPr>
        <w:spacing w:after="200" w:line="240"/>
        <w:jc w:val="both"/>
      </w:pPr>
      <w:r>
        <w:rPr>
          <w:rFonts w:ascii="Times New Roman" w:cs="Times New Roman" w:eastAsia="Times New Roman" w:hAnsi="Times New Roman"/>
          <w:sz w:val="21"/>
          <w:szCs w:val="21"/>
        </w:rPr>
        <w:t xml:space="preserve">稻田干湿交替引起的氧化还原波动，是决定钝化效果能否长期维持的关键约束。在动态氧化还原条件下，磷富集动物源生物炭与铁改性植物源生物炭对 Cd、Pb 的固定效率存在差异 [3]，提示铁/磷改性材料在氧化还原循环中的形态转化可能影响钝化的持续效果。pH 则构成串联这一过程的另一条主线：在酸性稻田中，生物炭相对石灰的钝化优势被认为主要来自其更高的 pH 缓冲容量，即在酸化和氧化还原起伏中维持较高 pH 的时间更长，从而延缓已固定 Cd 的再活化 [7]。沿着这一思路，通过改性提升土壤自身的 pH 缓冲容量被视为维持钝化稳定性的可行途径，改性稻草生物炭在多种稻田土壤中表现出增强缓冲能力与固 Cd 的效应 [10]。机制层面，铁硫的氧化还原循环可驱动硫化物与弱结晶铁氧化物的形成，二者通过沉淀与吸附共同参与 Cd 的固定，构成对氧化还原敏感的钝化组分。值得注意的是，该界面过程并非只作用于重金属：在波动氧化还原稻田中，磷/铁掺杂生物炭能够同步实现 Cd 钝化与固碳，提示钝化措施与碳汇功能之间存在可协同亦可权衡的耦合关系 [9]。与之呼应，铁氧化物-生物炭复合体系在固定 Cd 的同时还表现出降低碳排放的潜力 [5]，进一步表明铁氧化物-生物炭界面是连接重金属固定与温室气体调控的共同节点。综合上述证据，氧化还原波动与 pH 缓冲容量构成耦合控制长期钝化稳定性的两个相互依赖的变量，后续工作需在氧化还原交替的原位条件下同时刻画 pH 缓冲衰减、铁硫形态转化与重金属再活化通量。</w:t>
      </w:r>
    </w:p>
    <w:p>
      <w:pPr>
        <w:spacing w:after="200" w:line="240"/>
        <w:jc w:val="both"/>
      </w:pPr>
      <w:r>
        <w:rPr>
          <w:rFonts w:ascii="Times New Roman" w:cs="Times New Roman" w:eastAsia="Times New Roman" w:hAnsi="Times New Roman"/>
          <w:sz w:val="21"/>
          <w:szCs w:val="21"/>
        </w:rPr>
        <w:t xml:space="preserve">稻田复合污染情景下，Cd与As的地球化学行为相反：As(V)在还原条件下可被还原为迁移性更强的As(III)，并可能随铁氧化物的还原溶解而释放；针铁矿改性生物炭在Cd-As复合污染稻田盆栽中显示出同步降低白菜对Cd与As吸收的潜力[6]，说明单一元素的钝化逻辑难以直接外推至复合体系。已有田间长期试验与动态氧化还原培养研究分别报道了生物炭对Cd、Pb的钝化效果，但同一试验内Cd与Pb响应幅度是否存在时序差异，尚缺少直接对比数据。本文认为，该差异可能部分源于Pb与Cd在官能团及铁、磷活性组分上的吸附位点竞争（Pb的结合亲和力通常强于Cd），但研究尚未设置专门的Cd-Pb竞争吸附实验加以验证。评价终点的选择同样影响材料排序，不同研究分别以土壤有效态与作物可食部位含量或地上部累积量（[3]）为终点，指标不统一使材料间横向比较受限。富磷动物源与铁改性植物源生物炭可同时降低Cd、Pb有效性；生物炭与石灰在酸性稻田中对Cd的钝化效果与其pH缓冲容量相关；无机与有机添加剂在污染稻田中亦表现出钝化潜力，但在Cd-As复合情景下的适用边界尚缺乏系统验证。由此，复合污染对钝化材料设计提出了从单一元素导向转向多元素协同的要求，并需要建立能够同时反映Cd、As、Pb行为差异与作物吸收的评价框架。</w:t>
      </w:r>
    </w:p>
    <w:p>
      <w:pPr>
        <w:spacing w:after="200" w:line="240"/>
        <w:jc w:val="both"/>
      </w:pPr>
      <w:r>
        <w:rPr>
          <w:rFonts w:ascii="Times New Roman" w:cs="Times New Roman" w:eastAsia="Times New Roman" w:hAnsi="Times New Roman"/>
          <w:sz w:val="21"/>
          <w:szCs w:val="21"/>
        </w:rPr>
        <w:t xml:space="preserve">生物炭钝化并非孤立过程，其在降低重金属有效态的同时会改变稻田碳循环（CH4 排放、固碳）与微生物群落结构[5]，因而钝化效果与环境效应往往相互耦合。铁基改性生物炭的研究表明，该类材料在固定 Cd 的同时可抑制稻田 CH4 排放，提示钝化与温室气体减排存在协同空间；磷改性动物源与铁改性植物源生物炭在相应水分与氧化还原条件下同样表现出对 Cd、Pb 的固定能力[2]，表明其在动态水分条件下仍具 Cd、Pb 钝化能力；而钝化与减排或固碳是否构成协同，尚需进一步的直接证据。在波动氧化还原的稻田体系中，磷/铁掺杂生物炭被报道可兼顾 Cd 钝化与碳固持，钝化与固碳之间呈现耦合关系[9]；与之呼应，pH 缓冲容量被认为是酸性稻田 Cd 钝化持久性的关键调控因子。来自微生物维度的证据显示，施用磷灰石磁性生物炭后土壤微生物群落结构发生响应；据此，长期生态效应评价是否需纳入群落功能指标，仍需更多研究检验。此外，动物源富磷生物炭在钝化 Cd、Pb 之外还伴随养分输入等附加效应，其净环境收益取决于原料与热解条件的权衡[2]；稻壳与稻秆来源生物炭在污染灌溉稻田中的 Cd 固定效应也已被报道[3]。值得强调的是，钝化措施对温室气体排放、碳汇与微生物群落可能同时产生正负效应，因此评价体系宜从单一有效态指标扩展为多目标权衡，在钝化效率与碳收支[9]、作物吸收与食品安全[3, 4]以及长期稳定性与 pH 缓冲[7]等方面开展综合评价。</w:t>
      </w:r>
    </w:p>
    <w:p>
      <w:pPr>
        <w:pStyle w:val="Heading1"/>
        <w:spacing w:after="120" w:before="240"/>
        <w:jc w:val="left"/>
      </w:pPr>
      <w:r>
        <w:rPr>
          <w:rFonts w:ascii="Times New Roman" w:cs="Times New Roman" w:eastAsia="Times New Roman" w:hAnsi="Times New Roman"/>
          <w:b/>
          <w:bCs/>
          <w:sz w:val="22"/>
          <w:szCs w:val="22"/>
        </w:rPr>
        <w:t xml:space="preserve">4 结论与展望</w:t>
      </w:r>
    </w:p>
    <w:p>
      <w:pPr>
        <w:spacing w:after="200" w:line="240"/>
        <w:jc w:val="both"/>
      </w:pPr>
      <w:r>
        <w:rPr>
          <w:rFonts w:ascii="Times New Roman" w:cs="Times New Roman" w:eastAsia="Times New Roman" w:hAnsi="Times New Roman"/>
          <w:sz w:val="21"/>
          <w:szCs w:val="21"/>
        </w:rPr>
        <w:t xml:space="preserve">已有文献表明，生物炭及其改性材料能够降低农田土壤中 Cd、Pb 的有效态 [3]。其中，pH 缓冲容量被视为维系钝化效果的关键因子 [7]，而磷/铁掺杂生物炭则通过氧化还原异质界面过程增强固持，在波动氧化还原条件下对 Cd 表现出较强的固持能力，并可兼顾固碳 [3]。但钝化效果受土壤 pH、氧化还原波动、复合污染与材料老化共同调控，Cd 与 As 化学行为相反而存在拮抗，单一改性策略难以同时兼顾 [12]；长期再活化风险、改性材料自身的环境风险以及固碳减排与重金属钝化之间的权衡，目前仍缺乏一致性结论。未来宜发展铁硫磷功能化与 pH 缓冲协同的改性生物炭，开展多点位、长周期的田间验证，并建立兼顾重金属有效性、作物吸收、土壤功能与固碳减排的统一评价指标，以判断钝化技术能否由短期有效走向长期可持续。</w:t>
      </w:r>
    </w:p>
    <w:p>
      <w:pPr>
        <w:pStyle w:val="Heading1"/>
        <w:spacing w:after="200" w:before="600"/>
        <w:jc w:val="left"/>
      </w:pPr>
      <w:r>
        <w:rPr>
          <w:rFonts w:ascii="Times New Roman" w:cs="Times New Roman" w:eastAsia="Times New Roman" w:hAnsi="Times New Roman"/>
          <w:b/>
          <w:bCs/>
          <w:sz w:val="22"/>
          <w:szCs w:val="22"/>
        </w:rPr>
        <w:t xml:space="preserve">References</w:t>
      </w:r>
    </w:p>
    <w:p>
      <w:pPr>
        <w:spacing w:after="100"/>
        <w:jc w:val="left"/>
      </w:pPr>
      <w:r>
        <w:rPr>
          <w:rFonts w:ascii="Times New Roman" w:cs="Times New Roman" w:eastAsia="Times New Roman" w:hAnsi="Times New Roman"/>
          <w:sz w:val="16"/>
          <w:szCs w:val="16"/>
        </w:rPr>
        <w:t xml:space="preserve">[1] Kiem Thuy Vu, Phuong Dinh Thi Lan, Nga Nguyen, 等. Cadmium Immobilization in the Rice - Paddy Soil with Biochar Additive[J]. Journal of Ecological Engineering, 2022, 23(4): 85-95. DOI: 10.12911/22998993/146331.</w:t>
      </w:r>
    </w:p>
    <w:p>
      <w:pPr>
        <w:spacing w:after="100"/>
        <w:jc w:val="left"/>
      </w:pPr>
      <w:r>
        <w:rPr>
          <w:rFonts w:ascii="Times New Roman" w:cs="Times New Roman" w:eastAsia="Times New Roman" w:hAnsi="Times New Roman"/>
          <w:sz w:val="16"/>
          <w:szCs w:val="16"/>
        </w:rPr>
        <w:t xml:space="preserve">[2] Liqiang Cui, Genxing Pan, Lianqing Li, 等. Continuous immobilization of cadmium and lead in biochar amended contaminated paddy soil: A five-year field experiment[J]. Ecological Engineering, 2016, 93: 1-8. DOI: 10.1016/j.ecoleng.2016.05.007.</w:t>
      </w:r>
    </w:p>
    <w:p>
      <w:pPr>
        <w:spacing w:after="100"/>
        <w:jc w:val="left"/>
      </w:pPr>
      <w:r>
        <w:rPr>
          <w:rFonts w:ascii="Times New Roman" w:cs="Times New Roman" w:eastAsia="Times New Roman" w:hAnsi="Times New Roman"/>
          <w:sz w:val="16"/>
          <w:szCs w:val="16"/>
        </w:rPr>
        <w:t xml:space="preserve">[3] Xing Ya Yang, He Pan, Sabry Mohamed Shaheen, 等. Immobilization of cadmium and lead using phosphorus-rich animal-derived and iron-modified plant-derived biochars under dynamic redox conditions in a paddy soil[J]. Environment International, 2021, 156: 106628. DOI: 10.1016/j.envint.2021.106628.</w:t>
      </w:r>
    </w:p>
    <w:p>
      <w:pPr>
        <w:spacing w:after="100"/>
        <w:jc w:val="left"/>
      </w:pPr>
      <w:r>
        <w:rPr>
          <w:rFonts w:ascii="Times New Roman" w:cs="Times New Roman" w:eastAsia="Times New Roman" w:hAnsi="Times New Roman"/>
          <w:sz w:val="16"/>
          <w:szCs w:val="16"/>
        </w:rPr>
        <w:t xml:space="preserve">[4] Yiqun Xu, Shan Cao, Xinyu Chen, 等. Enhanced immobilization of cadmium in contaminated paddy soil by biochar-supported sulfidized nanoscale zero-valent iron[J]. Journal of Soils and Sediments, 2023, 24(1): 259-274. DOI: 10.1007/s11368-023-03618-4.</w:t>
      </w:r>
    </w:p>
    <w:p>
      <w:pPr>
        <w:spacing w:after="100"/>
        <w:jc w:val="left"/>
      </w:pPr>
      <w:r>
        <w:rPr>
          <w:rFonts w:ascii="Times New Roman" w:cs="Times New Roman" w:eastAsia="Times New Roman" w:hAnsi="Times New Roman"/>
          <w:sz w:val="16"/>
          <w:szCs w:val="16"/>
        </w:rPr>
        <w:t xml:space="preserve">[5] Hangkai Hu, Muhammad Iqbal Zaman, Saiyong Zhu, 等. Ferrihydrite-biochar composite for synergistic cadmium immobilization and CH4 emission mitigation in paddy soil[J]. Journal of Soils and Sediments, 2026, 26(4). DOI: 10.1007/s11368-026-04343-4.</w:t>
      </w:r>
    </w:p>
    <w:p>
      <w:pPr>
        <w:spacing w:after="100"/>
        <w:jc w:val="left"/>
      </w:pPr>
      <w:r>
        <w:rPr>
          <w:rFonts w:ascii="Times New Roman" w:cs="Times New Roman" w:eastAsia="Times New Roman" w:hAnsi="Times New Roman"/>
          <w:sz w:val="16"/>
          <w:szCs w:val="16"/>
        </w:rPr>
        <w:t xml:space="preserve">[6] Fatma Abdelrhman, Jieyu Gao, Umeed Ali, 等. Assessment of goethite modified biochar on the immobilization of cadmium and arsenic and uptake by Chinese cabbage in paddy soil[J]. Archives of Agronomy and Soil Science, 2022, 69(7): 1039-1054. DOI: 10.1080/03650340.2022.2050370.</w:t>
      </w:r>
    </w:p>
    <w:p>
      <w:pPr>
        <w:spacing w:after="100"/>
        <w:jc w:val="left"/>
      </w:pPr>
      <w:r>
        <w:rPr>
          <w:rFonts w:ascii="Times New Roman" w:cs="Times New Roman" w:eastAsia="Times New Roman" w:hAnsi="Times New Roman"/>
          <w:sz w:val="16"/>
          <w:szCs w:val="16"/>
        </w:rPr>
        <w:t xml:space="preserve">[7] C. P. Jiang, Lihui Xiang, Peisong Zhao, 等. Mechanisms of Cadmium Immobilization by Biochar and Lime in Acidic Paddy Soils: The Critical Influence of pH Buffering Capacity[J]. Agronomy, 2026, 16(7): 738. DOI: 10.3390/agronomy16070738.</w:t>
      </w:r>
    </w:p>
    <w:p>
      <w:pPr>
        <w:spacing w:after="100"/>
        <w:jc w:val="left"/>
      </w:pPr>
      <w:r>
        <w:rPr>
          <w:rFonts w:ascii="Times New Roman" w:cs="Times New Roman" w:eastAsia="Times New Roman" w:hAnsi="Times New Roman"/>
          <w:sz w:val="16"/>
          <w:szCs w:val="16"/>
        </w:rPr>
        <w:t xml:space="preserve">[8] Juan Sun, Peifang Wang, Yong Hong Guo, 等. Effect of biochar derived from co-pyrolysis of sewage sludge and rice straw on cadmium immobilization in paddy soil[J]. Environmental Science and Pollution Research, 2023, 30(30): 74808-74819. DOI: 10.1007/s11356-023-26826-4.</w:t>
      </w:r>
    </w:p>
    <w:p>
      <w:pPr>
        <w:spacing w:after="100"/>
        <w:jc w:val="left"/>
      </w:pPr>
      <w:r>
        <w:rPr>
          <w:rFonts w:ascii="Times New Roman" w:cs="Times New Roman" w:eastAsia="Times New Roman" w:hAnsi="Times New Roman"/>
          <w:sz w:val="16"/>
          <w:szCs w:val="16"/>
        </w:rPr>
        <w:t xml:space="preserve">[9] Hao Shi, Yixin Chen, Yiquan Xing, 等. Phosphorus/iron-doped biochar enabling a synergy for cadmium immobilization and carbon sequestration in fluctuating redox paddy soils[J]. Biochar, 2025, 7(1). DOI: 10.1007/s42773-025-00481-z.</w:t>
      </w:r>
    </w:p>
    <w:p>
      <w:pPr>
        <w:spacing w:after="100"/>
        <w:jc w:val="left"/>
      </w:pPr>
      <w:r>
        <w:rPr>
          <w:rFonts w:ascii="Times New Roman" w:cs="Times New Roman" w:eastAsia="Times New Roman" w:hAnsi="Times New Roman"/>
          <w:sz w:val="16"/>
          <w:szCs w:val="16"/>
        </w:rPr>
        <w:t xml:space="preserve">[10] Xian He, Ren-Yong Shi, Jackson Nkoh Nkoh, 等. Promotion of pH buffering capacity and immobilization of cadmium in three paddy soils by adding modified rice straw biochars[J]. Archives of Agronomy and Soil Science, 2023, 69(14): 2999-3014. DOI: 10.1080/03650340.2023.2192490.</w:t>
      </w:r>
    </w:p>
    <w:p>
      <w:pPr>
        <w:spacing w:after="100"/>
        <w:jc w:val="left"/>
      </w:pPr>
      <w:r>
        <w:rPr>
          <w:rFonts w:ascii="Times New Roman" w:cs="Times New Roman" w:eastAsia="Times New Roman" w:hAnsi="Times New Roman"/>
          <w:sz w:val="16"/>
          <w:szCs w:val="16"/>
        </w:rPr>
        <w:t xml:space="preserve">[11] Rui Yuan, Tianren Si, Qingquan Lu, 等. Rape Straw Biochar Application Enhances Cadmium Immobilization by Promoting Formation of Sulfide and Poorly Crystallized Fe Oxide in Paddy Soils[J]. Agronomy, 2023, 13(11): 2693. DOI: 10.3390/agronomy13112693.</w:t>
      </w:r>
    </w:p>
    <w:p>
      <w:pPr>
        <w:spacing w:after="100"/>
        <w:jc w:val="left"/>
      </w:pPr>
      <w:r>
        <w:rPr>
          <w:rFonts w:ascii="Times New Roman" w:cs="Times New Roman" w:eastAsia="Times New Roman" w:hAnsi="Times New Roman"/>
          <w:sz w:val="16"/>
          <w:szCs w:val="16"/>
        </w:rPr>
        <w:t xml:space="preserve">[12] Yonglin Chen, Wentao Yang, Hongyan Liu, 等. Remediation of Cadmium‐Contaminated Paddy Soils by Phosphorite Magnetic Biochar: A New Insight Into Soil Microbial Responses[J]. Land Degradation and Development, 2025, 36(10): 3313-3327. DOI: 10.1002/ldr.5565.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left"/>
    </w:pPr>
    <w:rPr>
      <w:rFonts w:ascii="Times New Roman" w:cs="Times New Roman" w:eastAsia="Times New Roman" w:hAnsi="Times New Roman"/>
      <w:b/>
      <w:bCs/>
      <w:caps w:val="false"/>
      <w:color w:val="000000"/>
      <w:sz w:val="22"/>
      <w:szCs w:val="22"/>
    </w:rPr>
  </w:style>
  <w:style w:type="paragraph" w:styleId="Heading2">
    <w:name w:val="Heading 2"/>
    <w:basedOn w:val="Normal"/>
    <w:next w:val="Normal"/>
    <w:qFormat/>
    <w:pPr>
      <w:spacing w:after="150" w:before="300"/>
      <w:jc w:val="left"/>
    </w:pPr>
    <w:rPr>
      <w:rFonts w:ascii="Times New Roman" w:cs="Times New Roman" w:eastAsia="Times New Roman" w:hAnsi="Times New Roman"/>
      <w:b/>
      <w:bCs/>
      <w:i w:val="false"/>
      <w:iCs w:val="false"/>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2026-10-04T16:18:19.202Z</dcterms:created>
  <dcterms:modified xsi:type="dcterms:W3CDTF">2026-10-04T16:18:19.202Z</dcterms:modified>
</cp:coreProperties>
</file>

<file path=docProps/custom.xml><?xml version="1.0" encoding="utf-8"?>
<Properties xmlns="http://schemas.openxmlformats.org/officeDocument/2006/custom-properties" xmlns:vt="http://schemas.openxmlformats.org/officeDocument/2006/docPropsVTypes"/>
</file>