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162235" w:val="clear"/>
          </w:tcPr>
          <w:p>
            <w:pPr>
              <w:spacing w:before="4596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P  A  R  A  M  E  T  E  R     M  A  N  U  A  L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趋势机器人参数说明书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自动开仓参数控制台 · 使用指南（短周期套利 v1）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适用算法：短周期套利 v1（short-swing-v1）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控制台入口：趋势交易页 · 头部「参数」按钮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适用账户：trend-auto-v1（纯模拟盘，与手动盘隔离）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文档版本：v1.1（2026-10-17 · 新增保证金比例参数与满仓封顶说明）</w:t>
            </w:r>
          </w:p>
          <w:p>
            <w:pPr>
              <w:spacing w:before="4596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币安热点雷达 · 趋势自动交易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2026-10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160" w:before="160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一、快速开始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">
            <w:r>
              <w:t xml:space="preserve">二、先懂原理再调参：入场链路与延迟拆解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">
            <w:r>
              <w:t xml:space="preserve">2.1 从异动到开仓的完整链路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4">
            <w:r>
              <w:t xml:space="preserve">2.2 「为什么等了 4 根 K 线」：以 ERA 为例的延迟拆解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5">
            <w:r>
              <w:t xml:space="preserve">2.3 两类旋钮：时机类与质量类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6">
            <w:r>
              <w:t xml:space="preserve">三、参数详解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7">
            <w:r>
              <w:t xml:space="preserve">3.1 评分下限（模式 A）（ENTRY_MIN_SCORE）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8">
            <w:r>
              <w:t xml:space="preserve">3.2 效率比下限（模式 A）（ENTRY_MIN_ER）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9">
            <w:r>
              <w:t xml:space="preserve">3.3 评分下限（模式 B）（NEUTRAL_MIN_SCORE）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0">
            <w:r>
              <w:t xml:space="preserve">3.4 效率比下限（模式 B）（NEUTRAL_MIN_ER）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1">
            <w:r>
              <w:t xml:space="preserve">3.5 等待下一根收盘K线二次确认（waitBarConfirm）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2">
            <w:r>
              <w:t xml:space="preserve">3.6 同周期再入场最小间隔（REENTRY_MIN_GAP_MS）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3">
            <w:r>
              <w:t xml:space="preserve">3.7 同周期最大开仓轮次（MAX_ROUNDS_PER_CYCLE）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4">
            <w:r>
              <w:t xml:space="preserve">3.8 走弱提前离场（WEAKNESS_EXIT_EARLY）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5">
            <w:r>
              <w:t xml:space="preserve">3.9 冲高幅度阈值（SPIKE_MOVE_PCT）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6">
            <w:r>
              <w:t xml:space="preserve">3.10 冲高检测窗口（SPIKE_WINDOW_MS）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7">
            <w:r>
              <w:t xml:space="preserve">3.11 最短持仓时间（SPIKE_MIN_HOLD_MS）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8">
            <w:r>
              <w:t xml:space="preserve">3.12 允许逆 5m 背景开仓（ALLOW_HTF_OPPOSED）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9">
            <w:r>
              <w:t xml:space="preserve">3.13 同币种平仓后冷却（cooldownMs）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0">
            <w:r>
              <w:t xml:space="preserve">3.14 每仓保证金比例（marginRatio）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1">
            <w:r>
              <w:t xml:space="preserve">四、常用调法参考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2">
            <w:r>
              <w:t xml:space="preserve">五、安全边界与纪律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3">
            <w:r>
              <w:t xml:space="preserve">附录：参数速查表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8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注：本目录由域代码生成。编辑后如需确保页码准确，请在目录上右键选择「更新域」。</w:t>
      </w:r>
    </w:p>
    <w:p>
      <w:pPr>
        <w:pStyle w:val="Heading1"/>
        <w:spacing w:after="160" w:before="360" w:line="312"/>
      </w:pPr>
      <w:bookmarkStart w:name="_Toc1" w:id="1"/>
      <w:r>
        <w:rPr>
          <w:rFonts w:ascii="Times New Roman" w:eastAsia="SimHei"/>
          <w:b/>
          <w:bCs/>
          <w:color w:val="0F2A3C"/>
          <w:sz w:val="32"/>
          <w:szCs w:val="32"/>
        </w:rPr>
        <w:t xml:space="preserve">一、快速开始</w:t>
      </w:r>
      <w:bookmarkEnd w:id="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参数控制台位于「趋势交易」页头部，是一枚标注为「参数」的按钮（若存在与代码默认不同的自定义值，按钮上会带一枚金色「改」角标）。点击后弹出「自动开仓参数控制台」窗口，全部可调参数按控制逻辑分为七组展示：入场门槛（模式 A / 模式 B）、入场时机、再入场与轮次、冲高套利、方向约束、节奏、仓位与资金。每个参数右侧是输入框或开关，下方灰字给出该参数的含义，再往下一行以「↕」开头说明调大、调小分别会发生什么。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修改方式很直接：数值参数在输入框内改数字（超出合法范围时输入框会变红，保存时服务端也会再次校验并拒绝），布尔参数用开关切换。点「保存并生效」后参数立即写入数据库并热应用到正在运行的机器人——不需要重启、不需要暂停，已经持有的仓位与轮次状态完全不受影响。如果某一处只想回到默认值，可以点该行右侧的「默认」按钮；想全部回到代码默认（评分门槛 45/55、二次确认开启、冷却 5 分钟、保证金比例 20%），点左下角「恢复全部默认」即可。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两点纪律需要预先说明。其一，输入框旁的「已自定义」徽标表示当前值与代码默认不同，便于一眼识别哪些参数被改过；保存时填写的全部值都会持久化，只有与默认不同的项才算自定义。其二，非法输入（例如评分填 999、冷却填负数、未知参数名）会在保存时被服务端拒绝并返回具体原因，例如「评分下限（ENTRY_MIN_SCORE）不能超过 100」——不会静默修正，也不会半途生效一半，因此看到报错时按提示改到合法范围再保存即可。</w:t>
      </w:r>
    </w:p>
    <w:p>
      <w:pPr>
        <w:pStyle w:val="Heading1"/>
        <w:spacing w:after="160" w:before="360" w:line="312"/>
      </w:pPr>
      <w:bookmarkStart w:name="_Toc2" w:id="2"/>
      <w:r>
        <w:rPr>
          <w:rFonts w:ascii="Times New Roman" w:eastAsia="SimHei"/>
          <w:b/>
          <w:bCs/>
          <w:color w:val="0F2A3C"/>
          <w:sz w:val="32"/>
          <w:szCs w:val="32"/>
        </w:rPr>
        <w:t xml:space="preserve">二、先懂原理再调参：入场链路与延迟拆解</w:t>
      </w:r>
      <w:bookmarkEnd w:id="2"/>
    </w:p>
    <w:p>
      <w:pPr>
        <w:pStyle w:val="Heading2"/>
        <w:spacing w:after="120" w:before="240" w:line="312"/>
      </w:pPr>
      <w:bookmarkStart w:name="_Toc3" w:id="3"/>
      <w:r>
        <w:rPr>
          <w:rFonts w:ascii="Times New Roman" w:eastAsia="SimHei"/>
          <w:b/>
          <w:bCs/>
          <w:color w:val="0F2A3C"/>
          <w:sz w:val="28"/>
          <w:szCs w:val="28"/>
        </w:rPr>
        <w:t xml:space="preserve">2.1 从异动到开仓的完整链路</w:t>
      </w:r>
      <w:bookmarkEnd w:id="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机器人的每一笔自动开仓都要依次经过五道环节。第一道是选币：异动候选池负责把值得关注的标的选进来（异动只用于筛选标的，向上异动还是向下异动不作为方向依据）。第二道是趋势确认：平台状态机要求 1m 周期上连续 3 根已收盘 K 线满足方向条件，才会把相位推进到「确认上涨 / 确认下跌」。第三道是策略门槛：短周期套利算法按 5m 背景把机会分成两个模式——5m 同向走「趋势波段」（模式 A），5m 震荡走「震荡选向」（模式 B），并用评分与效率比门槛决定要不要上车。第四道是待入场复核：默认开启时，策略想开仓后先记一条「待入场」，等下一根已收盘 K 线复核仍然达标才真正下单。第五道是执行守卫：容量、同币防御、资金测算、幂等校验全部通过后按标记价开仓。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理解这五道环节的意义在于：控制台里的每一个参数都只作用于其中某一环，而不会改变整个链路的结构。例如把评分门槛从 45 降到 40 影响的是第三道的通过率；关闭二次确认影响的是第四道的一根 K 线等待；而第二道的「3 根确认」属于平台状态机的固定设计，不在可调范围内——它保证了方向不是一根 K 线的噪声或插针，改掉它会让全部标的的确认语义同时变化。</w:t>
      </w:r>
    </w:p>
    <w:p>
      <w:pPr>
        <w:pStyle w:val="Heading2"/>
        <w:spacing w:after="120" w:before="240" w:line="312"/>
      </w:pPr>
      <w:bookmarkStart w:name="_Toc4" w:id="4"/>
      <w:r>
        <w:rPr>
          <w:rFonts w:ascii="Times New Roman" w:eastAsia="SimHei"/>
          <w:b/>
          <w:bCs/>
          <w:color w:val="0F2A3C"/>
          <w:sz w:val="28"/>
          <w:szCs w:val="28"/>
        </w:rPr>
        <w:t xml:space="preserve">2.2 「为什么等了 4 根 K 线」：以 ERA 为例的延迟拆解</w:t>
      </w:r>
      <w:bookmarkEnd w:id="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以一次典型入场为例（例如 ERA 的那笔交易）：假设价格从第 0 根 K 线开始走出方向，控制台各环节的耗时拆解如下表。可以看到，默认设置下从行情启动到真正开仓，通常落在第 4 根 K 线附近——这不是某一处出了问题，而是「3 根确认 + 1 根复核」的结构性代价，换来的是进场方向的可靠性。</w:t>
      </w:r>
    </w:p>
    <w:p>
      <w:pPr>
        <w:keepNext/>
        <w:spacing w:after="60" w:before="160" w:line="312"/>
      </w:pPr>
      <w:r>
        <w:rPr>
          <w:rFonts w:ascii="Times New Roman" w:eastAsia="SimHei"/>
          <w:b/>
          <w:bCs/>
          <w:color w:val="0F2A3C"/>
          <w:sz w:val="21"/>
          <w:szCs w:val="21"/>
        </w:rPr>
        <w:t xml:space="preserve">表 1  典型入场时序拆解（默认设置，1m 周期）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406"/>
        <w:gridCol w:w="2285"/>
        <w:gridCol w:w="5097"/>
      </w:tblGrid>
      <w:tr>
        <w:trPr>
          <w:cantSplit/>
          <w:tblHeader/>
        </w:trPr>
        <w:tc>
          <w:tcPr>
            <w:tcW w:type="pct" w:w="8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时点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环节</w:t>
            </w:r>
          </w:p>
        </w:tc>
        <w:tc>
          <w:tcPr>
            <w:tcW w:type="pct" w:w="29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第 0 根</w:t>
            </w:r>
          </w:p>
        </w:tc>
        <w:tc>
          <w:tcPr>
            <w:tcW w:type="pct" w:w="1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行情启动</w:t>
            </w:r>
          </w:p>
        </w:tc>
        <w:tc>
          <w:tcPr>
            <w:tcW w:type="pct" w:w="29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价格开始走出方向（肉眼可见的起点）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第 1-3 根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1m 趋势确认</w:t>
            </w:r>
          </w:p>
        </w:tc>
        <w:tc>
          <w:tcPr>
            <w:tcW w:type="pct" w:w="29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状态机要求连续 3 根已收盘 K 线满足条件，固定不可调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第 3 根内</w:t>
            </w:r>
          </w:p>
        </w:tc>
        <w:tc>
          <w:tcPr>
            <w:tcW w:type="pct" w:w="1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策略评估</w:t>
            </w:r>
          </w:p>
        </w:tc>
        <w:tc>
          <w:tcPr>
            <w:tcW w:type="pct" w:w="29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扫描粒度约 10 秒；评分/ER 达标则创建待入场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第 4 根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二次确认复核</w:t>
            </w:r>
          </w:p>
        </w:tc>
        <w:tc>
          <w:tcPr>
            <w:tcW w:type="pct" w:w="29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等待的新收盘 K 线达标 → 正式开仓（此环节可关）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第 4 根+</w:t>
            </w:r>
          </w:p>
        </w:tc>
        <w:tc>
          <w:tcPr>
            <w:tcW w:type="pct" w:w="1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最终入场</w:t>
            </w:r>
          </w:p>
        </w:tc>
        <w:tc>
          <w:tcPr>
            <w:tcW w:type="pct" w:w="29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关闭二次确认后可提前到第 3 根内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default">因此，控制台能把「第 4 根」提前到「第 3 根」的开关只有一个：入场时机组里的「等待下一根收盘K线二次确认」。把它关掉，策略达标当根就直接开仓，快约 1 根 K 线；代价是少了一层对单根噪声、插针的防护，假信号会直接进场。至于 3 根确认本身，属于平台为全部标的统一设定的防噪声底线，本版本不开放调节。</w:t>
      </w:r>
    </w:p>
    <w:p>
      <w:pPr>
        <w:pStyle w:val="Heading2"/>
        <w:spacing w:after="120" w:before="240" w:line="312"/>
      </w:pPr>
      <w:bookmarkStart w:name="_Toc5" w:id="5"/>
      <w:r>
        <w:rPr>
          <w:rFonts w:ascii="Times New Roman" w:eastAsia="SimHei"/>
          <w:b/>
          <w:bCs/>
          <w:color w:val="0F2A3C"/>
          <w:sz w:val="28"/>
          <w:szCs w:val="28"/>
        </w:rPr>
        <w:t xml:space="preserve">2.3 两类旋钮：时机类与质量类</w:t>
      </w:r>
      <w:bookmarkEnd w:id="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把参数按作用对象分类，调参时会清晰很多。时机类参数决定「多快上车」：二次确认开关、同周期再入场最小间隔、同币种平仓后冷却，它们影响的是等待时间，不判断行情好坏。质量类参数决定「哪一波值得上车」：两个模式的评分与效率比门槛、逆势开关、轮次上限，它们筛选的是行情本身的结构与证据强度。冲高套利三参数（幅度阈值、检测窗口、最短持仓）则属于离场端，决定浮盈后多快落袋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一个常见的误用是把时机类参数调到极致来弥补入场晚，例如同时关闭二次确认、清零冷却与再入场间隔——入场确实快了，但每一波行情里的进出次数也会明显变多，手续费与滑点的摩擦会成倍放大（历史归因显示摩擦成本曾占净亏损的八成以上）。更推荐的做法是先动质量类门槛抢到更早的入场点，观察一段时间，再决定是否动时机类参数。</w:t>
      </w:r>
    </w:p>
    <w:p>
      <w:pPr>
        <w:pStyle w:val="Heading1"/>
        <w:spacing w:after="160" w:before="360" w:line="312"/>
      </w:pPr>
      <w:bookmarkStart w:name="_Toc6" w:id="6"/>
      <w:r>
        <w:rPr>
          <w:rFonts w:ascii="Times New Roman" w:eastAsia="SimHei"/>
          <w:b/>
          <w:bCs/>
          <w:color w:val="0F2A3C"/>
          <w:sz w:val="32"/>
          <w:szCs w:val="32"/>
        </w:rPr>
        <w:t xml:space="preserve">三、参数详解</w:t>
      </w:r>
      <w:bookmarkEnd w:id="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本章逐个说明控制台上的 14 个参数。每个参数给出默认值、合法范围、含义以及调整方向带来的变化；最后一段统一为风险提示。所有默认值都是初始工程参数，未经历史回放校准，调整后请以实盘观察为准。</w:t>
      </w:r>
    </w:p>
    <w:p>
      <w:pPr>
        <w:pStyle w:val="Heading2"/>
        <w:spacing w:after="120" w:before="240" w:line="312"/>
      </w:pPr>
      <w:bookmarkStart w:name="_Toc7" w:id="7"/>
      <w:r>
        <w:rPr>
          <w:rFonts w:ascii="Times New Roman" w:eastAsia="SimHei"/>
          <w:b/>
          <w:bCs/>
          <w:color w:val="0F2A3C"/>
          <w:sz w:val="28"/>
          <w:szCs w:val="28"/>
        </w:rPr>
        <w:t xml:space="preserve">3.1 评分下限（模式 A）（ENTRY_MIN_SCORE）</w:t>
      </w:r>
      <w:bookmarkEnd w:id="7"/>
    </w:p>
    <w:p>
      <w:pPr>
        <w:keepNext/>
        <w:spacing w:after="60" w:before="160" w:line="312"/>
      </w:pPr>
      <w:r>
        <w:rPr>
          <w:rFonts w:ascii="Times New Roman" w:eastAsia="SimHei"/>
          <w:b/>
          <w:bCs/>
          <w:color w:val="0F2A3C"/>
          <w:sz w:val="21"/>
          <w:szCs w:val="21"/>
        </w:rPr>
        <w:t xml:space="preserve">表 3.1  参数卡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461"/>
        <w:gridCol w:w="2285"/>
        <w:gridCol w:w="1406"/>
        <w:gridCol w:w="2636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参数键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所属分组</w:t>
            </w:r>
          </w:p>
        </w:tc>
        <w:tc>
          <w:tcPr>
            <w:tcW w:type="pct" w:w="8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可调范围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ENTRY_MIN_SCORE</w:t>
            </w:r>
          </w:p>
        </w:tc>
        <w:tc>
          <w:tcPr>
            <w:tcW w:type="pct" w:w="1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入场门槛 · 模式A</w:t>
            </w:r>
          </w:p>
        </w:tc>
        <w:tc>
          <w:tcPr>
            <w:tcW w:type="pct" w:w="8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45</w:t>
            </w:r>
          </w:p>
        </w:tc>
        <w:tc>
          <w:tcPr>
            <w:tcW w:type="pct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0 - 100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1m 趋势评分是 0 到 100 的证据分，衡量当前趋势积累的证据强度（突破、放量、多类证据互相印证等）。模式 A 指 1m 方向与 5m 背景同向时的趋势内波段入场，本参数是它的评分门槛。根据用户定版的思路，趋势起点的分数本来就不高，高分往往意味着走势已经走出来；因此这条线只负责拦住「证据不足的杂音」，而不是等走势完美再上车。45 约在候选池入池线（40 分）上方一档，1m 确认瞬间通常可以达到。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调低（例如 40）能更早入场、交易次数变多，杂音单也随之增加；调高（例如 60 以上）只做已经走稳的趋势，起点单基本被放弃，历史回放显示 70 分以上的确认 K 线只占约一成，门槛过高时机器人会长时间不开仓。</w:t>
      </w:r>
    </w:p>
    <w:p>
      <w:pPr>
        <w:spacing w:after="8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风险提示：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门槛不是唯一的闸门：通过评分后还要过效率比门槛与 5m 反向检查，且二次确认（若开启）会在下一根 K 线再验一次。因此单独把它调很低，不等于杂音单会无限放量。</w:t>
      </w:r>
    </w:p>
    <w:p>
      <w:pPr>
        <w:pStyle w:val="Heading2"/>
        <w:spacing w:after="120" w:before="240" w:line="312"/>
      </w:pPr>
      <w:bookmarkStart w:name="_Toc8" w:id="8"/>
      <w:r>
        <w:rPr>
          <w:rFonts w:ascii="Times New Roman" w:eastAsia="SimHei"/>
          <w:b/>
          <w:bCs/>
          <w:color w:val="0F2A3C"/>
          <w:sz w:val="28"/>
          <w:szCs w:val="28"/>
        </w:rPr>
        <w:t xml:space="preserve">3.2 效率比下限（模式 A）（ENTRY_MIN_ER）</w:t>
      </w:r>
      <w:bookmarkEnd w:id="8"/>
    </w:p>
    <w:p>
      <w:pPr>
        <w:keepNext/>
        <w:spacing w:after="60" w:before="160" w:line="312"/>
      </w:pPr>
      <w:r>
        <w:rPr>
          <w:rFonts w:ascii="Times New Roman" w:eastAsia="SimHei"/>
          <w:b/>
          <w:bCs/>
          <w:color w:val="0F2A3C"/>
          <w:sz w:val="21"/>
          <w:szCs w:val="21"/>
        </w:rPr>
        <w:t xml:space="preserve">表 3.2  参数卡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461"/>
        <w:gridCol w:w="2285"/>
        <w:gridCol w:w="1406"/>
        <w:gridCol w:w="2636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参数键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所属分组</w:t>
            </w:r>
          </w:p>
        </w:tc>
        <w:tc>
          <w:tcPr>
            <w:tcW w:type="pct" w:w="8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可调范围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ENTRY_MIN_ER</w:t>
            </w:r>
          </w:p>
        </w:tc>
        <w:tc>
          <w:tcPr>
            <w:tcW w:type="pct" w:w="1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入场门槛 · 模式A</w:t>
            </w:r>
          </w:p>
        </w:tc>
        <w:tc>
          <w:tcPr>
            <w:tcW w:type="pct" w:w="8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0.35</w:t>
            </w:r>
          </w:p>
        </w:tc>
        <w:tc>
          <w:tcPr>
            <w:tcW w:type="pct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0 - 1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效率比（ER）= 净位移 ÷ 路径总长，衡量走势「直不直」：一路单边推进时接近 1，来回震荡时接近 0。这条线与入场早晚正交——一个刚刚起步的趋势如果走得干净，ER 完全可以达标；而一条已经走了一段但全程抖动的走势，ER 会把它拦下。它是防磨损的核心护栏，建议调整幅度保持克制。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调低到 0.30 甚至 0.25，会接受更抖的结构、明显增加交易次数，这类单子的共同问题是手续费占比高；调高到 0.45 以上则只做干净单边，震荡频繁的行情里能少亏摩擦，但会错过不少启动阶段不算丝滑的趋势。</w:t>
      </w:r>
    </w:p>
    <w:p>
      <w:pPr>
        <w:spacing w:after="8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风险提示：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历史归因中 ER 低于 0.3 的入场组表现最差，因此默认 0.35 已经不高；若要下调，建议以 0.05 为一档逐步试验，而不是一步到位。</w:t>
      </w:r>
    </w:p>
    <w:p>
      <w:pPr>
        <w:pStyle w:val="Heading2"/>
        <w:spacing w:after="120" w:before="240" w:line="312"/>
      </w:pPr>
      <w:bookmarkStart w:name="_Toc9" w:id="9"/>
      <w:r>
        <w:rPr>
          <w:rFonts w:ascii="Times New Roman" w:eastAsia="SimHei"/>
          <w:b/>
          <w:bCs/>
          <w:color w:val="0F2A3C"/>
          <w:sz w:val="28"/>
          <w:szCs w:val="28"/>
        </w:rPr>
        <w:t xml:space="preserve">3.3 评分下限（模式 B）（NEUTRAL_MIN_SCORE）</w:t>
      </w:r>
      <w:bookmarkEnd w:id="9"/>
    </w:p>
    <w:p>
      <w:pPr>
        <w:keepNext/>
        <w:spacing w:after="60" w:before="160" w:line="312"/>
      </w:pPr>
      <w:r>
        <w:rPr>
          <w:rFonts w:ascii="Times New Roman" w:eastAsia="SimHei"/>
          <w:b/>
          <w:bCs/>
          <w:color w:val="0F2A3C"/>
          <w:sz w:val="21"/>
          <w:szCs w:val="21"/>
        </w:rPr>
        <w:t xml:space="preserve">表 3.3  参数卡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461"/>
        <w:gridCol w:w="2285"/>
        <w:gridCol w:w="1406"/>
        <w:gridCol w:w="2636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参数键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所属分组</w:t>
            </w:r>
          </w:p>
        </w:tc>
        <w:tc>
          <w:tcPr>
            <w:tcW w:type="pct" w:w="8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可调范围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NEUTRAL_MIN_SCORE</w:t>
            </w:r>
          </w:p>
        </w:tc>
        <w:tc>
          <w:tcPr>
            <w:tcW w:type="pct" w:w="1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入场门槛 · 模式B</w:t>
            </w:r>
          </w:p>
        </w:tc>
        <w:tc>
          <w:tcPr>
            <w:tcW w:type="pct" w:w="8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55</w:t>
            </w:r>
          </w:p>
        </w:tc>
        <w:tc>
          <w:tcPr>
            <w:tcW w:type="pct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0 - 100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模式 B 处理的是 5m 背景仍在震荡（或 5m 数据不足）的情形：此时没有高周期方向背书，策略跟随 1m 率先确认出的方向做「震荡选向」。因为缺少 5m 的方向支持，评分要求比模式 A 严一档（默认 55 对 45），同样按「起点可达」定线——震荡里突破选向的第一时间分数通常落在 50 到 65 之间。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调低能让机器人在震荡突破的第一时间就抢方向，适合愿意承担假突破风险的用法；调高则模式 B 接近只在证据很强的突破时才开，起步单明显减少。</w:t>
      </w:r>
    </w:p>
    <w:p>
      <w:pPr>
        <w:spacing w:after="8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风险提示：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模式 B 天然比模式 A 危险：震荡中的假突破频率更高，一旦方向选错，止损（策略走弱离场或反向确认离场）往往来得很快。不建议把本门槛调到与模式 A 相同，两档之间的差距就是对「没有背景背书」的补偿。</w:t>
      </w:r>
    </w:p>
    <w:p>
      <w:pPr>
        <w:pStyle w:val="Heading2"/>
        <w:spacing w:after="120" w:before="240" w:line="312"/>
      </w:pPr>
      <w:bookmarkStart w:name="_Toc10" w:id="10"/>
      <w:r>
        <w:rPr>
          <w:rFonts w:ascii="Times New Roman" w:eastAsia="SimHei"/>
          <w:b/>
          <w:bCs/>
          <w:color w:val="0F2A3C"/>
          <w:sz w:val="28"/>
          <w:szCs w:val="28"/>
        </w:rPr>
        <w:t xml:space="preserve">3.4 效率比下限（模式 B）（NEUTRAL_MIN_ER）</w:t>
      </w:r>
      <w:bookmarkEnd w:id="10"/>
    </w:p>
    <w:p>
      <w:pPr>
        <w:keepNext/>
        <w:spacing w:after="60" w:before="160" w:line="312"/>
      </w:pPr>
      <w:r>
        <w:rPr>
          <w:rFonts w:ascii="Times New Roman" w:eastAsia="SimHei"/>
          <w:b/>
          <w:bCs/>
          <w:color w:val="0F2A3C"/>
          <w:sz w:val="21"/>
          <w:szCs w:val="21"/>
        </w:rPr>
        <w:t xml:space="preserve">表 3.4  参数卡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461"/>
        <w:gridCol w:w="2285"/>
        <w:gridCol w:w="1406"/>
        <w:gridCol w:w="2636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参数键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所属分组</w:t>
            </w:r>
          </w:p>
        </w:tc>
        <w:tc>
          <w:tcPr>
            <w:tcW w:type="pct" w:w="8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可调范围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NEUTRAL_MIN_ER</w:t>
            </w:r>
          </w:p>
        </w:tc>
        <w:tc>
          <w:tcPr>
            <w:tcW w:type="pct" w:w="1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入场门槛 · 模式B</w:t>
            </w:r>
          </w:p>
        </w:tc>
        <w:tc>
          <w:tcPr>
            <w:tcW w:type="pct" w:w="8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0.45</w:t>
            </w:r>
          </w:p>
        </w:tc>
        <w:tc>
          <w:tcPr>
            <w:tcW w:type="pct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0 - 1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模式 B 的效率比要求（比模式 A 的 0.35 严一档）：震荡中选向，对起步结构的干净度要求更高，目的是防止把震荡内部的抖动误判为方向。突破起步若结构干净，ER 通常在 0.45 以上。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调低会让模式 B 更容易触发，单量增加的同时假突破比例上升；调高则模式 B 收缩为「只在非常干净的突破时才做」，多数时候机器人只剩模式 A 在工作。</w:t>
      </w:r>
    </w:p>
    <w:p>
      <w:pPr>
        <w:spacing w:after="8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风险提示：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如果观察到机器人长期只开模式 A 的单（决策审计里 modeTag 全是 TREND_ALIGNED），可以考虑小幅下调本值或模式 B 评分线；反之若模式 B 的单频繁止损，应先收紧这里而不是先收紧模式 A。</w:t>
      </w:r>
    </w:p>
    <w:p>
      <w:pPr>
        <w:pStyle w:val="Heading2"/>
        <w:spacing w:after="120" w:before="240" w:line="312"/>
      </w:pPr>
      <w:bookmarkStart w:name="_Toc11" w:id="11"/>
      <w:r>
        <w:rPr>
          <w:rFonts w:ascii="Times New Roman" w:eastAsia="SimHei"/>
          <w:b/>
          <w:bCs/>
          <w:color w:val="0F2A3C"/>
          <w:sz w:val="28"/>
          <w:szCs w:val="28"/>
        </w:rPr>
        <w:t xml:space="preserve">3.5 等待下一根收盘K线二次确认（waitBarConfirm）</w:t>
      </w:r>
      <w:bookmarkEnd w:id="11"/>
    </w:p>
    <w:p>
      <w:pPr>
        <w:keepNext/>
        <w:spacing w:after="60" w:before="160" w:line="312"/>
      </w:pPr>
      <w:r>
        <w:rPr>
          <w:rFonts w:ascii="Times New Roman" w:eastAsia="SimHei"/>
          <w:b/>
          <w:bCs/>
          <w:color w:val="0F2A3C"/>
          <w:sz w:val="21"/>
          <w:szCs w:val="21"/>
        </w:rPr>
        <w:t xml:space="preserve">表 3.5  参数卡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461"/>
        <w:gridCol w:w="2285"/>
        <w:gridCol w:w="1406"/>
        <w:gridCol w:w="2636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参数键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所属分组</w:t>
            </w:r>
          </w:p>
        </w:tc>
        <w:tc>
          <w:tcPr>
            <w:tcW w:type="pct" w:w="8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可调范围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waitBarConfirm</w:t>
            </w:r>
          </w:p>
        </w:tc>
        <w:tc>
          <w:tcPr>
            <w:tcW w:type="pct" w:w="1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入场时机（滞后调节）</w:t>
            </w:r>
          </w:p>
        </w:tc>
        <w:tc>
          <w:tcPr>
            <w:tcW w:type="pct" w:w="8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开</w:t>
            </w:r>
          </w:p>
        </w:tc>
        <w:tc>
          <w:tcPr>
            <w:tcW w:type="pct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开 / 关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开启时，策略判定达标后先创建「待入场」记录，等下一根已收盘 K 线复核仍达标才真正开仓，这是第二章延迟拆解里的「第 4 根」；关闭时达标当根直接开仓，入场提前约 1 根 K 线。这是全控制台对入场速度杠杆最直接的一个开关。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关闭的收益是响应速度：抢在行情加速段之前进场，冲高回落型行情里尤其明显。关闭的代价是少一层防护：单根 K 线的噪声、插针、瞬时的数据抖动不再有被下一根 K 线纠正的机会，假信号会直接变成持仓。</w:t>
      </w:r>
    </w:p>
    <w:p>
      <w:pPr>
        <w:spacing w:after="8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风险提示：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如果开启它，待入场记录最长等 10 分钟（超时自动取消），期间趋势失效、数据过期、门槛不再满足都会取消记录。它是 Task 56 验收过的防护机制，默认开启；决定关闭后建议同时观察假信号单的占比变化。</w:t>
      </w:r>
    </w:p>
    <w:p>
      <w:pPr>
        <w:pStyle w:val="Heading2"/>
        <w:spacing w:after="120" w:before="240" w:line="312"/>
      </w:pPr>
      <w:bookmarkStart w:name="_Toc12" w:id="12"/>
      <w:r>
        <w:rPr>
          <w:rFonts w:ascii="Times New Roman" w:eastAsia="SimHei"/>
          <w:b/>
          <w:bCs/>
          <w:color w:val="0F2A3C"/>
          <w:sz w:val="28"/>
          <w:szCs w:val="28"/>
        </w:rPr>
        <w:t xml:space="preserve">3.6 同周期再入场最小间隔（REENTRY_MIN_GAP_MS）</w:t>
      </w:r>
      <w:bookmarkEnd w:id="12"/>
    </w:p>
    <w:p>
      <w:pPr>
        <w:keepNext/>
        <w:spacing w:after="60" w:before="160" w:line="312"/>
      </w:pPr>
      <w:r>
        <w:rPr>
          <w:rFonts w:ascii="Times New Roman" w:eastAsia="SimHei"/>
          <w:b/>
          <w:bCs/>
          <w:color w:val="0F2A3C"/>
          <w:sz w:val="21"/>
          <w:szCs w:val="21"/>
        </w:rPr>
        <w:t xml:space="preserve">表 3.6  参数卡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461"/>
        <w:gridCol w:w="2285"/>
        <w:gridCol w:w="1406"/>
        <w:gridCol w:w="2636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参数键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所属分组</w:t>
            </w:r>
          </w:p>
        </w:tc>
        <w:tc>
          <w:tcPr>
            <w:tcW w:type="pct" w:w="8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可调范围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REENTRY_MIN_GAP_MS</w:t>
            </w:r>
          </w:p>
        </w:tc>
        <w:tc>
          <w:tcPr>
            <w:tcW w:type="pct" w:w="1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入场时机（滞后调节）</w:t>
            </w:r>
          </w:p>
        </w:tc>
        <w:tc>
          <w:tcPr>
            <w:tcW w:type="pct" w:w="8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60000</w:t>
            </w:r>
          </w:p>
        </w:tc>
        <w:tc>
          <w:tcPr>
            <w:tcW w:type="pct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0 - 600000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同一趋势周期内，从上次平仓到下次再入场（走强回确认）之间强制等待的最小时长，单位毫秒。它防止「同一根 K 线内刚平仓又立刻进场」的高频往复——短周期套利允许走弱先走、走强再进（轮次机制），若没有间隔约束，一笔持仓可能在几分钟内进出多次，摩擦成本迅速失控。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调小（例如 30000）让再入场更跟手，适合确认自己观察的是真回调而非趋势反转的场景；调大（例如 180000）强制多等，牺牲一点再入场点位换取更少的往复。</w:t>
      </w:r>
    </w:p>
    <w:p>
      <w:pPr>
        <w:spacing w:after="8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风险提示：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注意它与「同币种平仓后冷却」是两层独立约束：本参数按趋势周期计算（同周期再入场），冷却按币种计算（任何新信号都要等），生效时长取两者与其它守卫的叠加。</w:t>
      </w:r>
    </w:p>
    <w:p>
      <w:pPr>
        <w:pStyle w:val="Heading2"/>
        <w:spacing w:after="120" w:before="240" w:line="312"/>
      </w:pPr>
      <w:bookmarkStart w:name="_Toc13" w:id="13"/>
      <w:r>
        <w:rPr>
          <w:rFonts w:ascii="Times New Roman" w:eastAsia="SimHei"/>
          <w:b/>
          <w:bCs/>
          <w:color w:val="0F2A3C"/>
          <w:sz w:val="28"/>
          <w:szCs w:val="28"/>
        </w:rPr>
        <w:t xml:space="preserve">3.7 同周期最大开仓轮次（MAX_ROUNDS_PER_CYCLE）</w:t>
      </w:r>
      <w:bookmarkEnd w:id="13"/>
    </w:p>
    <w:p>
      <w:pPr>
        <w:keepNext/>
        <w:spacing w:after="60" w:before="160" w:line="312"/>
      </w:pPr>
      <w:r>
        <w:rPr>
          <w:rFonts w:ascii="Times New Roman" w:eastAsia="SimHei"/>
          <w:b/>
          <w:bCs/>
          <w:color w:val="0F2A3C"/>
          <w:sz w:val="21"/>
          <w:szCs w:val="21"/>
        </w:rPr>
        <w:t xml:space="preserve">表 3.7  参数卡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461"/>
        <w:gridCol w:w="2285"/>
        <w:gridCol w:w="1406"/>
        <w:gridCol w:w="2636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参数键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所属分组</w:t>
            </w:r>
          </w:p>
        </w:tc>
        <w:tc>
          <w:tcPr>
            <w:tcW w:type="pct" w:w="8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可调范围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MAX_ROUNDS_PER_CYCLE</w:t>
            </w:r>
          </w:p>
        </w:tc>
        <w:tc>
          <w:tcPr>
            <w:tcW w:type="pct" w:w="1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再入场与轮次</w:t>
            </w:r>
          </w:p>
        </w:tc>
        <w:tc>
          <w:tcPr>
            <w:tcW w:type="pct" w:w="8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1 - 6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同一个趋势周期最多允许开仓几次：第 1 轮是首次入场，之后每次「走弱离场 → 重新走强回确认」的再入场占用一轮，轮次号会出现在决策键（#R1、#R2）与历史交易的轮次字段里。这是防止单个趋势周期被反复进出磨损的总闸。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调大（例如 3 或 4）给「走出主升浪前反复洗盘」的行情更多参与机会，但每多一轮就是多一组双边手续费加滑点；设为 1 则每个周期只做第一笔，走弱离场后该周期就此打住。</w:t>
      </w:r>
    </w:p>
    <w:p>
      <w:pPr>
        <w:spacing w:after="8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风险提示：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轮次上限到顶后，该周期在本轮趋势生命周期内不再开仓（新周期自动从第 1 轮重新开始）。如果发现某币种的决策键频繁出现 #R2 且多为亏损，说明该类行情的洗盘特征与参数不匹配，优先下调而不是上调。</w:t>
      </w:r>
    </w:p>
    <w:p>
      <w:pPr>
        <w:pStyle w:val="Heading2"/>
        <w:spacing w:after="120" w:before="240" w:line="312"/>
      </w:pPr>
      <w:bookmarkStart w:name="_Toc14" w:id="14"/>
      <w:r>
        <w:rPr>
          <w:rFonts w:ascii="Times New Roman" w:eastAsia="SimHei"/>
          <w:b/>
          <w:bCs/>
          <w:color w:val="0F2A3C"/>
          <w:sz w:val="28"/>
          <w:szCs w:val="28"/>
        </w:rPr>
        <w:t xml:space="preserve">3.8 走弱提前离场（WEAKNESS_EXIT_EARLY）</w:t>
      </w:r>
      <w:bookmarkEnd w:id="14"/>
    </w:p>
    <w:p>
      <w:pPr>
        <w:keepNext/>
        <w:spacing w:after="60" w:before="160" w:line="312"/>
      </w:pPr>
      <w:r>
        <w:rPr>
          <w:rFonts w:ascii="Times New Roman" w:eastAsia="SimHei"/>
          <w:b/>
          <w:bCs/>
          <w:color w:val="0F2A3C"/>
          <w:sz w:val="21"/>
          <w:szCs w:val="21"/>
        </w:rPr>
        <w:t xml:space="preserve">表 3.8  参数卡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461"/>
        <w:gridCol w:w="2285"/>
        <w:gridCol w:w="1406"/>
        <w:gridCol w:w="2636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参数键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所属分组</w:t>
            </w:r>
          </w:p>
        </w:tc>
        <w:tc>
          <w:tcPr>
            <w:tcW w:type="pct" w:w="8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可调范围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WEAKNESS_EXIT_EARLY</w:t>
            </w:r>
          </w:p>
        </w:tc>
        <w:tc>
          <w:tcPr>
            <w:tcW w:type="pct" w:w="1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再入场与轮次</w:t>
            </w:r>
          </w:p>
        </w:tc>
        <w:tc>
          <w:tcPr>
            <w:tcW w:type="pct" w:w="8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开</w:t>
            </w:r>
          </w:p>
        </w:tc>
        <w:tc>
          <w:tcPr>
            <w:tcW w:type="pct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开 / 关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开启时，本周期出现结束迹象（状态机进入「结束待确认」）即先离场——先把利润和本金拿回来，等趋势重新走强回确认后再按轮次机制入场；关闭时忽略走弱迹象，一直拿到趋势正式判定结束（连续多根 K 线确认结束证据）才离场。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关闭的收益是拿得住：中途的走弱虚警不会把仓位洗出去，趋势延续时少付一次重新入场的摩擦；代价是回撤变深——确认结束本身需要数根 K 线，期间浮盈可能大幅回吐。开启则相反：回撤小、落袋快，但可能被短暂回调洗出后再入场（多付一次手续费）。</w:t>
      </w:r>
    </w:p>
    <w:p>
      <w:pPr>
        <w:spacing w:after="8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风险提示：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这是持仓体验上影响最大的开关：历史交易里大量「WEAKNESS_EARLY」平仓就是它触发的。建议与轮次上限搭配理解——开启它的前提正是「走了还能再进」，两者一起才构成「走弱先走、走强再进」的完整闭环。</w:t>
      </w:r>
    </w:p>
    <w:p>
      <w:pPr>
        <w:pStyle w:val="Heading2"/>
        <w:spacing w:after="120" w:before="240" w:line="312"/>
      </w:pPr>
      <w:bookmarkStart w:name="_Toc15" w:id="15"/>
      <w:r>
        <w:rPr>
          <w:rFonts w:ascii="Times New Roman" w:eastAsia="SimHei"/>
          <w:b/>
          <w:bCs/>
          <w:color w:val="0F2A3C"/>
          <w:sz w:val="28"/>
          <w:szCs w:val="28"/>
        </w:rPr>
        <w:t xml:space="preserve">3.9 冲高幅度阈值（SPIKE_MOVE_PCT）</w:t>
      </w:r>
      <w:bookmarkEnd w:id="15"/>
    </w:p>
    <w:p>
      <w:pPr>
        <w:keepNext/>
        <w:spacing w:after="60" w:before="160" w:line="312"/>
      </w:pPr>
      <w:r>
        <w:rPr>
          <w:rFonts w:ascii="Times New Roman" w:eastAsia="SimHei"/>
          <w:b/>
          <w:bCs/>
          <w:color w:val="0F2A3C"/>
          <w:sz w:val="21"/>
          <w:szCs w:val="21"/>
        </w:rPr>
        <w:t xml:space="preserve">表 3.9  参数卡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461"/>
        <w:gridCol w:w="2285"/>
        <w:gridCol w:w="1406"/>
        <w:gridCol w:w="2636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参数键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所属分组</w:t>
            </w:r>
          </w:p>
        </w:tc>
        <w:tc>
          <w:tcPr>
            <w:tcW w:type="pct" w:w="8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可调范围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SPIKE_MOVE_PCT</w:t>
            </w:r>
          </w:p>
        </w:tc>
        <w:tc>
          <w:tcPr>
            <w:tcW w:type="pct" w:w="1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冲高套利（及时落袋）</w:t>
            </w:r>
          </w:p>
        </w:tc>
        <w:tc>
          <w:tcPr>
            <w:tcW w:type="pct" w:w="8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0.6</w:t>
            </w:r>
          </w:p>
        </w:tc>
        <w:tc>
          <w:tcPr>
            <w:tcW w:type="pct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0.1 - 5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持仓浮盈时，若检测窗口内标记价顺持仓方向快速运动达到该百分比（做多看短窗涨幅、做空看短窗跌幅），立即平仓落袋（SPIKE_TAKE）。它针对的是虚拟币大量存在的冲高回落、下杀拉回行为——冲高的瞬间先把利润装进口袋，不等它回落。以默认 0.6% 配合 20 倍杠杆，一次冲高套利约相当于 12% 保证金收益。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调低（例如 0.4）对小冲高也敏感、落袋更频繁，单笔利润变薄但成功率上升；调高（例如 1.0）拿更大的波段，但可能在价格快速回落前来不及触发。</w:t>
      </w:r>
    </w:p>
    <w:p>
      <w:pPr>
        <w:spacing w:after="8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风险提示：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它不是固定比例止盈：必须同时满足「浮盈」与「短窗内快速运动」两个条件，横盘缓涨不会触发。调参时不要把它理解为「涨 0.6% 就跑」，否则容易与冲高检测窗口的调整互相矛盾。</w:t>
      </w:r>
    </w:p>
    <w:p>
      <w:pPr>
        <w:pStyle w:val="Heading2"/>
        <w:spacing w:after="120" w:before="240" w:line="312"/>
      </w:pPr>
      <w:bookmarkStart w:name="_Toc16" w:id="16"/>
      <w:r>
        <w:rPr>
          <w:rFonts w:ascii="Times New Roman" w:eastAsia="SimHei"/>
          <w:b/>
          <w:bCs/>
          <w:color w:val="0F2A3C"/>
          <w:sz w:val="28"/>
          <w:szCs w:val="28"/>
        </w:rPr>
        <w:t xml:space="preserve">3.10 冲高检测窗口（SPIKE_WINDOW_MS）</w:t>
      </w:r>
      <w:bookmarkEnd w:id="16"/>
    </w:p>
    <w:p>
      <w:pPr>
        <w:keepNext/>
        <w:spacing w:after="60" w:before="160" w:line="312"/>
      </w:pPr>
      <w:r>
        <w:rPr>
          <w:rFonts w:ascii="Times New Roman" w:eastAsia="SimHei"/>
          <w:b/>
          <w:bCs/>
          <w:color w:val="0F2A3C"/>
          <w:sz w:val="21"/>
          <w:szCs w:val="21"/>
        </w:rPr>
        <w:t xml:space="preserve">表 3.10  参数卡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461"/>
        <w:gridCol w:w="2285"/>
        <w:gridCol w:w="1406"/>
        <w:gridCol w:w="2636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参数键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所属分组</w:t>
            </w:r>
          </w:p>
        </w:tc>
        <w:tc>
          <w:tcPr>
            <w:tcW w:type="pct" w:w="8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可调范围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SPIKE_WINDOW_MS</w:t>
            </w:r>
          </w:p>
        </w:tc>
        <w:tc>
          <w:tcPr>
            <w:tcW w:type="pct" w:w="1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冲高套利（及时落袋）</w:t>
            </w:r>
          </w:p>
        </w:tc>
        <w:tc>
          <w:tcPr>
            <w:tcW w:type="pct" w:w="8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90000</w:t>
            </w:r>
          </w:p>
        </w:tc>
        <w:tc>
          <w:tcPr>
            <w:tcW w:type="pct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30000 - 300000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判断「正在冲高」所回看的时间窗，单位毫秒：窗口起点到当前时刻之间标记价的顺向运动幅度，与冲高幅度阈值比较。默认 90 秒配合 0.6%，约等于「一分半钟内顺向走了 0.6%」认定为急拉（做空则是急砸）。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调小（例如 60000）只对极快的脉冲响应，慢一点的拉升不触发；调大（例如 150000）则更缓慢的推进也算冲高，落袋机会变多，但在趋势中段提前下车的概率也随之上升。</w:t>
      </w:r>
    </w:p>
    <w:p>
      <w:pPr>
        <w:spacing w:after="8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风险提示：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窗口与阈值是一对：单独改一个意义有限，建议按「多长时间走多少算冲高」的口径成对调整。检测粒度受扫描节奏限制（约 10 秒一个采样点），窗口小于 30 秒后精度提升有限，故下限设为 30000。</w:t>
      </w:r>
    </w:p>
    <w:p>
      <w:pPr>
        <w:pStyle w:val="Heading2"/>
        <w:spacing w:after="120" w:before="240" w:line="312"/>
      </w:pPr>
      <w:bookmarkStart w:name="_Toc17" w:id="17"/>
      <w:r>
        <w:rPr>
          <w:rFonts w:ascii="Times New Roman" w:eastAsia="SimHei"/>
          <w:b/>
          <w:bCs/>
          <w:color w:val="0F2A3C"/>
          <w:sz w:val="28"/>
          <w:szCs w:val="28"/>
        </w:rPr>
        <w:t xml:space="preserve">3.11 最短持仓时间（SPIKE_MIN_HOLD_MS）</w:t>
      </w:r>
      <w:bookmarkEnd w:id="17"/>
    </w:p>
    <w:p>
      <w:pPr>
        <w:keepNext/>
        <w:spacing w:after="60" w:before="160" w:line="312"/>
      </w:pPr>
      <w:r>
        <w:rPr>
          <w:rFonts w:ascii="Times New Roman" w:eastAsia="SimHei"/>
          <w:b/>
          <w:bCs/>
          <w:color w:val="0F2A3C"/>
          <w:sz w:val="21"/>
          <w:szCs w:val="21"/>
        </w:rPr>
        <w:t xml:space="preserve">表 3.11  参数卡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461"/>
        <w:gridCol w:w="2285"/>
        <w:gridCol w:w="1406"/>
        <w:gridCol w:w="2636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参数键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所属分组</w:t>
            </w:r>
          </w:p>
        </w:tc>
        <w:tc>
          <w:tcPr>
            <w:tcW w:type="pct" w:w="8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可调范围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SPIKE_MIN_HOLD_MS</w:t>
            </w:r>
          </w:p>
        </w:tc>
        <w:tc>
          <w:tcPr>
            <w:tcW w:type="pct" w:w="1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冲高套利（及时落袋）</w:t>
            </w:r>
          </w:p>
        </w:tc>
        <w:tc>
          <w:tcPr>
            <w:tcW w:type="pct" w:w="8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45000</w:t>
            </w:r>
          </w:p>
        </w:tc>
        <w:tc>
          <w:tcPr>
            <w:tcW w:type="pct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0 - 300000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开仓后至少持仓该时长，冲高套利才允许触发，单位毫秒。作用是把「开仓瞬间的样本噪声」挡在外面：刚进场的头几十秒，价格样本序列很短，容易被开仓前后的小波动凑出一个假冲高，把自己刚开的仓洗出去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调大（例如 90000）意味着开仓后一分半内无论怎么冲都不落袋，适合认为「刚进场的趋势第一波往往还没走完」的用法；调小则更灵敏，但被开仓初期噪声洗出的概率上升。</w:t>
      </w:r>
    </w:p>
    <w:p>
      <w:pPr>
        <w:spacing w:after="8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风险提示：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它只约束冲高套利，不影响走弱离场、趋势结束离场、反向确认与强平——那些该走的路径一条都不会被延迟。</w:t>
      </w:r>
    </w:p>
    <w:p>
      <w:pPr>
        <w:pStyle w:val="Heading2"/>
        <w:spacing w:after="120" w:before="240" w:line="312"/>
      </w:pPr>
      <w:bookmarkStart w:name="_Toc18" w:id="18"/>
      <w:r>
        <w:rPr>
          <w:rFonts w:ascii="Times New Roman" w:eastAsia="SimHei"/>
          <w:b/>
          <w:bCs/>
          <w:color w:val="0F2A3C"/>
          <w:sz w:val="28"/>
          <w:szCs w:val="28"/>
        </w:rPr>
        <w:t xml:space="preserve">3.12 允许逆 5m 背景开仓（ALLOW_HTF_OPPOSED）</w:t>
      </w:r>
      <w:bookmarkEnd w:id="18"/>
    </w:p>
    <w:p>
      <w:pPr>
        <w:keepNext/>
        <w:spacing w:after="60" w:before="160" w:line="312"/>
      </w:pPr>
      <w:r>
        <w:rPr>
          <w:rFonts w:ascii="Times New Roman" w:eastAsia="SimHei"/>
          <w:b/>
          <w:bCs/>
          <w:color w:val="0F2A3C"/>
          <w:sz w:val="21"/>
          <w:szCs w:val="21"/>
        </w:rPr>
        <w:t xml:space="preserve">表 3.12  参数卡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461"/>
        <w:gridCol w:w="2285"/>
        <w:gridCol w:w="1406"/>
        <w:gridCol w:w="2636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参数键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所属分组</w:t>
            </w:r>
          </w:p>
        </w:tc>
        <w:tc>
          <w:tcPr>
            <w:tcW w:type="pct" w:w="8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可调范围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ALLOW_HTF_OPPOSED</w:t>
            </w:r>
          </w:p>
        </w:tc>
        <w:tc>
          <w:tcPr>
            <w:tcW w:type="pct" w:w="1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方向约束</w:t>
            </w:r>
          </w:p>
        </w:tc>
        <w:tc>
          <w:tcPr>
            <w:tcW w:type="pct" w:w="8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关</w:t>
            </w:r>
          </w:p>
        </w:tc>
        <w:tc>
          <w:tcPr>
            <w:tcW w:type="pct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开 / 关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开启后，1m 方向与 5m 背景方向相反时也允许入场（真正的纯短周期博弈，赌的就是短周期转折领先高周期）；关闭时（默认），5m 反向一律拒绝，决策审计里会留下「短周期套利不做逆势」的记录。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开启后单量会明显增加——很多 1m 反转的早期都发生在 5m 还没转向的时候，这正是「提前抢转折」的场景；但这些单的胜率结构通常更差，逆势单一旦错了往往错得更快。</w:t>
      </w:r>
    </w:p>
    <w:p>
      <w:pPr>
        <w:spacing w:after="8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风险提示：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用户定版的思路是短周期套利不做逆势，因此默认关闭。若要试验开启，建议同时收紧模式门槛（评分或 ER），用质量门槛对冲方向风险，并且一次只试这一个开关。</w:t>
      </w:r>
    </w:p>
    <w:p>
      <w:pPr>
        <w:pStyle w:val="Heading2"/>
        <w:spacing w:after="120" w:before="240" w:line="312"/>
      </w:pPr>
      <w:bookmarkStart w:name="_Toc19" w:id="19"/>
      <w:r>
        <w:rPr>
          <w:rFonts w:ascii="Times New Roman" w:eastAsia="SimHei"/>
          <w:b/>
          <w:bCs/>
          <w:color w:val="0F2A3C"/>
          <w:sz w:val="28"/>
          <w:szCs w:val="28"/>
        </w:rPr>
        <w:t xml:space="preserve">3.13 同币种平仓后冷却（cooldownMs）</w:t>
      </w:r>
      <w:bookmarkEnd w:id="19"/>
    </w:p>
    <w:p>
      <w:pPr>
        <w:keepNext/>
        <w:spacing w:after="60" w:before="160" w:line="312"/>
      </w:pPr>
      <w:r>
        <w:rPr>
          <w:rFonts w:ascii="Times New Roman" w:eastAsia="SimHei"/>
          <w:b/>
          <w:bCs/>
          <w:color w:val="0F2A3C"/>
          <w:sz w:val="21"/>
          <w:szCs w:val="21"/>
        </w:rPr>
        <w:t xml:space="preserve">表 3.13  参数卡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461"/>
        <w:gridCol w:w="2285"/>
        <w:gridCol w:w="1406"/>
        <w:gridCol w:w="2636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参数键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所属分组</w:t>
            </w:r>
          </w:p>
        </w:tc>
        <w:tc>
          <w:tcPr>
            <w:tcW w:type="pct" w:w="8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可调范围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cooldownMs</w:t>
            </w:r>
          </w:p>
        </w:tc>
        <w:tc>
          <w:tcPr>
            <w:tcW w:type="pct" w:w="1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节奏（基础设施）</w:t>
            </w:r>
          </w:p>
        </w:tc>
        <w:tc>
          <w:tcPr>
            <w:tcW w:type="pct" w:w="8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300000</w:t>
            </w:r>
          </w:p>
        </w:tc>
        <w:tc>
          <w:tcPr>
            <w:tcW w:type="pct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0 - 1800000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同一币种平仓后的冷却时长（毫秒）：冷却期内该币种的新信号只记录不执行，到期后重走完整门槛。目的是防止同一波行情里刚平仓又立刻反向追、或刚被洗出又马上追回去。默认 5 分钟。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调小（例如 60000）让平仓后更快允许再进，配合轮次机制可以抓回同一波行情的延续段；设为 0 则无冷却，磨损风险自担。调大（例如 600000）更保守，适合震荡剧烈、反复打脸的行情阶段。</w:t>
      </w:r>
    </w:p>
    <w:p>
      <w:pPr>
        <w:spacing w:after="8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风险提示：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审计中会显示「同币种冷却中（距上次平仓 X 秒 / Y 秒）」。它与再入场最小间隔、先平后开独立性共同构成平仓后的多层守卫，调整其一不会消除另外两层。</w:t>
      </w:r>
    </w:p>
    <w:p>
      <w:pPr>
        <w:pStyle w:val="Heading2"/>
        <w:spacing w:after="120" w:before="240" w:line="312"/>
      </w:pPr>
      <w:bookmarkStart w:name="_Toc20" w:id="20"/>
      <w:r>
        <w:rPr>
          <w:rFonts w:ascii="Times New Roman" w:eastAsia="SimHei"/>
          <w:b/>
          <w:bCs/>
          <w:color w:val="0F2A3C"/>
          <w:sz w:val="28"/>
          <w:szCs w:val="28"/>
        </w:rPr>
        <w:t xml:space="preserve">3.14 每仓保证金比例（marginRatio）</w:t>
      </w:r>
      <w:bookmarkEnd w:id="20"/>
    </w:p>
    <w:p>
      <w:pPr>
        <w:keepNext/>
        <w:spacing w:after="60" w:before="160" w:line="312"/>
      </w:pPr>
      <w:r>
        <w:rPr>
          <w:rFonts w:ascii="Times New Roman" w:eastAsia="SimHei"/>
          <w:b/>
          <w:bCs/>
          <w:color w:val="0F2A3C"/>
          <w:sz w:val="21"/>
          <w:szCs w:val="21"/>
        </w:rPr>
        <w:t xml:space="preserve">表 3.14  参数卡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461"/>
        <w:gridCol w:w="2285"/>
        <w:gridCol w:w="1406"/>
        <w:gridCol w:w="2636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参数键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所属分组</w:t>
            </w:r>
          </w:p>
        </w:tc>
        <w:tc>
          <w:tcPr>
            <w:tcW w:type="pct" w:w="8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默认值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可调范围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marginRatio</w:t>
            </w:r>
          </w:p>
        </w:tc>
        <w:tc>
          <w:tcPr>
            <w:tcW w:type="pct" w:w="1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仓位与资金（基础设施）</w:t>
            </w:r>
          </w:p>
        </w:tc>
        <w:tc>
          <w:tcPr>
            <w:tcW w:type="pct" w:w="8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0.2</w:t>
            </w:r>
          </w:p>
        </w:tc>
        <w:tc>
          <w:tcPr>
            <w:tcW w:type="pct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0.01 - 1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每仓初始保证金 = 开仓时账户权益 × 本比例，但本值是「上限」而非实际值：实际生效比例 = min(本值， 95% ÷ 持仓数)。持仓数 ≤ 4 时本值原样生效（默认 20%）；5、6、8 仓时自动压缩为 19%、15.83%、11.875%，使全部仓位的保证金合计约为权益的 95%，剩余约 5% 留给开仓手续费与浮动亏损。这一设计来自实际反馈——固定 20% 时设置 8 仓只能开出 4 仓（8 × 20% = 160% 权益，物理上不可能开满），持仓数多时必须压缩单仓比例才能满仓。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调大则单仓更重、满仓总风险更高，但超过 95%÷持仓数 的部分会被封顶（想加大单仓优先减少持仓数，而不是调大本值）；调小则单仓更轻、同样权益可容纳更多仓位，但单仓保证金低于 2 USDT 会被最小保证金守卫跳过。它与持仓数量下拉的分工：更换持仓数会先平掉全部已有持仓，而本参数只影响之后的新仓，不动已有持仓。</w:t>
      </w:r>
    </w:p>
    <w:p>
      <w:pPr>
        <w:spacing w:after="8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风险提示：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满仓（8 仓 × 20 倍杠杆）意味着总名义敞口可达权益的 19 倍左右，行情小幅逆向就可能触发强平巡检；总敞口由持仓数量与保证金比例共同决定，调整任一项后请先在模拟盘观察强平与回撤表现，再考虑是否长期使用。</w:t>
      </w:r>
    </w:p>
    <w:p>
      <w:pPr>
        <w:pStyle w:val="Heading1"/>
        <w:spacing w:after="160" w:before="360" w:line="312"/>
      </w:pPr>
      <w:bookmarkStart w:name="_Toc21" w:id="21"/>
      <w:r>
        <w:rPr>
          <w:rFonts w:ascii="Times New Roman" w:eastAsia="SimHei"/>
          <w:b/>
          <w:bCs/>
          <w:color w:val="0F2A3C"/>
          <w:sz w:val="32"/>
          <w:szCs w:val="32"/>
        </w:rPr>
        <w:t xml:space="preserve">四、常用调法参考</w:t>
      </w:r>
      <w:bookmarkEnd w:id="2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以下两套组合不是推荐答案，而是把上面 14 个参数按目标拼装的出发点，便于在此基础上按自己的观察微调。无论从哪套开始，都建议一次只改一两个参数，跑够一段行情再评估，否则无法分辨效果来自哪个改动。所有组合都建立在「纯模拟盘试验」的前提下。</w:t>
      </w:r>
    </w:p>
    <w:p>
      <w:pPr>
        <w:keepNext/>
        <w:spacing w:after="60" w:before="160" w:line="312"/>
      </w:pPr>
      <w:r>
        <w:rPr>
          <w:rFonts w:ascii="Times New Roman" w:eastAsia="SimHei"/>
          <w:b/>
          <w:bCs/>
          <w:color w:val="0F2A3C"/>
          <w:sz w:val="21"/>
          <w:szCs w:val="21"/>
        </w:rPr>
        <w:t xml:space="preserve">表 2  两套调法组合对照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636"/>
        <w:gridCol w:w="1318"/>
        <w:gridCol w:w="2373"/>
        <w:gridCol w:w="2461"/>
      </w:tblGrid>
      <w:tr>
        <w:trPr>
          <w:cantSplit/>
          <w:tblHeader/>
        </w:trPr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参数</w:t>
            </w:r>
          </w:p>
        </w:tc>
        <w:tc>
          <w:tcPr>
            <w:tcW w:type="pct" w:w="7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默认</w:t>
            </w:r>
          </w:p>
        </w:tc>
        <w:tc>
          <w:tcPr>
            <w:tcW w:type="pct" w:w="13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抢起点（偏激进）</w:t>
            </w:r>
          </w:p>
        </w:tc>
        <w:tc>
          <w:tcPr>
            <w:tcW w:type="pct" w:w="14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防磨损（偏保守）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模式 A 评分下限</w:t>
            </w:r>
          </w:p>
        </w:tc>
        <w:tc>
          <w:tcPr>
            <w:tcW w:type="pct" w:w="7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45</w:t>
            </w:r>
          </w:p>
        </w:tc>
        <w:tc>
          <w:tcPr>
            <w:tcW w:type="pct" w:w="13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40 - 45</w:t>
            </w:r>
          </w:p>
        </w:tc>
        <w:tc>
          <w:tcPr>
            <w:tcW w:type="pct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55 - 60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模式 A 效率比下限</w:t>
            </w:r>
          </w:p>
        </w:tc>
        <w:tc>
          <w:tcPr>
            <w:tcW w:type="pct" w:w="7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0.35</w:t>
            </w:r>
          </w:p>
        </w:tc>
        <w:tc>
          <w:tcPr>
            <w:tcW w:type="pct" w:w="13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0.30</w:t>
            </w:r>
          </w:p>
        </w:tc>
        <w:tc>
          <w:tcPr>
            <w:tcW w:type="pct" w:w="14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0.40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模式 B 评分下限</w:t>
            </w:r>
          </w:p>
        </w:tc>
        <w:tc>
          <w:tcPr>
            <w:tcW w:type="pct" w:w="7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55</w:t>
            </w:r>
          </w:p>
        </w:tc>
        <w:tc>
          <w:tcPr>
            <w:tcW w:type="pct" w:w="13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50 - 55</w:t>
            </w:r>
          </w:p>
        </w:tc>
        <w:tc>
          <w:tcPr>
            <w:tcW w:type="pct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60 - 65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模式 B 效率比下限</w:t>
            </w:r>
          </w:p>
        </w:tc>
        <w:tc>
          <w:tcPr>
            <w:tcW w:type="pct" w:w="7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0.45</w:t>
            </w:r>
          </w:p>
        </w:tc>
        <w:tc>
          <w:tcPr>
            <w:tcW w:type="pct" w:w="13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0.40</w:t>
            </w:r>
          </w:p>
        </w:tc>
        <w:tc>
          <w:tcPr>
            <w:tcW w:type="pct" w:w="14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0.50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二次确认</w:t>
            </w:r>
          </w:p>
        </w:tc>
        <w:tc>
          <w:tcPr>
            <w:tcW w:type="pct" w:w="7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开</w:t>
            </w:r>
          </w:p>
        </w:tc>
        <w:tc>
          <w:tcPr>
            <w:tcW w:type="pct" w:w="13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关（快 1 根 K 线）</w:t>
            </w:r>
          </w:p>
        </w:tc>
        <w:tc>
          <w:tcPr>
            <w:tcW w:type="pct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开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同周期最大轮次</w:t>
            </w:r>
          </w:p>
        </w:tc>
        <w:tc>
          <w:tcPr>
            <w:tcW w:type="pct" w:w="7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13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4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1 - 2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同币种冷却</w:t>
            </w:r>
          </w:p>
        </w:tc>
        <w:tc>
          <w:tcPr>
            <w:tcW w:type="pct" w:w="7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13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0 - 1 分钟</w:t>
            </w:r>
          </w:p>
        </w:tc>
        <w:tc>
          <w:tcPr>
            <w:tcW w:type="pct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5 - 10 分钟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冲高幅度阈值</w:t>
            </w:r>
          </w:p>
        </w:tc>
        <w:tc>
          <w:tcPr>
            <w:tcW w:type="pct" w:w="7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0.6</w:t>
            </w:r>
          </w:p>
        </w:tc>
        <w:tc>
          <w:tcPr>
            <w:tcW w:type="pct" w:w="13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0.4 - 0.5</w:t>
            </w:r>
          </w:p>
        </w:tc>
        <w:tc>
          <w:tcPr>
            <w:tcW w:type="pct" w:w="14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0.8 - 1.0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允许逆 5m 背景开仓</w:t>
            </w:r>
          </w:p>
        </w:tc>
        <w:tc>
          <w:tcPr>
            <w:tcW w:type="pct" w:w="7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关</w:t>
            </w:r>
          </w:p>
        </w:tc>
        <w:tc>
          <w:tcPr>
            <w:tcW w:type="pct" w:w="13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关（不建议开）</w:t>
            </w:r>
          </w:p>
        </w:tc>
        <w:tc>
          <w:tcPr>
            <w:tcW w:type="pct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关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抢起点组合的目标是「行情一启动就在车上」：门槛贴近入池线、二次确认关闭、冷却几乎归零，入场延迟从约 4 根 K 线压到 2 至 3 根。它的代价结构也很清楚：杂音单与摩擦成本显著上升，必须依赖冲高套利尽快落袋来对冲，因此冲高阈值同步调低、轮次上限放宽，给洗盘行情更多参与机会。这套组合适合波动放大、趋势层出不穷的行情阶段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防磨损组合的目标是「只做有把握的波」：门槛抬高到确认概率高的区间、二次确认保留、冷却拉长、冲高阈值提高以减少小额落袋。交易频率会明显下降——回放数据显示高门槛本就会过滤大部分确认信号，长时间不开仓属于预期行为而非故障。这套组合适合震荡加剧、假突破频繁的阶段，或作为新参数组上线前的过渡基线。</w:t>
      </w:r>
    </w:p>
    <w:p>
      <w:pPr>
        <w:pStyle w:val="Heading1"/>
        <w:spacing w:after="160" w:before="360" w:line="312"/>
      </w:pPr>
      <w:bookmarkStart w:name="_Toc22" w:id="22"/>
      <w:r>
        <w:rPr>
          <w:rFonts w:ascii="Times New Roman" w:eastAsia="SimHei"/>
          <w:b/>
          <w:bCs/>
          <w:color w:val="0F2A3C"/>
          <w:sz w:val="32"/>
          <w:szCs w:val="32"/>
        </w:rPr>
        <w:t xml:space="preserve">五、安全边界与纪律</w:t>
      </w:r>
      <w:bookmarkEnd w:id="2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第一，这套系统是纯模拟盘：独立账户 trend-auto-v1，不接入任何真实下单，与手动模拟盘完全隔离。调参实验的全部后果都落在模拟资金上，这正是它的价值——可以放心地「试一下」，用真实的行情数据检验想法，而不承担真实损失。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第二，评分只是证据分，不是胜率承诺。趋势评分为启发式证据分（未经历史回放校准），趋势确认不等于买卖指令；强平是 20 倍杠杆模拟的执行结果，会被如实计入统计而不是被模型话术掩盖。任何一组参数的「好坏」都只能用一段时间内的实盘记录回答：看历史交易里的模式分布（TREND_ALIGNED / RANGE_DIRECTION）、轮次分布（#R1 还是 #R2）、离场原因构成（SPIKE_TAKE / WEAKNESS_EARLY / TREND_ENDED / 强平）与含滑点净盈亏。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第三，给调参节奏立几条规矩。一次只动一到两个参数，观察期至少覆盖几十笔交易或一个完整的行情阶段；改动前后各记一笔账（控制台的「已自定义」徽标与决策审计是现成的记录）；门槛类参数以 5 分、0.05 为一档，时机类以 30 秒、1 分钟为一档，避免大跨步调整导致无法归因。若连续几组调整都无法改善，先回到「恢复全部默认」的基线，再重新审视问题出在哪个环节——是入场太晚、离场太慢，还是行情本身不适合这套算法。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最后是参数之外的一个硬约束：杠杆固定 20 倍，它与最大持仓数、保证金比例（控制台可调，实际生效 = min(设定值， 95% ÷ 持仓数)）一起构成资金管理的骨架——三者共同决定满仓时的总名义敞口，调参时先把这笔账算清楚。手续费按 taker 双边计、滑点按基点估算并计入净盈亏口径，调参时评估收益必须以「含滑点净盈亏」为准，而不是毛盈亏。</w:t>
      </w:r>
    </w:p>
    <w:p>
      <w:pPr>
        <w:pStyle w:val="Heading1"/>
        <w:spacing w:after="160" w:before="360" w:line="312"/>
      </w:pPr>
      <w:bookmarkStart w:name="_Toc23" w:id="23"/>
      <w:r>
        <w:rPr>
          <w:rFonts w:ascii="Times New Roman" w:eastAsia="SimHei"/>
          <w:b/>
          <w:bCs/>
          <w:color w:val="0F2A3C"/>
          <w:sz w:val="32"/>
          <w:szCs w:val="32"/>
        </w:rPr>
        <w:t xml:space="preserve">附录：参数速查表</w:t>
      </w:r>
      <w:bookmarkEnd w:id="2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下表汇总控制台全部 14 个参数，按控制台展示顺序排列，便于快速查找。「分组」即控制台中的分组标题，「默认值」为代码默认（恢复全部默认后回到此值）。</w:t>
      </w:r>
    </w:p>
    <w:p>
      <w:pPr>
        <w:keepNext/>
        <w:spacing w:after="60" w:before="160" w:line="312"/>
      </w:pPr>
      <w:r>
        <w:rPr>
          <w:rFonts w:ascii="Times New Roman" w:eastAsia="SimHei"/>
          <w:b/>
          <w:bCs/>
          <w:color w:val="0F2A3C"/>
          <w:sz w:val="21"/>
          <w:szCs w:val="21"/>
        </w:rPr>
        <w:t xml:space="preserve">表 3  参数速查总表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109"/>
        <w:gridCol w:w="1318"/>
        <w:gridCol w:w="791"/>
        <w:gridCol w:w="1318"/>
        <w:gridCol w:w="3252"/>
      </w:tblGrid>
      <w:tr>
        <w:trPr>
          <w:cantSplit/>
          <w:tblHeader/>
        </w:trPr>
        <w:tc>
          <w:tcPr>
            <w:tcW w:type="pct" w:w="12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参数键</w:t>
            </w:r>
          </w:p>
        </w:tc>
        <w:tc>
          <w:tcPr>
            <w:tcW w:type="pct" w:w="7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分组</w:t>
            </w:r>
          </w:p>
        </w:tc>
        <w:tc>
          <w:tcPr>
            <w:tcW w:type="pct" w:w="4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默认</w:t>
            </w:r>
          </w:p>
        </w:tc>
        <w:tc>
          <w:tcPr>
            <w:tcW w:type="pct" w:w="7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范围</w:t>
            </w:r>
          </w:p>
        </w:tc>
        <w:tc>
          <w:tcPr>
            <w:tcW w:type="pct" w:w="18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一句话作用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ENTRY_MIN_SCORE</w:t>
            </w:r>
          </w:p>
        </w:tc>
        <w:tc>
          <w:tcPr>
            <w:tcW w:type="pct" w:w="7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模式A门槛</w:t>
            </w:r>
          </w:p>
        </w:tc>
        <w:tc>
          <w:tcPr>
            <w:tcW w:type="pct" w:w="4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45</w:t>
            </w:r>
          </w:p>
        </w:tc>
        <w:tc>
          <w:tcPr>
            <w:tcW w:type="pct" w:w="7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0-100</w:t>
            </w:r>
          </w:p>
        </w:tc>
        <w:tc>
          <w:tcPr>
            <w:tcW w:type="pct" w:w="18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模式 A 的 1m 评分下限（起点线）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ENTRY_MIN_ER</w:t>
            </w:r>
          </w:p>
        </w:tc>
        <w:tc>
          <w:tcPr>
            <w:tcW w:type="pct" w:w="7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模式A门槛</w:t>
            </w:r>
          </w:p>
        </w:tc>
        <w:tc>
          <w:tcPr>
            <w:tcW w:type="pct" w:w="4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0.35</w:t>
            </w:r>
          </w:p>
        </w:tc>
        <w:tc>
          <w:tcPr>
            <w:tcW w:type="pct" w:w="7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0-1</w:t>
            </w:r>
          </w:p>
        </w:tc>
        <w:tc>
          <w:tcPr>
            <w:tcW w:type="pct" w:w="18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模式 A 的走势干净度下限（防磨损）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NEUTRAL_MIN_SCORE</w:t>
            </w:r>
          </w:p>
        </w:tc>
        <w:tc>
          <w:tcPr>
            <w:tcW w:type="pct" w:w="7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模式B门槛</w:t>
            </w:r>
          </w:p>
        </w:tc>
        <w:tc>
          <w:tcPr>
            <w:tcW w:type="pct" w:w="4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55</w:t>
            </w:r>
          </w:p>
        </w:tc>
        <w:tc>
          <w:tcPr>
            <w:tcW w:type="pct" w:w="7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0-100</w:t>
            </w:r>
          </w:p>
        </w:tc>
        <w:tc>
          <w:tcPr>
            <w:tcW w:type="pct" w:w="18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震荡选向的评分下限（严一档）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NEUTRAL_MIN_ER</w:t>
            </w:r>
          </w:p>
        </w:tc>
        <w:tc>
          <w:tcPr>
            <w:tcW w:type="pct" w:w="7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模式B门槛</w:t>
            </w:r>
          </w:p>
        </w:tc>
        <w:tc>
          <w:tcPr>
            <w:tcW w:type="pct" w:w="4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0.45</w:t>
            </w:r>
          </w:p>
        </w:tc>
        <w:tc>
          <w:tcPr>
            <w:tcW w:type="pct" w:w="7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0-1</w:t>
            </w:r>
          </w:p>
        </w:tc>
        <w:tc>
          <w:tcPr>
            <w:tcW w:type="pct" w:w="18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震荡选向的结构干净度下限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waitBarConfirm</w:t>
            </w:r>
          </w:p>
        </w:tc>
        <w:tc>
          <w:tcPr>
            <w:tcW w:type="pct" w:w="7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入场时机</w:t>
            </w:r>
          </w:p>
        </w:tc>
        <w:tc>
          <w:tcPr>
            <w:tcW w:type="pct" w:w="4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开</w:t>
            </w:r>
          </w:p>
        </w:tc>
        <w:tc>
          <w:tcPr>
            <w:tcW w:type="pct" w:w="7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开/关</w:t>
            </w:r>
          </w:p>
        </w:tc>
        <w:tc>
          <w:tcPr>
            <w:tcW w:type="pct" w:w="18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关闭后达标当根直接开仓（快 1 根 K 线）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REENTRY_MIN_GAP_MS</w:t>
            </w:r>
          </w:p>
        </w:tc>
        <w:tc>
          <w:tcPr>
            <w:tcW w:type="pct" w:w="7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入场时机</w:t>
            </w:r>
          </w:p>
        </w:tc>
        <w:tc>
          <w:tcPr>
            <w:tcW w:type="pct" w:w="4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60000</w:t>
            </w:r>
          </w:p>
        </w:tc>
        <w:tc>
          <w:tcPr>
            <w:tcW w:type="pct" w:w="7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0-600000</w:t>
            </w:r>
          </w:p>
        </w:tc>
        <w:tc>
          <w:tcPr>
            <w:tcW w:type="pct" w:w="18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同周期平仓到再入场的最小间隔（ms）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MAX_ROUNDS_PER_CYCLE</w:t>
            </w:r>
          </w:p>
        </w:tc>
        <w:tc>
          <w:tcPr>
            <w:tcW w:type="pct" w:w="7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再入场与轮次</w:t>
            </w:r>
          </w:p>
        </w:tc>
        <w:tc>
          <w:tcPr>
            <w:tcW w:type="pct" w:w="4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7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1-6</w:t>
            </w:r>
          </w:p>
        </w:tc>
        <w:tc>
          <w:tcPr>
            <w:tcW w:type="pct" w:w="18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同趋势周期最多开仓轮数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WEAKNESS_EXIT_EARLY</w:t>
            </w:r>
          </w:p>
        </w:tc>
        <w:tc>
          <w:tcPr>
            <w:tcW w:type="pct" w:w="7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再入场与轮次</w:t>
            </w:r>
          </w:p>
        </w:tc>
        <w:tc>
          <w:tcPr>
            <w:tcW w:type="pct" w:w="4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开</w:t>
            </w:r>
          </w:p>
        </w:tc>
        <w:tc>
          <w:tcPr>
            <w:tcW w:type="pct" w:w="7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开/关</w:t>
            </w:r>
          </w:p>
        </w:tc>
        <w:tc>
          <w:tcPr>
            <w:tcW w:type="pct" w:w="18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出现结束迹象先离场、走强再进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SPIKE_MOVE_PCT</w:t>
            </w:r>
          </w:p>
        </w:tc>
        <w:tc>
          <w:tcPr>
            <w:tcW w:type="pct" w:w="7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冲高套利</w:t>
            </w:r>
          </w:p>
        </w:tc>
        <w:tc>
          <w:tcPr>
            <w:tcW w:type="pct" w:w="4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0.6</w:t>
            </w:r>
          </w:p>
        </w:tc>
        <w:tc>
          <w:tcPr>
            <w:tcW w:type="pct" w:w="7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0.1-5</w:t>
            </w:r>
          </w:p>
        </w:tc>
        <w:tc>
          <w:tcPr>
            <w:tcW w:type="pct" w:w="18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短窗顺向运动达到该幅度即落袋（%）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SPIKE_WINDOW_MS</w:t>
            </w:r>
          </w:p>
        </w:tc>
        <w:tc>
          <w:tcPr>
            <w:tcW w:type="pct" w:w="7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冲高套利</w:t>
            </w:r>
          </w:p>
        </w:tc>
        <w:tc>
          <w:tcPr>
            <w:tcW w:type="pct" w:w="4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90000</w:t>
            </w:r>
          </w:p>
        </w:tc>
        <w:tc>
          <w:tcPr>
            <w:tcW w:type="pct" w:w="7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30000-300000</w:t>
            </w:r>
          </w:p>
        </w:tc>
        <w:tc>
          <w:tcPr>
            <w:tcW w:type="pct" w:w="18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冲高检测回看窗口（ms）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SPIKE_MIN_HOLD_MS</w:t>
            </w:r>
          </w:p>
        </w:tc>
        <w:tc>
          <w:tcPr>
            <w:tcW w:type="pct" w:w="7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冲高套利</w:t>
            </w:r>
          </w:p>
        </w:tc>
        <w:tc>
          <w:tcPr>
            <w:tcW w:type="pct" w:w="4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45000</w:t>
            </w:r>
          </w:p>
        </w:tc>
        <w:tc>
          <w:tcPr>
            <w:tcW w:type="pct" w:w="7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0-300000</w:t>
            </w:r>
          </w:p>
        </w:tc>
        <w:tc>
          <w:tcPr>
            <w:tcW w:type="pct" w:w="18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冲高套利前最短持仓（ms）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ALLOW_HTF_OPPOSED</w:t>
            </w:r>
          </w:p>
        </w:tc>
        <w:tc>
          <w:tcPr>
            <w:tcW w:type="pct" w:w="7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方向约束</w:t>
            </w:r>
          </w:p>
        </w:tc>
        <w:tc>
          <w:tcPr>
            <w:tcW w:type="pct" w:w="4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关</w:t>
            </w:r>
          </w:p>
        </w:tc>
        <w:tc>
          <w:tcPr>
            <w:tcW w:type="pct" w:w="7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开/关</w:t>
            </w:r>
          </w:p>
        </w:tc>
        <w:tc>
          <w:tcPr>
            <w:tcW w:type="pct" w:w="18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是否允许逆 5m 背景开仓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cooldownMs</w:t>
            </w:r>
          </w:p>
        </w:tc>
        <w:tc>
          <w:tcPr>
            <w:tcW w:type="pct" w:w="7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节奏（基础设施）</w:t>
            </w:r>
          </w:p>
        </w:tc>
        <w:tc>
          <w:tcPr>
            <w:tcW w:type="pct" w:w="4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300000</w:t>
            </w:r>
          </w:p>
        </w:tc>
        <w:tc>
          <w:tcPr>
            <w:tcW w:type="pct" w:w="7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0-1800000</w:t>
            </w:r>
          </w:p>
        </w:tc>
        <w:tc>
          <w:tcPr>
            <w:tcW w:type="pct" w:w="185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同币种平仓后冷却（ms）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marginRatio</w:t>
            </w:r>
          </w:p>
        </w:tc>
        <w:tc>
          <w:tcPr>
            <w:tcW w:type="pct" w:w="7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仓位与资金（基础设施）</w:t>
            </w:r>
          </w:p>
        </w:tc>
        <w:tc>
          <w:tcPr>
            <w:tcW w:type="pct" w:w="4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0.2</w:t>
            </w:r>
          </w:p>
        </w:tc>
        <w:tc>
          <w:tcPr>
            <w:tcW w:type="pct" w:w="7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0.01-1</w:t>
            </w:r>
          </w:p>
        </w:tc>
        <w:tc>
          <w:tcPr>
            <w:tcW w:type="pct" w:w="1850"/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每仓保证金比例上限；实际 = min(设定， 95%÷持仓数)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补充说明固定项：1m 趋势确认固定需要连续 3 根已收盘 K 线（平台状态机设计，不在控制台范围）；待入场记录最长等待 10 分钟；杠杆固定 20 倍；保证金比例实际生效 = min(设定值， 95% ÷ 持仓数)，满仓保证金合计约为权益的 95%；手续费按 taker 双边计、滑点按基点估算，统计主口径为含滑点净盈亏。上述固定项如确有调整需求，属于平台级变更，不在本说明书讨论范围。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/>
      </w:pBdr>
      <w:jc w:val="right"/>
    </w:pPr>
    <w:r>
      <w:rPr>
        <w:rFonts w:ascii="Times New Roman" w:eastAsia="SimSun"/>
        <w:color w:val="90989F"/>
        <w:sz w:val="18"/>
        <w:szCs w:val="18"/>
      </w:rPr>
      <w:t xml:space="preserve">趋势机器人参数说明书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0F2A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/>
      <w:b/>
      <w:bCs/>
      <w:color w:val="0F2A3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趋势机器人自动开仓参数说明书</dc:title>
  <dc:creator>Binance Radar</dc:creator>
  <cp:lastModifiedBy>Un-named</cp:lastModifiedBy>
  <cp:revision>1</cp:revision>
  <dcterms:created xsi:type="dcterms:W3CDTF">2026-10-17T11:28:24.262Z</dcterms:created>
  <dcterms:modified xsi:type="dcterms:W3CDTF">2026-10-17T11:28:24.262Z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