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pStyle w:val="Title"/>
      </w:pPr>
      <w:r>
        <w:t>2023年中国区域经济运行研究报告</w:t>
      </w:r>
    </w:p>
    <w:p>
      <w:r>
        <w:t>摘要：本报告梳理了2023年中国主要省市的经济运行数据，包括GDP、人口、固定资产投资、社会消费品零售总额等核心指标，并对区域经济格局进行了分析。</w:t>
      </w:r>
    </w:p>
    <w:p>
      <w:pPr>
        <w:pStyle w:val="Heading1"/>
      </w:pPr>
      <w:r>
        <w:t>一、全国经济总体情况</w:t>
      </w:r>
    </w:p>
    <w:p>
      <w:r>
        <w:t>2023年，中国国内生产总值达到1260582亿元，同比增长5.2%。其中，第一产业增加值为89755.2亿元，第二产业增加值为482502.1亿元，第三产业增加值为687278.5亿元。三次产业结构为7.1:38.3:54.6。全年人均国内生产总值为89358元，比上年增长5.4%。</w:t>
      </w:r>
    </w:p>
    <w:p>
      <w:r>
        <w:t>2023年末全国人口为140967万人，比上年末减少208万人。人口自然增长率为-0.15‰。全年城镇新增就业1244万人，城镇调查失业率平均为5.2%。</w:t>
      </w:r>
    </w:p>
    <w:p>
      <w:pPr>
        <w:pStyle w:val="Heading1"/>
      </w:pPr>
      <w:r>
        <w:t>二、主要省市经济运行情况</w:t>
      </w:r>
    </w:p>
    <w:p>
      <w:r>
        <w:t>广东省2023年GDP达到135673.2亿元，继续位居全国第一。全省人均GDP为106650元，同比增长4.6%。固定资产投资完成59500亿元，增长2.5%。社会消费品零售总额48932亿元，增长7.6%。进出口总额8723亿美元，下降3.2%。</w:t>
      </w:r>
    </w:p>
    <w:p>
      <w:r>
        <w:t>江苏省2023年实现GDP 128222.2亿元，同比增长5.8%。其中，第一产业增加值5280亿元，第二产业增加值58900亿元，第三产业增加值64042.2亿元。全省常住人口8526万人，人均GDP为150388元，位居全国前列。固定资产投资增长3.8%，社会消费品零售总额增长8.2%。</w:t>
      </w:r>
    </w:p>
    <w:p>
      <w:r>
        <w:t>浙江省2023年GDP为82553.4亿元，增长6.0%。其中数字经济核心产业增加值11500亿元，占GDP比重为13.9%。全省常住人口6627万人，人均GDP为124520元。全年进出口总额5823亿美元，增长1.5%，其中出口4420亿美元，增长3.5%。</w:t>
      </w:r>
    </w:p>
    <w:p>
      <w:r>
        <w:t>北京市2023年实现地区生产总值43760.7亿元，按不变价格计算，同比增长5.2%。其中，第一产业增加值111.8亿元，第二产业增加值6524.6亿元，第三产业增加值37124.3亿元。三次产业构成为0.3:14.9:84.8。全市常住人口2185.8万人，人均GDP达到20.1万元。</w:t>
      </w:r>
    </w:p>
    <w:p>
      <w:r>
        <w:t>上海市2023年GDP为47218.7亿元，同比增长5.0%。其中，第一产业增加值95.3亿元，第二产业增加值11901.5亿元，第三产业增加值35221.9亿元。第三产业增加值占全市GDP的比重为74.6%。全市常住人口2487.2万人，人均GDP为18.9万元。</w:t>
      </w:r>
    </w:p>
    <w:p>
      <w:r>
        <w:t>山东省2023年GDP达到92068.7亿元，同比增长5.5%。其中，第一产业增加值6268.8亿元，第二产业增加值39708.5亿元，第三产业增加值46091.4亿元。全省常住人口10122.5万人。固定资产投资增长4.2%，社会消费品零售总额增长8.5%。</w:t>
      </w:r>
    </w:p>
    <w:p>
      <w:pPr>
        <w:pStyle w:val="Heading1"/>
      </w:pPr>
      <w:r>
        <w:t>三、投资与消费</w:t>
      </w:r>
    </w:p>
    <w:p>
      <w:r>
        <w:t>2023年，全国固定资产投资（不含农户）503567亿元，同比增长3.0%。其中，民间投资253544亿元，下降0.4%。分产业看，第一产业投资增长2.9%，第二产业投资增长9.0%，第三产业投资增长0.7%。制造业投资增长6.5%，基础设施投资增长5.7%，房地产开发投资下降9.6%。</w:t>
      </w:r>
    </w:p>
    <w:p>
      <w:r>
        <w:t>2023年，社会消费品零售总额471495亿元，同比增长7.2%。其中，商品零售420770亿元，增长5.8%；餐饮收入50725亿元，增长20.4%。全国网上零售额154264亿元，增长11.0%。其中，实物商品网上零售额128905亿元，增长8.4%，占社会消费品零售总额的比重为27.3%。</w:t>
      </w:r>
    </w:p>
    <w:p>
      <w:pPr>
        <w:pStyle w:val="Heading1"/>
      </w:pPr>
      <w:r>
        <w:t>四、能源与环境</w:t>
      </w:r>
    </w:p>
    <w:p>
      <w:r>
        <w:t>2023年，全国能源消费总量55.7亿吨标准煤，比上年增长6.7%。煤炭消费量增长7.1%，原油消费量增长7.2%，天然气消费量增长9.9%，电力消费量增长10.2%。单位国内生产总值能耗比上年下降0.1%。</w:t>
      </w:r>
    </w:p>
    <w:p>
      <w:r>
        <w:t>广东省能源消费总量4.28亿吨标准煤，居全国首位。江苏省能源消费总量4.55亿吨标准煤，其中工业能耗占比67%。浙江省能源消费总量2.96亿吨标准煤，单位GDP能耗下降3.2%。</w:t>
      </w:r>
    </w:p>
    <w:p/>
    <w:p>
      <w:r>
        <w:t>（注：本报告数据为模拟数据，仅用于系统测试。）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