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2022年规模以上工业增加值</w:t>
      </w:r>
    </w:p>
    <w:p>
      <w:r>
        <w:t>单位：亿元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地区</w:t>
            </w:r>
          </w:p>
        </w:tc>
        <w:tc>
          <w:tcPr>
            <w:tcW w:type="dxa" w:w="2880"/>
          </w:tcPr>
          <w:p>
            <w:r>
              <w:t>工业增加值</w:t>
            </w:r>
          </w:p>
        </w:tc>
        <w:tc>
          <w:tcPr>
            <w:tcW w:type="dxa" w:w="2880"/>
          </w:tcPr>
          <w:p>
            <w:r>
              <w:t>同比增速(%)</w:t>
            </w:r>
          </w:p>
        </w:tc>
      </w:tr>
      <w:tr>
        <w:tc>
          <w:tcPr>
            <w:tcW w:type="dxa" w:w="2880"/>
          </w:tcPr>
          <w:p>
            <w:r>
              <w:t>北京市</w:t>
            </w:r>
          </w:p>
        </w:tc>
        <w:tc>
          <w:tcPr>
            <w:tcW w:type="dxa" w:w="2880"/>
          </w:tcPr>
          <w:p>
            <w:r>
              <w:t>5800.5</w:t>
            </w:r>
          </w:p>
        </w:tc>
        <w:tc>
          <w:tcPr>
            <w:tcW w:type="dxa" w:w="2880"/>
          </w:tcPr>
          <w:p>
            <w:r>
              <w:t>2.3</w:t>
            </w:r>
          </w:p>
        </w:tc>
      </w:tr>
      <w:tr>
        <w:tc>
          <w:tcPr>
            <w:tcW w:type="dxa" w:w="2880"/>
          </w:tcPr>
          <w:p>
            <w:r>
              <w:t>上海市</w:t>
            </w:r>
          </w:p>
        </w:tc>
        <w:tc>
          <w:tcPr>
            <w:tcW w:type="dxa" w:w="2880"/>
          </w:tcPr>
          <w:p>
            <w:r>
              <w:t>9200.0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  <w:tr>
        <w:tc>
          <w:tcPr>
            <w:tcW w:type="dxa" w:w="2880"/>
          </w:tcPr>
          <w:p>
            <w:r>
              <w:t>广东省</w:t>
            </w:r>
          </w:p>
        </w:tc>
        <w:tc>
          <w:tcPr>
            <w:tcW w:type="dxa" w:w="2880"/>
          </w:tcPr>
          <w:p>
            <w:r>
              <w:t>16500.3</w:t>
            </w:r>
          </w:p>
        </w:tc>
        <w:tc>
          <w:tcPr>
            <w:tcW w:type="dxa" w:w="2880"/>
          </w:tcPr>
          <w:p>
            <w:r>
              <w:t>3.2</w:t>
            </w:r>
          </w:p>
        </w:tc>
      </w:tr>
      <w:tr>
        <w:tc>
          <w:tcPr>
            <w:tcW w:type="dxa" w:w="2880"/>
          </w:tcPr>
          <w:p>
            <w:r>
              <w:t>江苏省</w:t>
            </w:r>
          </w:p>
        </w:tc>
        <w:tc>
          <w:tcPr>
            <w:tcW w:type="dxa" w:w="2880"/>
          </w:tcPr>
          <w:p>
            <w:r>
              <w:t>15200.8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  <w:tr>
        <w:tc>
          <w:tcPr>
            <w:tcW w:type="dxa" w:w="2880"/>
          </w:tcPr>
          <w:p>
            <w:r>
              <w:t>浙江省</w:t>
            </w:r>
          </w:p>
        </w:tc>
        <w:tc>
          <w:tcPr>
            <w:tcW w:type="dxa" w:w="2880"/>
          </w:tcPr>
          <w:p>
            <w:r>
              <w:t>10800.5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/>
    <w:p>
      <w:r>
        <w:t>注：数据为初步核算数。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