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SimHei" w:hAnsi="SimHei" w:eastAsia="SimHei"/>
          <w:b/>
          <w:sz w:val="36"/>
        </w:rPr>
        <w:t>课程反思报告</w:t>
      </w:r>
    </w:p>
    <w:p>
      <w:pPr>
        <w:jc w:val="center"/>
      </w:pPr>
      <w:r>
        <w:rPr>
          <w:rFonts w:ascii="Times New Roman" w:hAnsi="Times New Roman"/>
          <w:sz w:val="21"/>
        </w:rPr>
        <w:t>(2023-2024学年第1学期)</w:t>
      </w:r>
    </w:p>
    <w:p>
      <w:pPr>
        <w:jc w:val="center"/>
      </w:pPr>
      <w:r>
        <w:rPr>
          <w:rFonts w:ascii="Times New Roman" w:hAnsi="Times New Roman"/>
          <w:sz w:val="21"/>
        </w:rPr>
        <w:t>(2023-2024学年第1学期)</w:t>
      </w:r>
    </w:p>
    <w:p>
      <w:pPr>
        <w:jc w:val="left"/>
      </w:pPr>
      <w:r>
        <w:rPr>
          <w:rFonts w:ascii="SimSun" w:hAnsi="SimSun"/>
          <w:b/>
          <w:sz w:val="21"/>
        </w:rPr>
        <w:t>一、教学基本信息</w:t>
      </w:r>
    </w:p>
    <w:p>
      <w:pPr>
        <w:ind w:firstLine="420"/>
      </w:pPr>
      <w:r>
        <w:rPr>
          <w:rFonts w:ascii="SimSun" w:hAnsi="SimSun" w:eastAsia="SimSun"/>
          <w:sz w:val="21"/>
        </w:rPr>
        <w:t>课程名称：大学信息技术</w:t>
      </w:r>
    </w:p>
    <w:p>
      <w:pPr>
        <w:ind w:firstLine="420"/>
      </w:pPr>
      <w:r>
        <w:rPr>
          <w:rFonts w:ascii="SimSun" w:hAnsi="SimSun" w:eastAsia="SimSun"/>
          <w:sz w:val="21"/>
        </w:rPr>
        <w:t>授课对象及合班情况：1，共计47人</w:t>
      </w:r>
    </w:p>
    <w:p>
      <w:pPr>
        <w:ind w:firstLine="420"/>
      </w:pPr>
      <w:r>
        <w:rPr>
          <w:rFonts w:ascii="SimSun" w:hAnsi="SimSun" w:eastAsia="SimSun"/>
          <w:sz w:val="21"/>
        </w:rPr>
        <w:t>任课教师：刘利钊</w:t>
      </w:r>
    </w:p>
    <w:p>
      <w:pPr>
        <w:ind w:firstLine="420"/>
      </w:pPr>
      <w:r>
        <w:rPr>
          <w:rFonts w:ascii="SimSun" w:hAnsi="SimSun" w:eastAsia="SimSun"/>
          <w:sz w:val="21"/>
        </w:rPr>
        <w:t>实际授课课时：24学时</w:t>
      </w:r>
    </w:p>
    <w:p>
      <w:pPr>
        <w:jc w:val="left"/>
      </w:pPr>
      <w:r>
        <w:rPr>
          <w:rFonts w:ascii="SimSun" w:hAnsi="SimSun"/>
          <w:b/>
          <w:sz w:val="21"/>
        </w:rPr>
        <w:t>二、考核及学习成绩情况</w:t>
      </w:r>
    </w:p>
    <w:p>
      <w:pPr>
        <w:ind w:firstLine="420"/>
      </w:pPr>
      <w:r>
        <w:rPr>
          <w:rFonts w:ascii="SimSun" w:hAnsi="SimSun" w:eastAsia="SimSun"/>
          <w:sz w:val="21"/>
        </w:rPr>
        <w:t>本学期的《大学信息技术》课程采用SPOC教学模式，理论课选用国家精品线上课程（福建农林大学陈琼老师的《大学信息技术基础》）为蓝本，要求学生通过网课平台进行自学，实验课则安排在实验室进行线下授课。</w:t>
      </w:r>
    </w:p>
    <w:p>
      <w:pPr>
        <w:ind w:firstLine="420"/>
      </w:pPr>
      <w:r>
        <w:rPr>
          <w:rFonts w:ascii="SimSun" w:hAnsi="SimSun" w:eastAsia="SimSun"/>
          <w:sz w:val="21"/>
        </w:rPr>
        <w:t>课程的总评成绩计算方式如下：</w:t>
      </w:r>
    </w:p>
    <w:p>
      <w:pPr>
        <w:ind w:firstLine="420"/>
      </w:pPr>
      <w:r>
        <w:rPr>
          <w:rFonts w:ascii="SimSun" w:hAnsi="SimSun" w:eastAsia="SimSun"/>
          <w:sz w:val="21"/>
        </w:rPr>
        <w:t>总评成绩=期末考试成绩×60%+实验成绩×20%+网络学习成绩×20%</w:t>
      </w:r>
    </w:p>
    <w:p>
      <w:pPr>
        <w:ind w:firstLine="420"/>
      </w:pPr>
      <w:r>
        <w:rPr>
          <w:rFonts w:ascii="SimSun" w:hAnsi="SimSun" w:eastAsia="SimSun"/>
          <w:sz w:val="21"/>
        </w:rPr>
        <w:t>特别要求：当期末考试成绩≥50分时，可直接按上述公式计算总评成绩；当期末考试成绩＜50分时，则在上述公式结果和期末考试成绩之间选择最低值作为总评成绩。</w:t>
      </w:r>
    </w:p>
    <w:p>
      <w:pPr>
        <w:jc w:val="left"/>
      </w:pPr>
      <w:r>
        <w:rPr>
          <w:rFonts w:ascii="SimSun" w:hAnsi="SimSun"/>
          <w:b/>
          <w:sz w:val="21"/>
        </w:rPr>
        <w:t>1、网络学习部分成绩的计算</w:t>
      </w:r>
    </w:p>
    <w:p>
      <w:pPr>
        <w:ind w:firstLine="420"/>
      </w:pPr>
      <w:r>
        <w:rPr>
          <w:rFonts w:ascii="SimSun" w:hAnsi="SimSun" w:eastAsia="SimSun"/>
          <w:sz w:val="21"/>
        </w:rPr>
        <w:t>本学期网络学习成绩的评分细则如表1所示：</w:t>
      </w:r>
    </w:p>
    <w:p>
      <w:pPr>
        <w:ind w:firstLine="420"/>
      </w:pPr>
      <w:r>
        <w:rPr>
          <w:rFonts w:ascii="SimSun" w:hAnsi="SimSun"/>
          <w:b/>
          <w:sz w:val="18"/>
        </w:rPr>
        <w:t>表1  网络学习成绩评分细则表</w:t>
      </w:r>
    </w:p>
    <w:tbl>
      <w:tblPr>
        <w:tblStyle w:val="TableGrid"/>
        <w:tblW w:type="auto" w:w="0"/>
        <w:tblLayout w:type="fixed"/>
        <w:tblLook w:firstColumn="1" w:firstRow="1" w:lastColumn="0" w:lastRow="0" w:noHBand="0" w:noVBand="1" w:val="04A0"/>
      </w:tblPr>
      <w:tblGrid>
        <w:gridCol w:w="3324"/>
        <w:gridCol w:w="3324"/>
        <w:gridCol w:w="3324"/>
      </w:tblGrid>
      <w:tr>
        <w:tc>
          <w:tcPr>
            <w:tcW w:type="dxa" w:w="2160"/>
          </w:tcPr>
          <w:p>
            <w:pPr>
              <w:jc w:val="center"/>
            </w:pPr>
            <w:r>
              <w:rPr>
                <w:rFonts w:ascii="SimSun" w:hAnsi="SimSun"/>
                <w:sz w:val="18"/>
              </w:rPr>
              <w:t>评分内容</w:t>
            </w:r>
          </w:p>
        </w:tc>
        <w:tc>
          <w:tcPr>
            <w:tcW w:type="dxa" w:w="2160"/>
          </w:tcPr>
          <w:p>
            <w:pPr>
              <w:jc w:val="center"/>
            </w:pPr>
            <w:r>
              <w:rPr>
                <w:rFonts w:ascii="SimSun" w:hAnsi="SimSun"/>
                <w:sz w:val="18"/>
              </w:rPr>
              <w:t>权重</w:t>
            </w:r>
          </w:p>
        </w:tc>
        <w:tc>
          <w:tcPr>
            <w:tcW w:type="dxa" w:w="4320"/>
          </w:tcPr>
          <w:p>
            <w:pPr>
              <w:jc w:val="center"/>
            </w:pPr>
            <w:r>
              <w:rPr>
                <w:rFonts w:ascii="SimSun" w:hAnsi="SimSun"/>
                <w:sz w:val="18"/>
              </w:rPr>
              <w:t>说明</w:t>
            </w:r>
          </w:p>
        </w:tc>
      </w:tr>
      <w:tr>
        <w:tc>
          <w:tcPr>
            <w:tcW w:type="dxa" w:w="2160"/>
          </w:tcPr>
          <w:p>
            <w:pPr>
              <w:jc w:val="center"/>
            </w:pPr>
            <w:r>
              <w:rPr>
                <w:rFonts w:ascii="SimSun" w:hAnsi="SimSun"/>
                <w:sz w:val="18"/>
              </w:rPr>
              <w:t>单元测验</w:t>
            </w:r>
          </w:p>
        </w:tc>
        <w:tc>
          <w:tcPr>
            <w:tcW w:type="dxa" w:w="2160"/>
          </w:tcPr>
          <w:p>
            <w:pPr>
              <w:jc w:val="center"/>
            </w:pPr>
            <w:r>
              <w:rPr>
                <w:rFonts w:ascii="SimSun" w:hAnsi="SimSun"/>
                <w:sz w:val="18"/>
              </w:rPr>
              <w:t>60%</w:t>
            </w:r>
          </w:p>
        </w:tc>
        <w:tc>
          <w:tcPr>
            <w:tcW w:type="dxa" w:w="4320"/>
          </w:tcPr>
          <w:p>
            <w:pPr>
              <w:jc w:val="center"/>
            </w:pPr>
            <w:r>
              <w:rPr>
                <w:rFonts w:ascii="SimSun" w:hAnsi="SimSun"/>
                <w:sz w:val="18"/>
              </w:rPr>
              <w:t>每次测验有3次机会（随机抽题），取最高分</w:t>
            </w:r>
          </w:p>
        </w:tc>
      </w:tr>
      <w:tr>
        <w:tc>
          <w:tcPr>
            <w:tcW w:type="dxa" w:w="2160"/>
          </w:tcPr>
          <w:p>
            <w:pPr>
              <w:jc w:val="center"/>
            </w:pPr>
            <w:r>
              <w:rPr>
                <w:rFonts w:ascii="SimSun" w:hAnsi="SimSun"/>
                <w:sz w:val="18"/>
              </w:rPr>
              <w:t>综合测验</w:t>
            </w:r>
          </w:p>
        </w:tc>
        <w:tc>
          <w:tcPr>
            <w:tcW w:type="dxa" w:w="2160"/>
          </w:tcPr>
          <w:p>
            <w:pPr>
              <w:jc w:val="center"/>
            </w:pPr>
            <w:r>
              <w:rPr>
                <w:rFonts w:ascii="SimSun" w:hAnsi="SimSun"/>
                <w:sz w:val="18"/>
              </w:rPr>
              <w:t>30%</w:t>
            </w:r>
          </w:p>
        </w:tc>
        <w:tc>
          <w:tcPr>
            <w:tcW w:type="dxa" w:w="4320"/>
          </w:tcPr>
          <w:p>
            <w:pPr>
              <w:jc w:val="center"/>
            </w:pPr>
            <w:r>
              <w:rPr>
                <w:rFonts w:ascii="SimSun" w:hAnsi="SimSun"/>
                <w:sz w:val="18"/>
              </w:rPr>
              <w:t>只有1次机会（随机抽题）</w:t>
            </w:r>
          </w:p>
        </w:tc>
      </w:tr>
      <w:tr>
        <w:tc>
          <w:tcPr>
            <w:tcW w:type="dxa" w:w="2160"/>
          </w:tcPr>
          <w:p>
            <w:pPr>
              <w:jc w:val="center"/>
            </w:pPr>
            <w:r>
              <w:rPr>
                <w:rFonts w:ascii="SimSun" w:hAnsi="SimSun"/>
                <w:sz w:val="18"/>
              </w:rPr>
              <w:t>讨论</w:t>
            </w:r>
          </w:p>
        </w:tc>
        <w:tc>
          <w:tcPr>
            <w:tcW w:type="dxa" w:w="2160"/>
          </w:tcPr>
          <w:p>
            <w:pPr>
              <w:jc w:val="center"/>
            </w:pPr>
            <w:r>
              <w:rPr>
                <w:rFonts w:ascii="SimSun" w:hAnsi="SimSun"/>
                <w:sz w:val="18"/>
              </w:rPr>
              <w:t>10%</w:t>
            </w:r>
          </w:p>
        </w:tc>
        <w:tc>
          <w:tcPr>
            <w:tcW w:type="dxa" w:w="4320"/>
          </w:tcPr>
          <w:p>
            <w:pPr>
              <w:jc w:val="center"/>
            </w:pPr>
            <w:r>
              <w:rPr>
                <w:rFonts w:ascii="SimSun" w:hAnsi="SimSun"/>
                <w:sz w:val="18"/>
              </w:rPr>
              <w:t>10次得满分，限课堂交流区，其它地方的讨论不计入成绩</w:t>
            </w:r>
          </w:p>
        </w:tc>
      </w:tr>
    </w:tbl>
    <w:p>
      <w:pPr>
        <w:ind w:firstLine="420"/>
      </w:pPr>
      <w:r>
        <w:rPr>
          <w:rFonts w:ascii="SimSun" w:hAnsi="SimSun" w:eastAsia="SimSun"/>
          <w:sz w:val="21"/>
        </w:rPr>
        <w:t>1班的网络学习部分的成绩情况见表2。</w:t>
      </w:r>
    </w:p>
    <w:p>
      <w:pPr>
        <w:ind w:firstLine="420"/>
      </w:pPr>
      <w:r>
        <w:rPr>
          <w:rFonts w:ascii="SimSun" w:hAnsi="SimSun"/>
          <w:b/>
          <w:sz w:val="18"/>
        </w:rPr>
        <w:t>表2  网络学习部分成绩情况表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47</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99.4</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77.73</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4</w:t>
            </w:r>
          </w:p>
        </w:tc>
        <w:tc>
          <w:tcPr>
            <w:tcW w:type="dxa" w:w="1440"/>
          </w:tcPr>
          <w:p>
            <w:pPr>
              <w:jc w:val="center"/>
            </w:pPr>
            <w:r>
              <w:rPr>
                <w:rFonts w:ascii="SimSun" w:hAnsi="SimSun" w:eastAsia="SimSun"/>
                <w:sz w:val="21"/>
              </w:rPr>
              <w:t>29</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8.51%</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2.13%</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4.26%</w:t>
            </w:r>
          </w:p>
        </w:tc>
        <w:tc>
          <w:tcPr>
            <w:tcW w:type="dxa" w:w="864"/>
          </w:tcPr>
          <w:p>
            <w:pPr>
              <w:jc w:val="center"/>
            </w:pPr>
            <w:r>
              <w:rPr>
                <w:rFonts w:ascii="SimSun" w:hAnsi="SimSun" w:eastAsia="SimSun"/>
                <w:sz w:val="21"/>
              </w:rPr>
              <w:t>6.38%</w:t>
            </w:r>
          </w:p>
        </w:tc>
        <w:tc>
          <w:tcPr>
            <w:tcW w:type="dxa" w:w="864"/>
          </w:tcPr>
          <w:p>
            <w:pPr>
              <w:jc w:val="center"/>
            </w:pPr>
            <w:r>
              <w:rPr>
                <w:rFonts w:ascii="SimSun" w:hAnsi="SimSun" w:eastAsia="SimSun"/>
                <w:sz w:val="21"/>
              </w:rPr>
              <w:t>6.38%</w:t>
            </w:r>
          </w:p>
        </w:tc>
        <w:tc>
          <w:tcPr>
            <w:tcW w:type="dxa" w:w="864"/>
          </w:tcPr>
          <w:p>
            <w:pPr>
              <w:jc w:val="center"/>
            </w:pPr>
            <w:r>
              <w:rPr>
                <w:rFonts w:ascii="SimSun" w:hAnsi="SimSun" w:eastAsia="SimSun"/>
                <w:sz w:val="21"/>
              </w:rPr>
              <w:t>2.13%</w:t>
            </w:r>
          </w:p>
        </w:tc>
        <w:tc>
          <w:tcPr>
            <w:tcW w:type="dxa" w:w="864"/>
          </w:tcPr>
          <w:p>
            <w:pPr>
              <w:jc w:val="center"/>
            </w:pPr>
            <w:r>
              <w:rPr>
                <w:rFonts w:ascii="SimSun" w:hAnsi="SimSun" w:eastAsia="SimSun"/>
                <w:sz w:val="21"/>
              </w:rPr>
              <w:t>8.51%</w:t>
            </w:r>
          </w:p>
        </w:tc>
        <w:tc>
          <w:tcPr>
            <w:tcW w:type="dxa" w:w="1440"/>
          </w:tcPr>
          <w:p>
            <w:pPr>
              <w:jc w:val="center"/>
            </w:pPr>
            <w:r>
              <w:rPr>
                <w:rFonts w:ascii="SimSun" w:hAnsi="SimSun" w:eastAsia="SimSun"/>
                <w:sz w:val="21"/>
              </w:rPr>
              <w:t>61.70%</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231cjddy_平时成绩分布.png"/>
                          <pic:cNvPicPr/>
                        </pic:nvPicPr>
                        <pic:blipFill>
                          <a:blip r:embed="rId10"/>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本课程共有47名学生参与。整体来看，学生的表现呈现出一定的两极分化趋势，但大多数学生取得了较好的成绩。</w:t>
        <w:br/>
        <w:br/>
        <w:t>最高分达到了99.4分，而最低分为0分。平均分为77.73分，表明大部分学生能够掌握课程的核心内容。然而，有4名学生未能通过课程，占比约8.51%，这提示我们可能需要关注这部分学生的学习状况，提供更多的支持与辅导。</w:t>
        <w:br/>
        <w:br/>
        <w:t>从成绩分布来看，超过半数的学生（61.70%）获得了90分以上的高分，这表明大部分学生对课程内容掌握得较好，能够灵活运用所学知识。而0-10分这个区间内有4名学生，占比8.51%，这部分学生可能需要额外的关注和支持来提升他们的学习效果。</w:t>
        <w:br/>
        <w:br/>
        <w:t>中间分数段（20-80分）的学生人数较少，仅占10.64%。其中，40-50分、50-60分、60-70分以及70-80分这几个区间内的人数分别为2人、3人、3人和1人，这些学生虽然总体表现良好，但在某些方面可能还需要进一步提高。</w:t>
        <w:br/>
        <w:br/>
        <w:t>总体而言，大部分学生表现优异，但仍需关注少数低分学生的学习情况，以便更好地帮助他们提高成绩。未来可以考虑增加针对不同层次学生的个性化辅导和教学方法，以确保每位学生都能获得充分的发展机会。</w:t>
      </w:r>
    </w:p>
    <w:p>
      <w:pPr>
        <w:jc w:val="left"/>
      </w:pPr>
      <w:r>
        <w:rPr>
          <w:rFonts w:ascii="SimSun" w:hAnsi="SimSun"/>
          <w:b/>
          <w:sz w:val="21"/>
        </w:rPr>
        <w:t>2、实验成绩的计算</w:t>
      </w:r>
    </w:p>
    <w:p>
      <w:pPr>
        <w:ind w:left="420"/>
      </w:pPr>
      <w:r>
        <w:rPr>
          <w:rFonts w:ascii="SimSun" w:hAnsi="SimSun" w:eastAsia="SimSun"/>
          <w:sz w:val="21"/>
        </w:rPr>
        <w:t>本学期共进行了XX次实验，全部在万维考试系统上完成，由系统自动评分。</w:t>
        <w:br/>
        <w:t>1班的实验成绩情况见表3。</w:t>
      </w:r>
    </w:p>
    <w:p>
      <w:pPr>
        <w:ind w:firstLine="420"/>
      </w:pPr>
      <w:r>
        <w:rPr>
          <w:rFonts w:ascii="SimSun" w:hAnsi="SimSun"/>
          <w:b/>
          <w:sz w:val="18"/>
        </w:rPr>
        <w:t>表3  实验部分成绩情况表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47</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99.0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90.16</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1</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10</w:t>
            </w:r>
          </w:p>
        </w:tc>
        <w:tc>
          <w:tcPr>
            <w:tcW w:type="dxa" w:w="1440"/>
          </w:tcPr>
          <w:p>
            <w:pPr>
              <w:jc w:val="center"/>
            </w:pPr>
            <w:r>
              <w:rPr>
                <w:rFonts w:ascii="SimSun" w:hAnsi="SimSun" w:eastAsia="SimSun"/>
                <w:sz w:val="21"/>
              </w:rPr>
              <w:t>36</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2.13%</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21.28%</w:t>
            </w:r>
          </w:p>
        </w:tc>
        <w:tc>
          <w:tcPr>
            <w:tcW w:type="dxa" w:w="1440"/>
          </w:tcPr>
          <w:p>
            <w:pPr>
              <w:jc w:val="center"/>
            </w:pPr>
            <w:r>
              <w:rPr>
                <w:rFonts w:ascii="SimSun" w:hAnsi="SimSun" w:eastAsia="SimSun"/>
                <w:sz w:val="21"/>
              </w:rPr>
              <w:t>76.60%</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231cjddy_实验成绩分布.png"/>
                          <pic:cNvPicPr/>
                        </pic:nvPicPr>
                        <pic:blipFill>
                          <a:blip r:embed="rId11"/>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本次课程实验成绩反映出整体表现优异。全班共有47名学生参与，成绩从最低的0分到最高的99分，平均分为90.16分。成绩分布呈现明显的集中趋势，大部分学生得分集中在高分段。</w:t>
        <w:br/>
        <w:br/>
        <w:t>具体来看，仅有1名学生获得0至10分，占比仅为2.13%，这部分学生可能需要额外的帮助和指导来提升成绩。而80至90分之间有10名学生，占比21.28%，这些学生已经表现出较高的水平。更令人欣慰的是，高达76.60%的学生，即36人，获得了90分以上的高分，显示出绝大多数学生对课程内容掌握良好，能够完成实验任务并取得优异成绩。</w:t>
        <w:br/>
        <w:br/>
        <w:t>总体而言，本次实验成绩反映了学生们对于课程内容的理解与应用能力较强，大部分学生能够顺利完成实验并达到较高标准。对于少数成绩较低的学生，建议提供针对性辅导和支持，帮助他们提高成绩。同时，也可以考虑在后续课程中加入更多实践环节，进一步巩固学生们的知识和技能。</w:t>
      </w:r>
    </w:p>
    <w:p>
      <w:pPr>
        <w:jc w:val="left"/>
      </w:pPr>
      <w:r>
        <w:rPr>
          <w:rFonts w:ascii="SimSun" w:hAnsi="SimSun"/>
          <w:b/>
          <w:sz w:val="21"/>
        </w:rPr>
        <w:t>3、期末考试成绩的计算</w:t>
      </w:r>
    </w:p>
    <w:p>
      <w:pPr>
        <w:ind w:firstLine="420"/>
      </w:pPr>
      <w:r>
        <w:rPr>
          <w:rFonts w:ascii="SimSun" w:hAnsi="SimSun" w:eastAsia="SimSun"/>
          <w:sz w:val="21"/>
        </w:rPr>
        <w:t>由于理论部分的教学内容已在网络课程中安排了单元测验和综合测验，因此期末考试主要考核实验部分的教学内容。本课程期末考试采用万维考试系统进行上机考试，考生登录考试系统后，系统自动为各考生分配试卷，每份试卷的题型和分值组成如下：</w:t>
      </w:r>
    </w:p>
    <w:p>
      <w:pPr>
        <w:ind w:left="840"/>
      </w:pPr>
      <w:r>
        <w:rPr>
          <w:rFonts w:ascii="SimSun" w:hAnsi="SimSun" w:eastAsia="SimSun"/>
          <w:sz w:val="21"/>
        </w:rPr>
        <w:t>1) Windows/网络设置操作题15分。</w:t>
        <w:br/>
        <w:t>2) MS Office Word操作题30分。</w:t>
        <w:br/>
        <w:t>3) MS Office Excel操作题35分。</w:t>
        <w:br/>
        <w:t>4) MS Office PPT操作题20分。</w:t>
      </w:r>
    </w:p>
    <w:p>
      <w:pPr>
        <w:ind w:left="420"/>
      </w:pPr>
      <w:r>
        <w:rPr>
          <w:rFonts w:ascii="SimSun" w:hAnsi="SimSun" w:eastAsia="SimSun"/>
          <w:sz w:val="21"/>
        </w:rPr>
        <w:t>从试题内容来看，试卷基本能覆盖教学大纲中的实践操作内容，能较好地考察学生的掌握情况，也能较真实地反映学生的计算机应用水平。</w:t>
        <w:br/>
        <w:t>1班的期末考试成绩情况见表4。</w:t>
      </w:r>
    </w:p>
    <w:p>
      <w:pPr>
        <w:ind w:firstLine="420"/>
      </w:pPr>
      <w:r>
        <w:rPr>
          <w:rFonts w:ascii="SimSun" w:hAnsi="SimSun"/>
          <w:b/>
          <w:sz w:val="18"/>
        </w:rPr>
        <w:t>表4  期末考试成绩情况表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47</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95.4</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70.04</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1</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7</w:t>
            </w:r>
          </w:p>
        </w:tc>
        <w:tc>
          <w:tcPr>
            <w:tcW w:type="dxa" w:w="864"/>
          </w:tcPr>
          <w:p>
            <w:pPr>
              <w:jc w:val="center"/>
            </w:pPr>
            <w:r>
              <w:rPr>
                <w:rFonts w:ascii="SimSun" w:hAnsi="SimSun" w:eastAsia="SimSun"/>
                <w:sz w:val="21"/>
              </w:rPr>
              <w:t>13</w:t>
            </w:r>
          </w:p>
        </w:tc>
        <w:tc>
          <w:tcPr>
            <w:tcW w:type="dxa" w:w="864"/>
          </w:tcPr>
          <w:p>
            <w:pPr>
              <w:jc w:val="center"/>
            </w:pPr>
            <w:r>
              <w:rPr>
                <w:rFonts w:ascii="SimSun" w:hAnsi="SimSun" w:eastAsia="SimSun"/>
                <w:sz w:val="21"/>
              </w:rPr>
              <w:t>6</w:t>
            </w:r>
          </w:p>
        </w:tc>
        <w:tc>
          <w:tcPr>
            <w:tcW w:type="dxa" w:w="864"/>
          </w:tcPr>
          <w:p>
            <w:pPr>
              <w:jc w:val="center"/>
            </w:pPr>
            <w:r>
              <w:rPr>
                <w:rFonts w:ascii="SimSun" w:hAnsi="SimSun" w:eastAsia="SimSun"/>
                <w:sz w:val="21"/>
              </w:rPr>
              <w:t>9</w:t>
            </w:r>
          </w:p>
        </w:tc>
        <w:tc>
          <w:tcPr>
            <w:tcW w:type="dxa" w:w="1440"/>
          </w:tcPr>
          <w:p>
            <w:pPr>
              <w:jc w:val="center"/>
            </w:pPr>
            <w:r>
              <w:rPr>
                <w:rFonts w:ascii="SimSun" w:hAnsi="SimSun" w:eastAsia="SimSun"/>
                <w:sz w:val="21"/>
              </w:rPr>
              <w:t>7</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2.13%</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2.13%</w:t>
            </w:r>
          </w:p>
        </w:tc>
        <w:tc>
          <w:tcPr>
            <w:tcW w:type="dxa" w:w="864"/>
          </w:tcPr>
          <w:p>
            <w:pPr>
              <w:jc w:val="center"/>
            </w:pPr>
            <w:r>
              <w:rPr>
                <w:rFonts w:ascii="SimSun" w:hAnsi="SimSun" w:eastAsia="SimSun"/>
                <w:sz w:val="21"/>
              </w:rPr>
              <w:t>6.38%</w:t>
            </w:r>
          </w:p>
        </w:tc>
        <w:tc>
          <w:tcPr>
            <w:tcW w:type="dxa" w:w="864"/>
          </w:tcPr>
          <w:p>
            <w:pPr>
              <w:jc w:val="center"/>
            </w:pPr>
            <w:r>
              <w:rPr>
                <w:rFonts w:ascii="SimSun" w:hAnsi="SimSun" w:eastAsia="SimSun"/>
                <w:sz w:val="21"/>
              </w:rPr>
              <w:t>14.89%</w:t>
            </w:r>
          </w:p>
        </w:tc>
        <w:tc>
          <w:tcPr>
            <w:tcW w:type="dxa" w:w="864"/>
          </w:tcPr>
          <w:p>
            <w:pPr>
              <w:jc w:val="center"/>
            </w:pPr>
            <w:r>
              <w:rPr>
                <w:rFonts w:ascii="SimSun" w:hAnsi="SimSun" w:eastAsia="SimSun"/>
                <w:sz w:val="21"/>
              </w:rPr>
              <w:t>27.66%</w:t>
            </w:r>
          </w:p>
        </w:tc>
        <w:tc>
          <w:tcPr>
            <w:tcW w:type="dxa" w:w="864"/>
          </w:tcPr>
          <w:p>
            <w:pPr>
              <w:jc w:val="center"/>
            </w:pPr>
            <w:r>
              <w:rPr>
                <w:rFonts w:ascii="SimSun" w:hAnsi="SimSun" w:eastAsia="SimSun"/>
                <w:sz w:val="21"/>
              </w:rPr>
              <w:t>12.77%</w:t>
            </w:r>
          </w:p>
        </w:tc>
        <w:tc>
          <w:tcPr>
            <w:tcW w:type="dxa" w:w="864"/>
          </w:tcPr>
          <w:p>
            <w:pPr>
              <w:jc w:val="center"/>
            </w:pPr>
            <w:r>
              <w:rPr>
                <w:rFonts w:ascii="SimSun" w:hAnsi="SimSun" w:eastAsia="SimSun"/>
                <w:sz w:val="21"/>
              </w:rPr>
              <w:t>19.15%</w:t>
            </w:r>
          </w:p>
        </w:tc>
        <w:tc>
          <w:tcPr>
            <w:tcW w:type="dxa" w:w="1440"/>
          </w:tcPr>
          <w:p>
            <w:pPr>
              <w:jc w:val="center"/>
            </w:pPr>
            <w:r>
              <w:rPr>
                <w:rFonts w:ascii="SimSun" w:hAnsi="SimSun" w:eastAsia="SimSun"/>
                <w:sz w:val="21"/>
              </w:rPr>
              <w:t>14.89%</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31cjddy_期末成绩分布.png"/>
                          <pic:cNvPicPr/>
                        </pic:nvPicPr>
                        <pic:blipFill>
                          <a:blip r:embed="rId12"/>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本次课程共有47名学生参与，整体来看，学生们的平均成绩为70.04分，最高分达到95.4分，最低分为0分。</w:t>
        <w:br/>
        <w:br/>
        <w:t>从成绩分布看，大部分学生集中在60至80分之间。具体来说，60至70分段的学生最多，占比约27.66%，其次是80至90分段，占比约19.15%。此外，90至100分段的学生也有7人，占比约14.89%，显示出一部分学生对课程内容掌握较好，能够取得高分。</w:t>
        <w:br/>
        <w:br/>
        <w:t>值得注意的是，有1名学生得分在0至10分之间，另有1名学生得分在30至40分之间。这表明有少数学生可能对课程内容理解不足或参与度不高，需要进一步关注和支持。</w:t>
        <w:br/>
        <w:br/>
        <w:t>总体而言，大多数学生表现良好，但也有改进的空间。为了帮助所有学生更好地掌握课程内容，建议未来教学中加强基础知识讲解，同时增加互动环节，激发学生学习兴趣，提高整体学习效果。针对成绩偏低的学生，可以考虑提供额外辅导资源，确保每位学生都能跟上课程进度，充分受益于本课程的教学目标。</w:t>
      </w:r>
    </w:p>
    <w:p>
      <w:pPr>
        <w:jc w:val="left"/>
      </w:pPr>
      <w:r>
        <w:rPr>
          <w:rFonts w:ascii="SimSun" w:hAnsi="SimSun"/>
          <w:b/>
          <w:sz w:val="21"/>
        </w:rPr>
        <w:t>4、课程总评成绩情况</w:t>
      </w:r>
    </w:p>
    <w:p>
      <w:pPr>
        <w:ind w:firstLine="420"/>
      </w:pPr>
      <w:r>
        <w:rPr>
          <w:rFonts w:ascii="SimSun" w:hAnsi="SimSun" w:eastAsia="SimSun"/>
          <w:sz w:val="21"/>
        </w:rPr>
        <w:t>1班的课程总评成绩情况见表5。</w:t>
      </w:r>
    </w:p>
    <w:p>
      <w:pPr>
        <w:ind w:firstLine="420"/>
      </w:pPr>
      <w:r>
        <w:rPr>
          <w:rFonts w:ascii="SimSun" w:hAnsi="SimSun"/>
          <w:b/>
          <w:sz w:val="18"/>
        </w:rPr>
        <w:t>表5  课程总评成绩情况表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47</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96.0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75.64</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1</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5</w:t>
            </w:r>
          </w:p>
        </w:tc>
        <w:tc>
          <w:tcPr>
            <w:tcW w:type="dxa" w:w="864"/>
          </w:tcPr>
          <w:p>
            <w:pPr>
              <w:jc w:val="center"/>
            </w:pPr>
            <w:r>
              <w:rPr>
                <w:rFonts w:ascii="SimSun" w:hAnsi="SimSun" w:eastAsia="SimSun"/>
                <w:sz w:val="21"/>
              </w:rPr>
              <w:t>18</w:t>
            </w:r>
          </w:p>
        </w:tc>
        <w:tc>
          <w:tcPr>
            <w:tcW w:type="dxa" w:w="864"/>
          </w:tcPr>
          <w:p>
            <w:pPr>
              <w:jc w:val="center"/>
            </w:pPr>
            <w:r>
              <w:rPr>
                <w:rFonts w:ascii="SimSun" w:hAnsi="SimSun" w:eastAsia="SimSun"/>
                <w:sz w:val="21"/>
              </w:rPr>
              <w:t>10</w:t>
            </w:r>
          </w:p>
        </w:tc>
        <w:tc>
          <w:tcPr>
            <w:tcW w:type="dxa" w:w="1440"/>
          </w:tcPr>
          <w:p>
            <w:pPr>
              <w:jc w:val="center"/>
            </w:pPr>
            <w:r>
              <w:rPr>
                <w:rFonts w:ascii="SimSun" w:hAnsi="SimSun" w:eastAsia="SimSun"/>
                <w:sz w:val="21"/>
              </w:rPr>
              <w:t>10</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2.13%</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4.26%</w:t>
            </w:r>
          </w:p>
        </w:tc>
        <w:tc>
          <w:tcPr>
            <w:tcW w:type="dxa" w:w="864"/>
          </w:tcPr>
          <w:p>
            <w:pPr>
              <w:jc w:val="center"/>
            </w:pPr>
            <w:r>
              <w:rPr>
                <w:rFonts w:ascii="SimSun" w:hAnsi="SimSun" w:eastAsia="SimSun"/>
                <w:sz w:val="21"/>
              </w:rPr>
              <w:t>2.13%</w:t>
            </w:r>
          </w:p>
        </w:tc>
        <w:tc>
          <w:tcPr>
            <w:tcW w:type="dxa" w:w="864"/>
          </w:tcPr>
          <w:p>
            <w:pPr>
              <w:jc w:val="center"/>
            </w:pPr>
            <w:r>
              <w:rPr>
                <w:rFonts w:ascii="SimSun" w:hAnsi="SimSun" w:eastAsia="SimSun"/>
                <w:sz w:val="21"/>
              </w:rPr>
              <w:t>10.64%</w:t>
            </w:r>
          </w:p>
        </w:tc>
        <w:tc>
          <w:tcPr>
            <w:tcW w:type="dxa" w:w="864"/>
          </w:tcPr>
          <w:p>
            <w:pPr>
              <w:jc w:val="center"/>
            </w:pPr>
            <w:r>
              <w:rPr>
                <w:rFonts w:ascii="SimSun" w:hAnsi="SimSun" w:eastAsia="SimSun"/>
                <w:sz w:val="21"/>
              </w:rPr>
              <w:t>38.30%</w:t>
            </w:r>
          </w:p>
        </w:tc>
        <w:tc>
          <w:tcPr>
            <w:tcW w:type="dxa" w:w="864"/>
          </w:tcPr>
          <w:p>
            <w:pPr>
              <w:jc w:val="center"/>
            </w:pPr>
            <w:r>
              <w:rPr>
                <w:rFonts w:ascii="SimSun" w:hAnsi="SimSun" w:eastAsia="SimSun"/>
                <w:sz w:val="21"/>
              </w:rPr>
              <w:t>21.28%</w:t>
            </w:r>
          </w:p>
        </w:tc>
        <w:tc>
          <w:tcPr>
            <w:tcW w:type="dxa" w:w="1440"/>
          </w:tcPr>
          <w:p>
            <w:pPr>
              <w:jc w:val="center"/>
            </w:pPr>
            <w:r>
              <w:rPr>
                <w:rFonts w:ascii="SimSun" w:hAnsi="SimSun" w:eastAsia="SimSun"/>
                <w:sz w:val="21"/>
              </w:rPr>
              <w:t>21.28%</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231cjddy_总评成绩分布.png"/>
                          <pic:cNvPicPr/>
                        </pic:nvPicPr>
                        <pic:blipFill>
                          <a:blip r:embed="rId13"/>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本课程共有47名学生参与。从整体成绩来看，平均分达到75.64分，显示出学生们对课程内容有较好的掌握。最高分为96.0分，最低分为0.0分，表明成绩差异较大。</w:t>
        <w:br/>
        <w:br/>
        <w:t>具体来看，低分段（0-50分）的学生较少，仅占总人数的6.38%，其中0-10分段有1人，40-50分段有2人。这说明大部分学生能够较好地完成课程要求，但也有一小部分学生在学习过程中遇到较大困难。</w:t>
        <w:br/>
        <w:br/>
        <w:t>中高分段（50-100分）的学生占比达到了93.62%，其中50-60分段有1人，60-70分段有5人，70-80分段有18人，80-90分段有10人，90-100分段也有10人。特别是70-100分段的学生占据了相当大的比例，说明大多数学生在课程学习中表现出色，能够很好地理解和应用所学知识。</w:t>
        <w:br/>
        <w:br/>
        <w:t>总体而言，该课程学生表现良好，大部分学生取得了不错的成绩。但同时也反映出一部分学生在学习过程中遇到了挑战，需要在今后的教学中加强对这些学生的关注和支持，帮助他们提升学习成绩。此外，对于成绩较高的学生，可以考虑提供更多进阶的学习资源或挑战性任务，以激发他们的学习兴趣和潜能。</w:t>
      </w:r>
    </w:p>
    <w:p>
      <w:pPr>
        <w:jc w:val="left"/>
      </w:pPr>
      <w:r>
        <w:rPr>
          <w:rFonts w:ascii="SimSun" w:hAnsi="SimSun"/>
          <w:b/>
          <w:sz w:val="21"/>
        </w:rPr>
        <w:t>三、学习成效分析</w:t>
      </w:r>
    </w:p>
    <w:p>
      <w:pPr>
        <w:ind w:left="420"/>
      </w:pPr>
      <w:r>
        <w:rPr>
          <w:rFonts w:ascii="SimSun" w:hAnsi="SimSun" w:eastAsia="SimSun"/>
          <w:sz w:val="21"/>
        </w:rPr>
        <w:t>从学生的学习过程情况及期末总评成绩来看，大部分学生均能完成本课程的学习任务，其计算机基础知识和计算机应用水平基本达到本课程的教学要求，本课程的教学目的基本实现。</w:t>
      </w:r>
    </w:p>
    <w:p>
      <w:pPr>
        <w:ind w:left="420"/>
      </w:pPr>
      <w:r>
        <w:rPr>
          <w:rFonts w:ascii="SimSun" w:hAnsi="SimSun" w:eastAsia="SimSun"/>
          <w:sz w:val="21"/>
        </w:rPr>
        <w:t>在分析本课程的教学效果时，可以从以下几个方面进行考量：</w:t>
        <w:br/>
        <w:br/>
        <w:t>1、学生的基础知识掌握情况：大多数学生在课程开始前已经具备了一定的专业基础知识，这为新课程的学习打下了良好的基础。然而，部分学生可能因为先前学习的内容不够扎实，导致在理解新知识时遇到一些困难。总体而言，学生的基础知识水平参差不齐，需要教师在授课过程中给予不同程度的关注和支持。</w:t>
        <w:br/>
        <w:br/>
        <w:t>2、学生的学习态度：学生们在学习过程中表现出了较高的积极性和参与度，尤其是在课堂讨论环节中，许多同学能够主动提出问题并积极参与交流，显示出较强的学习热情和探索精神。但是，也有少数学生在课堂上显得较为被动，需要教师通过多种方式激发他们的学习兴趣和动力。</w:t>
        <w:br/>
        <w:br/>
        <w:t>3、课时安排对教学效果的影响：合理的课时分配有助于提高教学效率和学生的学习体验。当前的课时安排基本能够满足教学需求，但也存在某些章节内容较为密集的情况，可能导致学生感到压力较大。因此，适时调整课时分配，确保重点内容得到充分讲解的同时，留出足够的复习时间，对于提升整体教学效果至关重要。</w:t>
        <w:br/>
        <w:br/>
        <w:t>4、教学方式对教学效果的影响：采用多元化的教学方法，如案例分析、小组讨论、实践操作等，不仅能够增加课堂的互动性和趣味性，还能有效促进学生对知识的理解与应用。灵活运用不同的教学手段，根据学生的学习特点和需求调整教学策略，是提高教学质量的关键。</w:t>
        <w:br/>
        <w:br/>
        <w:t>5、教学内容对教学效果的影响：精心设计的教学内容不仅需要涵盖必要的理论知识，还应注重实际应用能力的培养。当前的教学大纲覆盖了广泛的知识点，并且强调了理论与实践相结合的重要性。不过，随着科技的发展和社会需求的变化，定期更新和优化教学内容，以保持其前沿性和实用性，是保证教学效果持续提升的重要因素。</w:t>
      </w:r>
    </w:p>
    <w:p>
      <w:pPr>
        <w:jc w:val="left"/>
      </w:pPr>
      <w:r>
        <w:rPr>
          <w:rFonts w:ascii="SimSun" w:hAnsi="SimSun"/>
          <w:b/>
          <w:sz w:val="21"/>
        </w:rPr>
        <w:t>四、改进措施及建议</w:t>
      </w:r>
    </w:p>
    <w:p>
      <w:pPr>
        <w:ind w:left="420"/>
      </w:pPr>
      <w:r>
        <w:rPr>
          <w:rFonts w:ascii="SimSun" w:hAnsi="SimSun" w:eastAsia="SimSun"/>
          <w:sz w:val="21"/>
        </w:rPr>
        <w:t>对于课程的改进与优化，可以从以下几个宏观层面出发：</w:t>
        <w:br/>
        <w:br/>
        <w:t>1. 增强互动性：增加课程内的互动环节，比如通过在线讨论、小组项目或实时问答等形式，提升学生参与度，促进知识的理解与吸收。</w:t>
        <w:br/>
        <w:br/>
        <w:t>2. 丰富学习资源：提供多样化的学习资料，如视频讲座、案例研究、阅读材料等，以满足不同学习风格的学生需求。同时，确保这些资源是最新且高质量的。</w:t>
        <w:br/>
        <w:br/>
        <w:t>3. 灵活的学习路径：设计可定制的学习路径，允许学生根据自己的兴趣和职业目标选择不同的模块或主题深入学习，提高课程的个性化程度。</w:t>
        <w:br/>
        <w:br/>
        <w:t>4. 强化实践应用：加强理论与实际应用之间的联系，通过项目作业、模拟演练等方式，让学生能够将所学知识应用于解决真实世界的问题中。</w:t>
        <w:br/>
        <w:br/>
        <w:t>5. 持续反馈机制：建立有效的反馈系统，鼓励学生对课程内容、教学方法等方面提出意见和建议，并及时做出调整，以持续改进课程质量。</w:t>
        <w:br/>
        <w:br/>
        <w:t>6. 技术支持与辅助：利用先进的教育技术手段，如人工智能辅导系统、虚拟实验室等，为学生提供个性化的学习支持和指导，提高学习效率。</w:t>
        <w:br/>
        <w:br/>
        <w:t>7. 培养批判性思维：在课程设计中融入批判性思考训练，引导学生学会质疑、分析和评价信息，培养独立解决问题的能力。</w:t>
        <w:br/>
        <w:br/>
        <w:t>8. 国际化视野：引入跨文化视角，邀请国际知名专家进行讲座或合作开发课程内容，拓宽学生的全球视野，增强其在全球化背景下的竞争力。</w:t>
        <w:br/>
        <w:br/>
        <w:t>通过上述措施，不仅能够提升课程的整体质量，还能更好地激发学生的学习热情，促进其全面发展。</w:t>
      </w:r>
    </w:p>
    <w:sectPr w:rsidR="00FC693F" w:rsidRPr="0006063C" w:rsidSect="00034616">
      <w:headerReference w:type="default" r:id="rId9"/>
      <w:pgSz w:w="12240" w:h="15840"/>
      <w:pgMar w:top="1247" w:right="1134" w:bottom="7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260000" cy="285469"/>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260000" cy="28546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