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(2023-2024学年第1学期)</w:t>
      </w:r>
    </w:p>
    <w:p>
      <w:pPr>
        <w:jc w:val="center"/>
      </w:pPr>
      <w:r>
        <w:rPr>
          <w:rFonts w:ascii="Times New Roman" w:hAnsi="Times New Roman"/>
          <w:sz w:val="21"/>
        </w:rPr>
        <w:t>(2023-2024学年第1学期)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授课对象及合班情况：new test和test new ，共计38人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new test和test new 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80.15</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24</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63.16%</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38名学生参与，最高分99.4，最低分0.0，平均分80.15。从成绩分布来看，大多数学生表现良好。具体而言，90-100分区间的学生占比最高，达到63.16%，表明大部分学生能够掌握课程内容并取得优异成绩。40-50分、50-60分以及60-70分区间的学生数量较少，分别为1人、2人和3人，占总人数的比例分别为2.63%、5.26%和7.89%。值得注意的是，有3名学生得分在30-40分、40-50分及以上的区间，显示部分学生在学习过程中遇到了一定的挑战。另外，有3名学生在80-90分区间，占比7.89%。最低分区间（0-10分）的学生人数较多，共3人，占比7.89%。整体来看，尽管有个别学生表现不佳，但大部分学生的学习成果令人满意，课程目标基本达成。未来教学中，需关注低分学生的学习情况，提供必要的辅导和支持，以帮助所有学生都能充分发挥潜力。</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new test和test new 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85.51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31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81.58%</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本报告旨在对课程实验成绩进行简要分析与总结。</w:t>
        <w:br/>
        <w:br/>
        <w:t>总共有38名学生参与了此次实验，最高成绩为100.0分，最低成绩为0.0分，平均成绩为85.51分。成绩分布显示，绝大多数学生表现优异。具体来看，仅3名学生的成绩在0至10分之间，占总人数的7.89%；其余成绩均集中在高分段，其中81.58%的学生获得了90至100分，另有7.89%的学生取得了80至90分的成绩。值得注意的是，仅有1名学生获得70至80分之间的成绩。</w:t>
        <w:br/>
        <w:br/>
        <w:t>整体而言，大部分学生展现了良好的理解与应用能力，达到了预期的学习目标。对于少数成绩较低的学生，建议关注其学习过程中可能存在的问题，并提供相应的辅导与支持，以帮助他们提升成绩。未来教学中，可考虑增加更多实践机会，进一步巩固学生的基础知识，提高整体学习效果。</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new test和test new 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98.6</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45.2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74.36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11</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28.95%</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26.32%</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本报告旨在对某课程期末成绩进行总结与分析。</w:t>
        <w:br/>
        <w:br/>
        <w:t>总共有38名学生参与了该课程的学习与考核，成绩范围从最低的45.2分到最高的98.6分。整体平均分为74.36分。</w:t>
        <w:br/>
        <w:br/>
        <w:t>成绩分布方面，可以观察到成绩呈现出较为集中的趋势。具体而言，有7.89%的学生得分在40至50分之间，同样比例的学生（7.89%）得分在50至60分之间。60至70分这一区间的学生占比相对较高，达到28.95%。70至80分以及80至90分区间的学生分别占总人数的7.89%和26.32%。值得注意的是，高分段（90至100分）的学生占总人数的比例也达到了21.05%，显示出相当一部分学生掌握了课程的核心内容并取得了优异的成绩。</w:t>
        <w:br/>
        <w:br/>
        <w:t>基于上述数据，可以看出该课程的教学目标在很大程度上得到了实现，多数学生能够掌握课程内容，并且有一部分学生表现出色。未来可考虑在保持现有教学方法的基础上，加强对中低分段学生的支持与辅导，进一步提升整体教学质量。</w:t>
      </w:r>
    </w:p>
    <w:p>
      <w:pPr>
        <w:jc w:val="left"/>
      </w:pPr>
      <w:r>
        <w:rPr>
          <w:rFonts w:ascii="SimSun" w:hAnsi="SimSun"/>
          <w:b/>
          <w:sz w:val="21"/>
        </w:rPr>
        <w:t>4、课程总评成绩情况</w:t>
      </w:r>
    </w:p>
    <w:p>
      <w:pPr>
        <w:ind w:firstLine="420"/>
      </w:pPr>
      <w:r>
        <w:rPr>
          <w:rFonts w:ascii="SimSun" w:hAnsi="SimSun" w:eastAsia="SimSun"/>
          <w:sz w:val="21"/>
        </w:rPr>
        <w:t>new test和test new 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28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5</w:t>
            </w:r>
          </w:p>
        </w:tc>
        <w:tc>
          <w:tcPr>
            <w:tcW w:type="dxa" w:w="864"/>
          </w:tcPr>
          <w:p>
            <w:pPr>
              <w:jc w:val="center"/>
            </w:pPr>
            <w:r>
              <w:rPr>
                <w:rFonts w:ascii="SimSun" w:hAnsi="SimSun" w:eastAsia="SimSun"/>
                <w:sz w:val="21"/>
              </w:rPr>
              <w:t>9</w:t>
            </w:r>
          </w:p>
        </w:tc>
        <w:tc>
          <w:tcPr>
            <w:tcW w:type="dxa" w:w="864"/>
          </w:tcPr>
          <w:p>
            <w:pPr>
              <w:jc w:val="center"/>
            </w:pPr>
            <w:r>
              <w:rPr>
                <w:rFonts w:ascii="SimSun" w:hAnsi="SimSun" w:eastAsia="SimSun"/>
                <w:sz w:val="21"/>
              </w:rPr>
              <w:t>13</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13.16%</w:t>
            </w:r>
          </w:p>
        </w:tc>
        <w:tc>
          <w:tcPr>
            <w:tcW w:type="dxa" w:w="864"/>
          </w:tcPr>
          <w:p>
            <w:pPr>
              <w:jc w:val="center"/>
            </w:pPr>
            <w:r>
              <w:rPr>
                <w:rFonts w:ascii="SimSun" w:hAnsi="SimSun" w:eastAsia="SimSun"/>
                <w:sz w:val="21"/>
              </w:rPr>
              <w:t>23.68%</w:t>
            </w:r>
          </w:p>
        </w:tc>
        <w:tc>
          <w:tcPr>
            <w:tcW w:type="dxa" w:w="864"/>
          </w:tcPr>
          <w:p>
            <w:pPr>
              <w:jc w:val="center"/>
            </w:pPr>
            <w:r>
              <w:rPr>
                <w:rFonts w:ascii="SimSun" w:hAnsi="SimSun" w:eastAsia="SimSun"/>
                <w:sz w:val="21"/>
              </w:rPr>
              <w:t>34.21%</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本课程共有38名学生参与学习。总体来看，学生表现良好，成绩分布合理。最高分为98分，最低分为28分，平均分达到77.71分。</w:t>
        <w:br/>
        <w:br/>
        <w:t>成绩在80-90分之间的学生最多，占总人数的34.21%，表明大部分学生对课程内容掌握较好，能够较好地完成各项任务。紧随其后的是90-100分区间的学生，占比21.05%，显示有一部分学生对课程内容有深入理解和掌握。60-70分和70-80分这两个区间的学生分别占比13.16%和23.68%，说明多数学生达到了课程的基本要求，并且有一定水平的表现。</w:t>
        <w:br/>
        <w:br/>
        <w:t>值得注意的是，20-30分区间内仅有一名学生，占比2.63%。这一成绩区间的学生较少，可能反映了课程难度与大多数学生的适应性较为匹配。然而，最低分为28分，表明仍有一部分学生在课程学习过程中遇到了困难，需要进一步的支持和指导。</w:t>
        <w:br/>
        <w:br/>
        <w:t>综上，该课程整体上取得了积极的教学效果，但也有提升空间，特别是对于成绩较低的学生群体，应考虑采取措施提供更多的辅导和支持。</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 xml:space="preserve"> 课程效果分析报告</w:t>
        <w:br/>
        <w:br/>
        <w:t xml:space="preserve"> 一、学生课程基础的掌握情况</w:t>
        <w:br/>
        <w:br/>
        <w:t>在学习本课程之前，大多数学生已经具备了较为扎实的基础知识。这些基础知识涵盖了相关领域的基本概念、理论框架及部分实际应用。然而，仍有部分学生的基础知识相对薄弱，这在一定程度上影响了他们对新知识的理解与吸收。</w:t>
        <w:br/>
        <w:br/>
        <w:t xml:space="preserve"> 二、学生的学习态度</w:t>
        <w:br/>
        <w:br/>
        <w:t>总体而言，学生们在学习过程中表现出了积极的态度。大部分学生能够主动参与课堂讨论，积极提出问题并寻求解答。这种主动学习的态度有助于提高学习效率和深度理解课程内容。不过，也有少数学生表现出一定的被动性，需要教师更多的引导和鼓励。</w:t>
        <w:br/>
        <w:br/>
        <w:t xml:space="preserve"> 三、课时安排对教学效果的影响</w:t>
        <w:br/>
        <w:br/>
        <w:t>合理的课时安排对于提升教学效果至关重要。当前的课时分配较为均衡，既保证了理论知识的讲解，也留有足够的时间用于实践操作和案例分析。然而，在某些章节中，由于内容较为复杂，课时显得略显紧张，可能会影响到学生对难点知识的深入理解和掌握。</w:t>
        <w:br/>
        <w:br/>
        <w:t xml:space="preserve"> 四、教学方式对教学效果的影响</w:t>
        <w:br/>
        <w:br/>
        <w:t>采用多样化的教学方法，如案例教学、小组讨论、项目实践等，有效地激发了学生的学习兴趣，促进了知识的理解与应用。特别是通过实践活动，学生能够将理论知识与实际情况相结合，加深了对知识点的记忆和理解。但值得注意的是，部分教学方法的应用范围和频率需要根据学生的反馈进行适当调整，以更好地满足不同学生的学习需求。</w:t>
        <w:br/>
        <w:br/>
        <w:t xml:space="preserve"> 五、教学内容对教学效果的影响</w:t>
        <w:br/>
        <w:br/>
        <w:t>教学内容的选择与编排直接影响到教学效果。本课程的教学内容紧贴行业发展趋势，涵盖了广泛且实用的知识点，为学生提供了全面的专业技能训练。同时，通过引入最新的研究成果和技术动态，激发了学生探索未知的兴趣。然而，部分内容的难度设置存在差异，部分高级或前沿的内容可能对基础较弱的学生构成挑战，需要进一步优化内容结构，确保所有学生都能跟上教学进度。</w:t>
        <w:br/>
        <w:br/>
        <w:t>综上所述，尽管在某些方面还存在改进空间，但整体来看，本课程的教学设计和实施已取得了较好的效果。未来可考虑结合上述分析，针对性地调整和完善教学策略，以进一步提升教学质量。</w:t>
      </w:r>
    </w:p>
    <w:p>
      <w:pPr>
        <w:jc w:val="left"/>
      </w:pPr>
      <w:r>
        <w:rPr>
          <w:rFonts w:ascii="SimSun" w:hAnsi="SimSun"/>
          <w:b/>
          <w:sz w:val="21"/>
        </w:rPr>
        <w:t>四、改进措施及建议</w:t>
      </w:r>
    </w:p>
    <w:p>
      <w:pPr>
        <w:ind w:left="420"/>
      </w:pPr>
      <w:r>
        <w:rPr>
          <w:rFonts w:ascii="SimSun" w:hAnsi="SimSun" w:eastAsia="SimSun"/>
          <w:sz w:val="21"/>
        </w:rPr>
        <w:t>在对本课程进行全面审视的基础上，我们提出以下几点改进建议与措施，旨在优化教学效果，提升学生体验：</w:t>
        <w:br/>
        <w:br/>
        <w:t>1. 增强互动性：通过引入更多互动环节，如在线讨论、小组项目等，激发学生的参与热情，促进知识的深入理解和应用。</w:t>
        <w:br/>
        <w:br/>
        <w:t>2. 多样化教学方法：结合线上与线下资源，采用案例研究、角色扮演等多种教学方式，以适应不同学习者的需求和偏好，提高教学效果。</w:t>
        <w:br/>
        <w:br/>
        <w:t>3. 强化实践环节：增加实际操作机会，比如实习、实验室工作或模拟项目，让学生在实践中掌握理论知识，增强解决实际问题的能力。</w:t>
        <w:br/>
        <w:br/>
        <w:t>4. 个性化学习路径：利用技术手段提供个性化学习建议，根据学生的学习进度和兴趣定制课程内容，满足个体化需求。</w:t>
        <w:br/>
        <w:br/>
        <w:t>5. 加强教师培训：定期组织教师参加专业发展培训，提升其教学技巧与内容更新能力，确保教学质量与时俱进。</w:t>
        <w:br/>
        <w:br/>
        <w:t>6. 改善反馈机制：建立更加及时有效的反馈渠道，鼓励学生提出意见和建议，并据此调整教学计划，形成良性循环。</w:t>
        <w:br/>
        <w:br/>
        <w:t>7. 拓宽国际视野：引入国际化教育资源，如海外合作院校课程模块、国际专家讲座等，帮助学生开阔视野，培养全球竞争力。</w:t>
        <w:br/>
        <w:br/>
        <w:t>这些建议旨在从多个维度出发，全面提升课程质量，为学生创造更优质的教育环境。</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