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(2023-2024学年第1学期)</w:t>
      </w:r>
    </w:p>
    <w:p>
      <w:pPr>
        <w:jc w:val="center"/>
      </w:pPr>
      <w:r>
        <w:rPr>
          <w:rFonts w:ascii="Times New Roman" w:hAnsi="Times New Roman"/>
          <w:sz w:val="21"/>
        </w:rPr>
        <w:t>(2023-2024学年第1学期)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授课对象及合班情况：test，共计38人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test班的网络学习部分的成绩情况见表2。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80.15</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24</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63.16%</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该课程共有38名学生参与。从整体来看，学生的学习表现较为出色，平均分为80.15分。最高分达到了99.4分，而最低分则为0分。</w:t>
        <w:br/>
        <w:br/>
        <w:t>成绩分布方面，大多数学生的表现集中在较高分数段。具体而言，有63.16%的学生获得了90至100分之间的成绩，这部分学生对课程内容掌握较好，能够准确理解并运用所学知识。另外，获得80至90分的学生占比7.89%，这部分学生也表现良好，但在某些细节上还有提升空间。值得注意的是，有24名学生获得了90分以上的高分，表明他们对课程内容有深入的理解，并能在考试中展现出来。</w:t>
        <w:br/>
        <w:br/>
        <w:t>相比之下，较低分数段的学生数量较少。其中，40至50分段有1名学生，占比2.63%；50至60分段有2名学生，占比5.26%；60至70分段有3名学生，占比7.89%；70至80分段有2名学生，占比5.26%。这些分数段的学生在学习过程中可能遇到了一些挑战，需要更多关注和支持来提高他们的学习成绩。</w:t>
        <w:br/>
        <w:br/>
        <w:t>特别地，0至10分段有3名学生，占比7.89%。这些学生可能在学习过程中遇到了较大困难，需要教师和同学更多的帮助和鼓励，以帮助他们更好地理解和掌握课程内容。</w:t>
        <w:br/>
        <w:br/>
        <w:t>总体来说，大部分学生对课程内容有较好的掌握，但也有部分学生需要额外的支持和指导。未来可以考虑增加针对低分段学生的辅导和支持措施，以进一步提升整体教学效果。</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test班的实验成绩情况见表3。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85.51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31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81.58%</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本次课程实验的成绩反映了学生们较高的参与度与理解程度。总共有38名学生参与了实验，最高分达到了满分100分，最低分为0分，平均分是85.51分。</w:t>
        <w:br/>
        <w:br/>
        <w:t>从成绩分布来看，大部分学生的表现都非常出色。超过80%的学生获得了90分以上的高分，这表明大多数学生对实验内容掌握得相当好，能够很好地完成实验任务。仅有一名学生得分在70到80分之间，占比约为2.63%，而仅有3名学生得分在80到90分之间，占比为7.89%。令人关注的是，有3名学生未能通过实验，得分在0到10分之间，占总人数的7.89%。这部分学生可能需要更多的指导和支持来提高他们的理解和实践能力。</w:t>
        <w:br/>
        <w:br/>
        <w:t>总体而言，本次实验的结果显示出了大部分学生具备良好的学习能力和实验操作技能，同时也揭示出少数学生在某些方面存在困难，需要进一步的关注和帮助。为了改善这种情况，建议在后续的教学过程中加强基础知识的巩固，特别是针对那些表现不佳的学生，提供额外的学习资源和辅导，以确保每位学生都能获得成功。此外，可以考虑增加一些难度适中的练习题或项目，帮助所有学生巩固所学知识，提升综合能力。</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test班的期末考试成绩情况见表4。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98.6</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45.2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74.36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11</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28.95%</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26.32%</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本课程共有38名学生参与，从成绩来看，整体表现较为理想。最高分达到98.6分，最低分为45.2分，平均分74.36分，显示出一定的成绩差异性。根据成绩分布，可以看到大多数学生的学习效果良好。</w:t>
        <w:br/>
        <w:br/>
        <w:t>具体来看，低分段（0-50分）的学生仅占极小部分，其中40-50分段有3人，50-60分段同样有3人，合计占比15.79%，这部分学生可能需要额外的支持与辅导来提升成绩。中等分数段（60-70分）的学生较多，有11人，占比约28.95%，这部分学生的表现稳定，具备进一步提高的基础。高分段（70分以上）的学生数量明显增多，特别是80-90分段有10人，占比26.32%，而90-100分段则有8人，占比21.05%。这表明大部分学生对课程内容掌握较好，有较强的学习能力和较高的学习热情。</w:t>
        <w:br/>
        <w:br/>
        <w:t>总体而言，该课程学生表现出色，成绩分布合理，反映出教学目标基本达成。未来可以考虑针对低分段学生提供更多的个性化辅导，以帮助他们更好地理解和掌握课程内容。同时，继续保持并优化现有教学方法，鼓励高分段学生继续探索深入学习，以期在未来取得更加优异的成绩。</w:t>
      </w:r>
    </w:p>
    <w:p>
      <w:pPr>
        <w:jc w:val="left"/>
      </w:pPr>
      <w:r>
        <w:rPr>
          <w:rFonts w:ascii="SimSun" w:hAnsi="SimSun"/>
          <w:b/>
          <w:sz w:val="21"/>
        </w:rPr>
        <w:t>4、课程总评成绩情况</w:t>
      </w:r>
    </w:p>
    <w:p>
      <w:pPr>
        <w:ind w:firstLine="420"/>
      </w:pPr>
      <w:r>
        <w:rPr>
          <w:rFonts w:ascii="SimSun" w:hAnsi="SimSun" w:eastAsia="SimSun"/>
          <w:sz w:val="21"/>
        </w:rPr>
        <w:t>test班的课程总评成绩情况见表5。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28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5</w:t>
            </w:r>
          </w:p>
        </w:tc>
        <w:tc>
          <w:tcPr>
            <w:tcW w:type="dxa" w:w="864"/>
          </w:tcPr>
          <w:p>
            <w:pPr>
              <w:jc w:val="center"/>
            </w:pPr>
            <w:r>
              <w:rPr>
                <w:rFonts w:ascii="SimSun" w:hAnsi="SimSun" w:eastAsia="SimSun"/>
                <w:sz w:val="21"/>
              </w:rPr>
              <w:t>9</w:t>
            </w:r>
          </w:p>
        </w:tc>
        <w:tc>
          <w:tcPr>
            <w:tcW w:type="dxa" w:w="864"/>
          </w:tcPr>
          <w:p>
            <w:pPr>
              <w:jc w:val="center"/>
            </w:pPr>
            <w:r>
              <w:rPr>
                <w:rFonts w:ascii="SimSun" w:hAnsi="SimSun" w:eastAsia="SimSun"/>
                <w:sz w:val="21"/>
              </w:rPr>
              <w:t>13</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13.16%</w:t>
            </w:r>
          </w:p>
        </w:tc>
        <w:tc>
          <w:tcPr>
            <w:tcW w:type="dxa" w:w="864"/>
          </w:tcPr>
          <w:p>
            <w:pPr>
              <w:jc w:val="center"/>
            </w:pPr>
            <w:r>
              <w:rPr>
                <w:rFonts w:ascii="SimSun" w:hAnsi="SimSun" w:eastAsia="SimSun"/>
                <w:sz w:val="21"/>
              </w:rPr>
              <w:t>23.68%</w:t>
            </w:r>
          </w:p>
        </w:tc>
        <w:tc>
          <w:tcPr>
            <w:tcW w:type="dxa" w:w="864"/>
          </w:tcPr>
          <w:p>
            <w:pPr>
              <w:jc w:val="center"/>
            </w:pPr>
            <w:r>
              <w:rPr>
                <w:rFonts w:ascii="SimSun" w:hAnsi="SimSun" w:eastAsia="SimSun"/>
                <w:sz w:val="21"/>
              </w:rPr>
              <w:t>34.21%</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本课程共有38名学生参与考核。从整体成绩来看，该课程表现较为均衡。最高分为98分，最低分为28分，平均分达到77.71分，表明大多数学生对课程内容掌握较好。</w:t>
        <w:br/>
        <w:br/>
        <w:t>具体来看，成绩分布呈现正态分布趋势。有2.63%的学生得分在20-30分之间，这部分学生可能在某些知识点上存在理解困难。得分在60-70分之间的学生占比13.16%，这部分学生基本掌握了课程的主要内容，但在细节或应用方面还有提升空间。得分在70-80分之间的学生占比23.68%，这部分学生能够较好地理解和应用课程知识。得分在80-90分之间的学生占比34.21%，是班级中的主要群体，表明大部分学生对课程内容掌握得相当不错，并能在考试中展现出较强的应用能力。得分在90-100分之间的学生占比21.05%，这部分学生表现出色，不仅全面掌握了课程内容，还能灵活运用，展现了较高的学习水平。</w:t>
        <w:br/>
        <w:br/>
        <w:t>总体而言，大部分学生对课程内容的理解和掌握情况良好，反映出课程设计合理，教学效果显著。对于成绩偏低的学生，建议教师可以提供更多的辅导和支持，帮助他们克服学习上的难点，进一步提高整体成绩水平。同时，对于高分学生，可以考虑增加更具挑战性的任务或项目，以激发他们的潜力，促进更高层次的学习和发展。</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分析本课程的教学效果，可以从以下几个方面进行概括：</w:t>
        <w:br/>
        <w:br/>
        <w:t>1、学习本课程之前学生的课程基础掌握情况：大多数学生具备了一定的专业基础知识，但部分学生的基础知识相对薄弱，这可能影响他们对新知识的理解与吸收。整体上，学生对于相关领域的基本概念有一定了解，但深入理解程度不一。</w:t>
        <w:br/>
        <w:br/>
        <w:t>2、学习本课程时学生的学习态度情况：大部分学生表现出积极主动的学习态度，愿意提出问题并积极参与课堂讨论。然而，仍有一部分学生表现出被动接受的态度，需要教师更多的引导和激励才能积极参与到学习过程中来。</w:t>
        <w:br/>
        <w:br/>
        <w:t>3、课时安排对教学效果的影响：当前的课时安排较为合理，能够覆盖主要教学内容，并留有足够的时间进行实践操作和复习巩固。但是，对于某些复杂知识点的深入讲解时间可能略显不足，导致部分学生难以完全掌握。</w:t>
        <w:br/>
        <w:br/>
        <w:t>4、教学方式对教学效果的影响：采用多元化的教学方法，包括理论讲授、案例分析、小组讨论等，有效提升了学生的学习兴趣和参与度。然而，对于不同学习风格的学生而言，单一的教学方式可能无法满足所有人的需求，需进一步探索更加个性化的教学策略。</w:t>
        <w:br/>
        <w:br/>
        <w:t>5、教学内容对教学效果的影响：所选教学内容紧跟行业发展前沿，具有较强的实用性和前瞻性，激发了学生的学习热情。不过，在确保内容新颖的同时，也应注意保持与学生现有知识结构之间的平衡，避免出现难度过大或过小的情况，以促进更高效的知识构建过程。</w:t>
        <w:br/>
        <w:br/>
        <w:t>综上所述，通过优化课时分配、调整教学方法以及精炼教学内容，可以进一步提升本课程的教学效果。同时，加强对基础薄弱学生的关注和支持，有助于实现全体学生的共同进步。</w:t>
      </w:r>
    </w:p>
    <w:p>
      <w:pPr>
        <w:jc w:val="left"/>
      </w:pPr>
      <w:r>
        <w:rPr>
          <w:rFonts w:ascii="SimSun" w:hAnsi="SimSun"/>
          <w:b/>
          <w:sz w:val="21"/>
        </w:rPr>
        <w:t>四、改进措施及建议</w:t>
      </w:r>
    </w:p>
    <w:p>
      <w:pPr>
        <w:ind w:left="420"/>
      </w:pPr>
      <w:r>
        <w:rPr>
          <w:rFonts w:ascii="SimSun" w:hAnsi="SimSun" w:eastAsia="SimSun"/>
          <w:sz w:val="21"/>
        </w:rPr>
        <w:t>对于任何课程的改进，可以从以下几个方面进行考虑：</w:t>
        <w:br/>
        <w:br/>
        <w:t>1. 教学内容与结构：确保课程内容覆盖全面，既有基础知识的讲解，也有进阶知识的拓展，同时加入最新的行业趋势和发展动态。课程结构应逻辑清晰，便于学习者理解和掌握。</w:t>
        <w:br/>
        <w:br/>
        <w:t>2. 互动性与参与度：增加课程内的互动环节，如讨论区、问答环节、小组项目等，以提高学生的学习兴趣和参与度。同时，鼓励学生之间的交流和合作，促进知识的共享和碰撞。</w:t>
        <w:br/>
        <w:br/>
        <w:t>3. 实践机会：提供充足的实践机会，让学生能够将理论知识应用于实际操作中，增强解决实际问题的能力。可以通过案例分析、模拟实验、项目作业等方式实现。</w:t>
        <w:br/>
        <w:br/>
        <w:t>4. 个性化学习路径：根据学生的背景和兴趣，设计多样化的学习路径和资源，满足不同学生的需求。例如，为初学者提供基础教程，为有经验的学生提供挑战性更高的项目或研究课题。</w:t>
        <w:br/>
        <w:br/>
        <w:t>5. 反馈机制：建立有效的反馈机制，及时收集学生对课程内容、教学方法等方面的反馈，并据此调整和优化课程。同时，鼓励学生相互评价，共同促进课程质量的提升。</w:t>
        <w:br/>
        <w:br/>
        <w:t>6. 技术支持与资源：利用现代技术手段，如在线平台、虚拟实验室等，丰富课程形式和内容。确保所有学生都能轻松访问到所需的课程材料和工具，包括视频、文档、软件等。</w:t>
        <w:br/>
        <w:br/>
        <w:t>7. 教师培训与发展：定期对教师进行培训，提升其教学技能和专业知识水平，确保他们能有效地传授知识并激发学生的学习热情。同时，鼓励教师间的交流与合作，共同进步。</w:t>
        <w:br/>
        <w:br/>
        <w:t>通过上述措施，可以使课程更加生动有趣，更具吸引力，从而更好地服务于学生的学习需求和发展目标。</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