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eastAsia="SimHei"/>
          <w:b/>
          <w:sz w:val="36"/>
        </w:rPr>
        <w:t>课程反思报告</w:t>
      </w:r>
    </w:p>
    <w:p>
      <w:pPr>
        <w:jc w:val="center"/>
      </w:pPr>
      <w:r>
        <w:rPr>
          <w:rFonts w:ascii="Times New Roman" w:hAnsi="Times New Roman"/>
          <w:sz w:val="21"/>
        </w:rPr>
        <w:t>(2023-2024学年第1学期)</w:t>
      </w:r>
    </w:p>
    <w:p>
      <w:pPr>
        <w:jc w:val="center"/>
      </w:pPr>
      <w:r>
        <w:rPr>
          <w:rFonts w:ascii="Times New Roman" w:hAnsi="Times New Roman"/>
          <w:sz w:val="21"/>
        </w:rPr>
        <w:t>(2023-2024学年第1学期)</w:t>
      </w:r>
    </w:p>
    <w:p>
      <w:pPr>
        <w:jc w:val="left"/>
      </w:pPr>
      <w:r>
        <w:rPr>
          <w:rFonts w:ascii="SimSun" w:hAnsi="SimSun"/>
          <w:b/>
          <w:sz w:val="21"/>
        </w:rPr>
        <w:t>一、教学基本信息</w:t>
      </w:r>
    </w:p>
    <w:p>
      <w:pPr>
        <w:ind w:firstLine="420"/>
      </w:pPr>
      <w:r>
        <w:rPr>
          <w:rFonts w:ascii="SimSun" w:hAnsi="SimSun" w:eastAsia="SimSun"/>
          <w:sz w:val="21"/>
        </w:rPr>
        <w:t>课程名称：大学信息技术</w:t>
      </w:r>
    </w:p>
    <w:p>
      <w:pPr>
        <w:ind w:firstLine="420"/>
      </w:pPr>
      <w:r>
        <w:rPr>
          <w:rFonts w:ascii="SimSun" w:hAnsi="SimSun" w:eastAsia="SimSun"/>
          <w:sz w:val="21"/>
        </w:rPr>
        <w:t>授课对象及合班情况：test，共计38人</w:t>
      </w:r>
    </w:p>
    <w:p>
      <w:pPr>
        <w:ind w:firstLine="420"/>
      </w:pPr>
      <w:r>
        <w:rPr>
          <w:rFonts w:ascii="SimSun" w:hAnsi="SimSun" w:eastAsia="SimSun"/>
          <w:sz w:val="21"/>
        </w:rPr>
        <w:t>任课教师：刘利钊</w:t>
      </w:r>
    </w:p>
    <w:p>
      <w:pPr>
        <w:ind w:firstLine="420"/>
      </w:pPr>
      <w:r>
        <w:rPr>
          <w:rFonts w:ascii="SimSun" w:hAnsi="SimSun" w:eastAsia="SimSun"/>
          <w:sz w:val="21"/>
        </w:rPr>
        <w:t>实际授课课时：24学时</w:t>
      </w:r>
    </w:p>
    <w:p>
      <w:pPr>
        <w:jc w:val="left"/>
      </w:pPr>
      <w:r>
        <w:rPr>
          <w:rFonts w:ascii="SimSun" w:hAnsi="SimSun"/>
          <w:b/>
          <w:sz w:val="21"/>
        </w:rPr>
        <w:t>二、考核及学习成绩情况</w:t>
      </w:r>
    </w:p>
    <w:p>
      <w:pPr>
        <w:ind w:firstLine="420"/>
      </w:pPr>
      <w:r>
        <w:rPr>
          <w:rFonts w:ascii="SimSun" w:hAnsi="SimSun" w:eastAsia="SimSun"/>
          <w:sz w:val="21"/>
        </w:rPr>
        <w:t>本学期的《大学信息技术》课程采用SPOC教学模式，理论课选用国家精品线上课程（福建农林大学陈琼老师的《大学信息技术基础》）为蓝本，要求学生通过网课平台进行自学，实验课则安排在实验室进行线下授课。</w:t>
      </w:r>
    </w:p>
    <w:p>
      <w:pPr>
        <w:ind w:firstLine="420"/>
      </w:pPr>
      <w:r>
        <w:rPr>
          <w:rFonts w:ascii="SimSun" w:hAnsi="SimSun" w:eastAsia="SimSun"/>
          <w:sz w:val="21"/>
        </w:rPr>
        <w:t>课程的总评成绩计算方式如下：</w:t>
      </w:r>
    </w:p>
    <w:p>
      <w:pPr>
        <w:ind w:firstLine="420"/>
      </w:pPr>
      <w:r>
        <w:rPr>
          <w:rFonts w:ascii="SimSun" w:hAnsi="SimSun" w:eastAsia="SimSun"/>
          <w:sz w:val="21"/>
        </w:rPr>
        <w:t>总评成绩=期末考试成绩×60%+实验成绩×20%+网络学习成绩×20%</w:t>
      </w:r>
    </w:p>
    <w:p>
      <w:pPr>
        <w:ind w:firstLine="420"/>
      </w:pPr>
      <w:r>
        <w:rPr>
          <w:rFonts w:ascii="SimSun" w:hAnsi="SimSun" w:eastAsia="SimSun"/>
          <w:sz w:val="21"/>
        </w:rPr>
        <w:t>特别要求：当期末考试成绩≥50分时，可直接按上述公式计算总评成绩；当期末考试成绩＜50分时，则在上述公式结果和期末考试成绩之间选择最低值作为总评成绩。</w:t>
      </w:r>
    </w:p>
    <w:p>
      <w:pPr>
        <w:jc w:val="left"/>
      </w:pPr>
      <w:r>
        <w:rPr>
          <w:rFonts w:ascii="SimSun" w:hAnsi="SimSun"/>
          <w:b/>
          <w:sz w:val="21"/>
        </w:rPr>
        <w:t>1、网络学习部分成绩的计算</w:t>
      </w:r>
    </w:p>
    <w:p>
      <w:pPr>
        <w:ind w:firstLine="420"/>
      </w:pPr>
      <w:r>
        <w:rPr>
          <w:rFonts w:ascii="SimSun" w:hAnsi="SimSun" w:eastAsia="SimSun"/>
          <w:sz w:val="21"/>
        </w:rPr>
        <w:t>本学期网络学习成绩的评分细则如表1所示：</w:t>
      </w:r>
    </w:p>
    <w:p>
      <w:pPr>
        <w:ind w:firstLine="420"/>
      </w:pPr>
      <w:r>
        <w:rPr>
          <w:rFonts w:ascii="SimSun" w:hAnsi="SimSun"/>
          <w:b/>
          <w:sz w:val="18"/>
        </w:rPr>
        <w:t>表1  网络学习成绩评分细则表</w:t>
      </w:r>
    </w:p>
    <w:tbl>
      <w:tblPr>
        <w:tblStyle w:val="TableGrid"/>
        <w:tblW w:type="auto" w:w="0"/>
        <w:tblLayout w:type="fixed"/>
        <w:tblLook w:firstColumn="1" w:firstRow="1" w:lastColumn="0" w:lastRow="0" w:noHBand="0" w:noVBand="1" w:val="04A0"/>
      </w:tblPr>
      <w:tblGrid>
        <w:gridCol w:w="3324"/>
        <w:gridCol w:w="3324"/>
        <w:gridCol w:w="3324"/>
      </w:tblGrid>
      <w:tr>
        <w:tc>
          <w:tcPr>
            <w:tcW w:type="dxa" w:w="2160"/>
          </w:tcPr>
          <w:p>
            <w:pPr>
              <w:jc w:val="center"/>
            </w:pPr>
            <w:r>
              <w:rPr>
                <w:rFonts w:ascii="SimSun" w:hAnsi="SimSun"/>
                <w:sz w:val="18"/>
              </w:rPr>
              <w:t>评分内容</w:t>
            </w:r>
          </w:p>
        </w:tc>
        <w:tc>
          <w:tcPr>
            <w:tcW w:type="dxa" w:w="2160"/>
          </w:tcPr>
          <w:p>
            <w:pPr>
              <w:jc w:val="center"/>
            </w:pPr>
            <w:r>
              <w:rPr>
                <w:rFonts w:ascii="SimSun" w:hAnsi="SimSun"/>
                <w:sz w:val="18"/>
              </w:rPr>
              <w:t>权重</w:t>
            </w:r>
          </w:p>
        </w:tc>
        <w:tc>
          <w:tcPr>
            <w:tcW w:type="dxa" w:w="4320"/>
          </w:tcPr>
          <w:p>
            <w:pPr>
              <w:jc w:val="center"/>
            </w:pPr>
            <w:r>
              <w:rPr>
                <w:rFonts w:ascii="SimSun" w:hAnsi="SimSun"/>
                <w:sz w:val="18"/>
              </w:rPr>
              <w:t>说明</w:t>
            </w:r>
          </w:p>
        </w:tc>
      </w:tr>
      <w:tr>
        <w:tc>
          <w:tcPr>
            <w:tcW w:type="dxa" w:w="2160"/>
          </w:tcPr>
          <w:p>
            <w:pPr>
              <w:jc w:val="center"/>
            </w:pPr>
            <w:r>
              <w:rPr>
                <w:rFonts w:ascii="SimSun" w:hAnsi="SimSun"/>
                <w:sz w:val="18"/>
              </w:rPr>
              <w:t>单元测验</w:t>
            </w:r>
          </w:p>
        </w:tc>
        <w:tc>
          <w:tcPr>
            <w:tcW w:type="dxa" w:w="2160"/>
          </w:tcPr>
          <w:p>
            <w:pPr>
              <w:jc w:val="center"/>
            </w:pPr>
            <w:r>
              <w:rPr>
                <w:rFonts w:ascii="SimSun" w:hAnsi="SimSun"/>
                <w:sz w:val="18"/>
              </w:rPr>
              <w:t>60%</w:t>
            </w:r>
          </w:p>
        </w:tc>
        <w:tc>
          <w:tcPr>
            <w:tcW w:type="dxa" w:w="4320"/>
          </w:tcPr>
          <w:p>
            <w:pPr>
              <w:jc w:val="center"/>
            </w:pPr>
            <w:r>
              <w:rPr>
                <w:rFonts w:ascii="SimSun" w:hAnsi="SimSun"/>
                <w:sz w:val="18"/>
              </w:rPr>
              <w:t>每次测验有3次机会（随机抽题），取最高分</w:t>
            </w:r>
          </w:p>
        </w:tc>
      </w:tr>
      <w:tr>
        <w:tc>
          <w:tcPr>
            <w:tcW w:type="dxa" w:w="2160"/>
          </w:tcPr>
          <w:p>
            <w:pPr>
              <w:jc w:val="center"/>
            </w:pPr>
            <w:r>
              <w:rPr>
                <w:rFonts w:ascii="SimSun" w:hAnsi="SimSun"/>
                <w:sz w:val="18"/>
              </w:rPr>
              <w:t>综合测验</w:t>
            </w:r>
          </w:p>
        </w:tc>
        <w:tc>
          <w:tcPr>
            <w:tcW w:type="dxa" w:w="2160"/>
          </w:tcPr>
          <w:p>
            <w:pPr>
              <w:jc w:val="center"/>
            </w:pPr>
            <w:r>
              <w:rPr>
                <w:rFonts w:ascii="SimSun" w:hAnsi="SimSun"/>
                <w:sz w:val="18"/>
              </w:rPr>
              <w:t>30%</w:t>
            </w:r>
          </w:p>
        </w:tc>
        <w:tc>
          <w:tcPr>
            <w:tcW w:type="dxa" w:w="4320"/>
          </w:tcPr>
          <w:p>
            <w:pPr>
              <w:jc w:val="center"/>
            </w:pPr>
            <w:r>
              <w:rPr>
                <w:rFonts w:ascii="SimSun" w:hAnsi="SimSun"/>
                <w:sz w:val="18"/>
              </w:rPr>
              <w:t>只有1次机会（随机抽题）</w:t>
            </w:r>
          </w:p>
        </w:tc>
      </w:tr>
      <w:tr>
        <w:tc>
          <w:tcPr>
            <w:tcW w:type="dxa" w:w="2160"/>
          </w:tcPr>
          <w:p>
            <w:pPr>
              <w:jc w:val="center"/>
            </w:pPr>
            <w:r>
              <w:rPr>
                <w:rFonts w:ascii="SimSun" w:hAnsi="SimSun"/>
                <w:sz w:val="18"/>
              </w:rPr>
              <w:t>讨论</w:t>
            </w:r>
          </w:p>
        </w:tc>
        <w:tc>
          <w:tcPr>
            <w:tcW w:type="dxa" w:w="2160"/>
          </w:tcPr>
          <w:p>
            <w:pPr>
              <w:jc w:val="center"/>
            </w:pPr>
            <w:r>
              <w:rPr>
                <w:rFonts w:ascii="SimSun" w:hAnsi="SimSun"/>
                <w:sz w:val="18"/>
              </w:rPr>
              <w:t>10%</w:t>
            </w:r>
          </w:p>
        </w:tc>
        <w:tc>
          <w:tcPr>
            <w:tcW w:type="dxa" w:w="4320"/>
          </w:tcPr>
          <w:p>
            <w:pPr>
              <w:jc w:val="center"/>
            </w:pPr>
            <w:r>
              <w:rPr>
                <w:rFonts w:ascii="SimSun" w:hAnsi="SimSun"/>
                <w:sz w:val="18"/>
              </w:rPr>
              <w:t>10次得满分，限课堂交流区，其它地方的讨论不计入成绩</w:t>
            </w:r>
          </w:p>
        </w:tc>
      </w:tr>
    </w:tbl>
    <w:p>
      <w:pPr>
        <w:ind w:firstLine="420"/>
      </w:pPr>
      <w:r>
        <w:rPr>
          <w:rFonts w:ascii="SimSun" w:hAnsi="SimSun" w:eastAsia="SimSun"/>
          <w:sz w:val="21"/>
        </w:rPr>
        <w:t>test班的网络学习部分的成绩情况见表2。</w:t>
      </w:r>
    </w:p>
    <w:p>
      <w:pPr>
        <w:ind w:firstLine="420"/>
      </w:pPr>
      <w:r>
        <w:rPr>
          <w:rFonts w:ascii="SimSun" w:hAnsi="SimSun"/>
          <w:b/>
          <w:sz w:val="18"/>
        </w:rPr>
        <w:t>表2  网络学习部分成绩情况表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99.4</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80.15</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24</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63.16%</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23cjddy_平时成绩分布.png"/>
                          <pic:cNvPicPr/>
                        </pic:nvPicPr>
                        <pic:blipFill>
                          <a:blip r:embed="rId10"/>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的学生表现整体较为优异，总人数为38人。最高分为99.4分，最低分为0.0分，平均分为80.15分。从成绩分布来看，大部分学生取得了较高的分数。具体而言，获得90-100分的学生占比达到63.16%，表明大多数学生对课程内容掌握良好，能够熟练运用所学知识。此外，80-90分区间的学生占比为7.89%，这部分学生同样表现突出，接近优秀水平。</w:t>
        <w:br/>
        <w:br/>
        <w:t>相对而言，低分段学生数量较少，其中0-10分区间的学生占7.89%，而10-20分至40-50分区间的学生数量均为个位数，占比分别为0.00%、0.00%、0.00%和2.63%。这说明课程对于大部分学生来说具有一定的挑战性，但同时也反映出少数学生在学习过程中遇到了困难。</w:t>
        <w:br/>
        <w:br/>
        <w:t>整体而言，本课程学生的表现体现了良好的学习效果，多数学生能够达到或超过预期的学习目标。建议未来教学过程中，教师可以进一步关注低分段学生的学习情况，提供必要的辅导和支持，帮助所有学生充分发挥其潜力，提升整体学术水平。同时，课程设计也可以考虑适当调整，以适应不同层次学生的需求，确保每位学生都能从中受益。</w:t>
      </w:r>
    </w:p>
    <w:p>
      <w:pPr>
        <w:jc w:val="left"/>
      </w:pPr>
      <w:r>
        <w:rPr>
          <w:rFonts w:ascii="SimSun" w:hAnsi="SimSun"/>
          <w:b/>
          <w:sz w:val="21"/>
        </w:rPr>
        <w:t>2、实验成绩的计算</w:t>
      </w:r>
    </w:p>
    <w:p>
      <w:pPr>
        <w:ind w:left="420"/>
      </w:pPr>
      <w:r>
        <w:rPr>
          <w:rFonts w:ascii="SimSun" w:hAnsi="SimSun" w:eastAsia="SimSun"/>
          <w:sz w:val="21"/>
        </w:rPr>
        <w:t>本学期共进行了XX次实验，全部在万维考试系统上完成，由系统自动评分。</w:t>
        <w:br/>
        <w:t>test班的实验成绩情况见表3。</w:t>
      </w:r>
    </w:p>
    <w:p>
      <w:pPr>
        <w:ind w:firstLine="420"/>
      </w:pPr>
      <w:r>
        <w:rPr>
          <w:rFonts w:ascii="SimSun" w:hAnsi="SimSun"/>
          <w:b/>
          <w:sz w:val="18"/>
        </w:rPr>
        <w:t>表3  实验部分成绩情况表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85.51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31</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81.58%</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23cjddy_实验成绩分布.png"/>
                          <pic:cNvPicPr/>
                        </pic:nvPicPr>
                        <pic:blipFill>
                          <a:blip r:embed="rId11"/>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本次课程的学生实验成绩整体表现优异，具体分析如下：</w:t>
        <w:br/>
        <w:br/>
        <w:t>全班共有38名学生参与，实验成绩从0至100分不等，平均成绩达到85.51分。其中，最高分与最低分分别为100分和0分，显示出成绩分布存在较大差异。</w:t>
        <w:br/>
        <w:br/>
        <w:t>值得注意的是，在所有分数段中，90-100分这一区间的学生人数最多，占比高达81.58%，表明大部分学生对课程内容掌握良好，能够出色完成实验任务。相反，0-10分区间内有3名学生，占比7.89%，这部分学生可能在实验过程中遇到了较大困难，需要进一步关注和支持。</w:t>
        <w:br/>
        <w:br/>
        <w:t>除上述两个极端分数段外，其余分数段的学生人数较少，甚至某些区间如10-20分、20-30分、30-40分、40-50分、50-60分、60-70分、70-80分均未出现学生得分，表明班级整体学术水平较高，仅有少数学生未能达到预期目标。</w:t>
        <w:br/>
        <w:br/>
        <w:t>总体而言，本课程学生实验成绩反映出较高的学习成效，但也存在个别学生需额外辅导的情况。未来教学过程中，建议针对不同层次学生的需求提供差异化指导，以确保每位学生都能获得充分的学习支持和发展机会。</w:t>
      </w:r>
    </w:p>
    <w:p>
      <w:pPr>
        <w:jc w:val="left"/>
      </w:pPr>
      <w:r>
        <w:rPr>
          <w:rFonts w:ascii="SimSun" w:hAnsi="SimSun"/>
          <w:b/>
          <w:sz w:val="21"/>
        </w:rPr>
        <w:t>3、期末考试成绩的计算</w:t>
      </w:r>
    </w:p>
    <w:p>
      <w:pPr>
        <w:ind w:firstLine="420"/>
      </w:pPr>
      <w:r>
        <w:rPr>
          <w:rFonts w:ascii="SimSun" w:hAnsi="SimSun" w:eastAsia="SimSun"/>
          <w:sz w:val="21"/>
        </w:rPr>
        <w:t>由于理论部分的教学内容已在网络课程中安排了单元测验和综合测验，因此期末考试主要考核实验部分的教学内容。本课程期末考试采用万维考试系统进行上机考试，考生登录考试系统后，系统自动为各考生分配试卷，每份试卷的题型和分值组成如下：</w:t>
      </w:r>
    </w:p>
    <w:p>
      <w:pPr>
        <w:ind w:left="840"/>
      </w:pPr>
      <w:r>
        <w:rPr>
          <w:rFonts w:ascii="SimSun" w:hAnsi="SimSun" w:eastAsia="SimSun"/>
          <w:sz w:val="21"/>
        </w:rPr>
        <w:t>1) Windows/网络设置操作题15分。</w:t>
        <w:br/>
        <w:t>2) MS Office Word操作题30分。</w:t>
        <w:br/>
        <w:t>3) MS Office Excel操作题35分。</w:t>
        <w:br/>
        <w:t>4) MS Office PPT操作题20分。</w:t>
      </w:r>
    </w:p>
    <w:p>
      <w:pPr>
        <w:ind w:left="420"/>
      </w:pPr>
      <w:r>
        <w:rPr>
          <w:rFonts w:ascii="SimSun" w:hAnsi="SimSun" w:eastAsia="SimSun"/>
          <w:sz w:val="21"/>
        </w:rPr>
        <w:t>从试题内容来看，试卷基本能覆盖教学大纲中的实践操作内容，能较好地考察学生的掌握情况，也能较真实地反映学生的计算机应用水平。</w:t>
        <w:br/>
        <w:t>test班的期末考试成绩情况见表4。</w:t>
      </w:r>
    </w:p>
    <w:p>
      <w:pPr>
        <w:ind w:firstLine="420"/>
      </w:pPr>
      <w:r>
        <w:rPr>
          <w:rFonts w:ascii="SimSun" w:hAnsi="SimSun"/>
          <w:b/>
          <w:sz w:val="18"/>
        </w:rPr>
        <w:t>表4  期末考试成绩情况表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98.6</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45.2</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74.36</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11</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28.95%</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26.32%</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3cjddy_期末成绩分布.png"/>
                          <pic:cNvPicPr/>
                        </pic:nvPicPr>
                        <pic:blipFill>
                          <a:blip r:embed="rId12"/>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**课程总结报告**</w:t>
        <w:br/>
        <w:br/>
        <w:t>本课程共有38名学生参与，期末成绩统计显示，最高分为98.6，最低分为45.2，平均分为74.36。根据成绩分布情况，大部分学生表现良好，少数学生需进一步努力。</w:t>
        <w:br/>
        <w:br/>
        <w:t>具体而言，成绩低于50分的学生仅占总人数的15.79%，其中40-50分段有3人，占比7.89%；50-60分段同样有3人，占比7.89%。这意味着绝大多数学生达到了基本要求，但仍有提升空间。</w:t>
        <w:br/>
        <w:br/>
        <w:t>在60-80分段，学生分布较为均衡。其中，60-70分段有11人，占比28.95%；70-80分段有3人，占比7.89%。这部分学生已较好地掌握了课程内容，但仍存在改进空间。</w:t>
        <w:br/>
        <w:br/>
        <w:t>而成绩优异的学生则集中在80分以上。80-90分段有10人，占比26.32%；90-100分段有8人，占比21.05%。这部分学生表现出色，不仅掌握了课程核心知识，还展现了较高的理解与应用能力。</w:t>
        <w:br/>
        <w:br/>
        <w:t>总体来看，本课程学生整体表现良好，多数学生能够达到或超过预期学习目标。然而，也存在部分学生成绩偏低的情况，建议未来教学过程中加强对这些学生的关注与辅导，以促进全班学生共同进步。同时，对于成绩优异的学生，应鼓励其继续深入探索相关领域，发挥更大潜力。</w:t>
        <w:br/>
        <w:br/>
        <w:t>综上所述，本课程的教学目标已基本达成，未来可考虑引入更多实践环节，进一步激发学生的学习兴趣与主动性。</w:t>
      </w:r>
    </w:p>
    <w:p>
      <w:pPr>
        <w:jc w:val="left"/>
      </w:pPr>
      <w:r>
        <w:rPr>
          <w:rFonts w:ascii="SimSun" w:hAnsi="SimSun"/>
          <w:b/>
          <w:sz w:val="21"/>
        </w:rPr>
        <w:t>4、课程总评成绩情况</w:t>
      </w:r>
    </w:p>
    <w:p>
      <w:pPr>
        <w:ind w:firstLine="420"/>
      </w:pPr>
      <w:r>
        <w:rPr>
          <w:rFonts w:ascii="SimSun" w:hAnsi="SimSun" w:eastAsia="SimSun"/>
          <w:sz w:val="21"/>
        </w:rPr>
        <w:t>test班的课程总评成绩情况见表5。</w:t>
      </w:r>
    </w:p>
    <w:p>
      <w:pPr>
        <w:ind w:firstLine="420"/>
      </w:pPr>
      <w:r>
        <w:rPr>
          <w:rFonts w:ascii="SimSun" w:hAnsi="SimSun"/>
          <w:b/>
          <w:sz w:val="18"/>
        </w:rPr>
        <w:t>表5  课程总评成绩情况表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28</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77.71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5</w:t>
            </w:r>
          </w:p>
        </w:tc>
        <w:tc>
          <w:tcPr>
            <w:tcW w:type="dxa" w:w="864"/>
          </w:tcPr>
          <w:p>
            <w:pPr>
              <w:jc w:val="center"/>
            </w:pPr>
            <w:r>
              <w:rPr>
                <w:rFonts w:ascii="SimSun" w:hAnsi="SimSun" w:eastAsia="SimSun"/>
                <w:sz w:val="21"/>
              </w:rPr>
              <w:t>9</w:t>
            </w:r>
          </w:p>
        </w:tc>
        <w:tc>
          <w:tcPr>
            <w:tcW w:type="dxa" w:w="864"/>
          </w:tcPr>
          <w:p>
            <w:pPr>
              <w:jc w:val="center"/>
            </w:pPr>
            <w:r>
              <w:rPr>
                <w:rFonts w:ascii="SimSun" w:hAnsi="SimSun" w:eastAsia="SimSun"/>
                <w:sz w:val="21"/>
              </w:rPr>
              <w:t>13</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13.16%</w:t>
            </w:r>
          </w:p>
        </w:tc>
        <w:tc>
          <w:tcPr>
            <w:tcW w:type="dxa" w:w="864"/>
          </w:tcPr>
          <w:p>
            <w:pPr>
              <w:jc w:val="center"/>
            </w:pPr>
            <w:r>
              <w:rPr>
                <w:rFonts w:ascii="SimSun" w:hAnsi="SimSun" w:eastAsia="SimSun"/>
                <w:sz w:val="21"/>
              </w:rPr>
              <w:t>23.68%</w:t>
            </w:r>
          </w:p>
        </w:tc>
        <w:tc>
          <w:tcPr>
            <w:tcW w:type="dxa" w:w="864"/>
          </w:tcPr>
          <w:p>
            <w:pPr>
              <w:jc w:val="center"/>
            </w:pPr>
            <w:r>
              <w:rPr>
                <w:rFonts w:ascii="SimSun" w:hAnsi="SimSun" w:eastAsia="SimSun"/>
                <w:sz w:val="21"/>
              </w:rPr>
              <w:t>34.21%</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23cjddy_总评成绩分布.png"/>
                          <pic:cNvPicPr/>
                        </pic:nvPicPr>
                        <pic:blipFill>
                          <a:blip r:embed="rId13"/>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本次课程共有38名学生参与考核，成绩范围从28分至98分不等，平均分达到77.71分。成绩分布呈现正态分布趋势，但偏向较高分段。</w:t>
        <w:br/>
        <w:br/>
        <w:t>具体来看，低分段（20-30分）的学生占比相对较小，仅为2.63%，仅有一名学生。中等分段（60-70分）与（70-80分）的学生分别占13.16%和23.68%，显示出大部分学生掌握了基础知识点。高分段（80-90分）及（90-100分）的学生合计占比达到55.26%，其中（80-90分）段的学生占34.21%，（90-100分）段的学生占21.05%。这表明大多数学生对课程内容掌握较好，能够熟练运用所学知识。</w:t>
        <w:br/>
        <w:br/>
        <w:t>总体而言，本课程学生表现良好，超过半数的学生取得了较为优异的成绩。这反映了学生们对课程内容有较深的理解和较高的学习热情。然而，也需注意到少数学生仍存在理解上的困难，这部分学生需要更多的关注和支持以帮助他们提高成绩。未来教学过程中，可以考虑增加对这些学生的辅导力度，同时继续维持现有的教学方法，鼓励学生深入探索和应用所学知识，进一步提升整体教学质量和效果。</w:t>
      </w:r>
    </w:p>
    <w:p>
      <w:pPr>
        <w:jc w:val="left"/>
      </w:pPr>
      <w:r>
        <w:rPr>
          <w:rFonts w:ascii="SimSun" w:hAnsi="SimSun"/>
          <w:b/>
          <w:sz w:val="21"/>
        </w:rPr>
        <w:t>三、学习成效分析</w:t>
      </w:r>
    </w:p>
    <w:p>
      <w:pPr>
        <w:ind w:left="420"/>
      </w:pPr>
      <w:r>
        <w:rPr>
          <w:rFonts w:ascii="SimSun" w:hAnsi="SimSun" w:eastAsia="SimSun"/>
          <w:sz w:val="21"/>
        </w:rPr>
        <w:t>从学生的学习过程情况及期末总评成绩来看，大部分学生均能完成本课程的学习任务，其计算机基础知识和计算机应用水平基本达到本课程的教学要求，本课程的教学目的基本实现。</w:t>
      </w:r>
    </w:p>
    <w:p>
      <w:pPr>
        <w:ind w:left="420"/>
      </w:pPr>
      <w:r>
        <w:rPr>
          <w:rFonts w:ascii="SimSun" w:hAnsi="SimSun" w:eastAsia="SimSun"/>
          <w:sz w:val="21"/>
        </w:rPr>
        <w:t xml:space="preserve"> 课程效果评估报告</w:t>
        <w:br/>
        <w:br/>
        <w:t xml:space="preserve"> 一、课程前学生基础知识掌握情况</w:t>
        <w:br/>
        <w:br/>
        <w:t>在本课程开始前，学生的基础知识掌握情况呈现出一定的差异性。大部分学生具备了一定的专业背景知识，但也有部分学生因前期课程选择或个人学习经历的不同，导致其基础知识掌握程度不一。总体而言，大多数学生能够为后续学习打下良好的基础。</w:t>
        <w:br/>
        <w:br/>
        <w:t xml:space="preserve"> 二、学生学习态度</w:t>
        <w:br/>
        <w:br/>
        <w:t>在课程学习过程中，学生展现出了积极主动的学习态度。课堂上，学生积极参与讨论，提问频繁，显示出较强的好奇心和求知欲。同时，学生在课外也表现出较高的自主学习能力，通过查阅资料、参与在线讨论等方式，进一步深化了对课程内容的理解。</w:t>
        <w:br/>
        <w:br/>
        <w:t xml:space="preserve"> 三、课时安排对教学效果的影响</w:t>
        <w:br/>
        <w:br/>
        <w:t>合理的课时安排对于提高教学效果至关重要。本课程采用了灵活多样的课时分配策略，既保证了理论知识的系统讲解，又留有足够的实践操作时间。这种安排不仅有助于学生深入理解抽象概念，还促进了理论与实践的有效结合，从而提升了整体教学效果。</w:t>
        <w:br/>
        <w:br/>
        <w:t xml:space="preserve"> 四、教学方式对教学效果的影响</w:t>
        <w:br/>
        <w:br/>
        <w:t>采用多样化的教学方法对促进学生理解和吸收知识具有显著作用。本课程融合了讲授、案例分析、小组讨论等多种教学形式，不仅激发了学生的学习兴趣，还增强了他们的团队协作能力和批判性思维能力。多元化的教学手段有效提升了教学效果。</w:t>
        <w:br/>
        <w:br/>
        <w:t xml:space="preserve"> 五、教学内容对教学效果的影响</w:t>
        <w:br/>
        <w:br/>
        <w:t>教学内容的选择直接关系到教学目标的实现。本课程的教学内容紧密围绕学科前沿和实际应用展开，既涵盖了基础理论知识，又引入了最新的研究成果和发展趋势。这种内容设置不仅拓宽了学生的知识视野，还提高了他们解决实际问题的能力，从而显著提升了教学效果。</w:t>
        <w:br/>
        <w:br/>
        <w:t>综上所述，通过综合考虑学生基础知识、学习态度、课时安排、教学方式以及教学内容等多方面因素，本课程达到了预期的教学目标，取得了令人满意的效果。</w:t>
      </w:r>
    </w:p>
    <w:p>
      <w:pPr>
        <w:jc w:val="left"/>
      </w:pPr>
      <w:r>
        <w:rPr>
          <w:rFonts w:ascii="SimSun" w:hAnsi="SimSun"/>
          <w:b/>
          <w:sz w:val="21"/>
        </w:rPr>
        <w:t>四、改进措施及建议</w:t>
      </w:r>
    </w:p>
    <w:p>
      <w:pPr>
        <w:ind w:left="420"/>
      </w:pPr>
      <w:r>
        <w:rPr>
          <w:rFonts w:ascii="SimSun" w:hAnsi="SimSun" w:eastAsia="SimSun"/>
          <w:sz w:val="21"/>
        </w:rPr>
        <w:t>报告：关于课程优化与改进的综合建议</w:t>
        <w:br/>
        <w:br/>
        <w:t>一、引言</w:t>
        <w:br/>
        <w:t>随着教育技术的快速发展与学习者需求的日益多样化，课程设计与实施需不断适应变化，以提供更加优质的学习体验。本报告旨在为现有课程提出一系列全面的改进建议，以期进一步提升教学质量，满足学生个性化发展需求。</w:t>
        <w:br/>
        <w:br/>
        <w:t>二、课程内容优化</w:t>
        <w:br/>
        <w:t>1. 增强课程内容的时代性和实用性，确保知识体系与时俱进，能够反映最新行业趋势与科技进展。</w:t>
        <w:br/>
        <w:t>2. 引入跨学科元素，促进知识融合，激发学生创新思维与解决问题的能力。</w:t>
        <w:br/>
        <w:t>3. 加强案例教学与实践应用，使理论知识与实际操作紧密结合，增强学习的直观感受与应用能力。</w:t>
        <w:br/>
        <w:br/>
        <w:t>三、教学方法革新</w:t>
        <w:br/>
        <w:t>1. 推广混合式学习模式，结合线上与线下资源，灵活调整教学策略，满足不同学习风格的需求。</w:t>
        <w:br/>
        <w:t>2. 强化互动交流，鼓励师生、生生之间的深度对话，提高课堂参与度与活跃度。</w:t>
        <w:br/>
        <w:t>3. 利用多媒体技术和虚拟现实等现代信息技术手段，丰富教学形式，提升课程吸引力。</w:t>
        <w:br/>
        <w:br/>
        <w:t>四、评估体系完善</w:t>
        <w:br/>
        <w:t>1. 构建多元化的评价体系，不仅关注知识掌握情况，还重视批判性思维、团队合作等软技能的培养。</w:t>
        <w:br/>
        <w:t>2. 实施过程性评价与形成性评价相结合的方式，及时反馈学习成果，帮助学生调整学习计划。</w:t>
        <w:br/>
        <w:t>3. 开展自我评估与同伴互评，增强学生的自主学习意识与责任感。</w:t>
        <w:br/>
        <w:br/>
        <w:t>五、结语</w:t>
        <w:br/>
        <w:t>通过上述各方面的优化与改进，期望能有效提升课程的整体质量，更好地服务于学生全面发展，为培养具有国际视野与创新能力的高素质人才奠定坚实基础。</w:t>
      </w:r>
    </w:p>
    <w:sectPr w:rsidR="00FC693F" w:rsidRPr="0006063C" w:rsidSect="00034616">
      <w:headerReference w:type="default" r:id="rId9"/>
      <w:pgSz w:w="12240" w:h="15840"/>
      <w:pgMar w:top="1247" w:right="1134" w:bottom="7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260000" cy="285469"/>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2854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