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SimHei" w:hAnsi="SimHei" w:eastAsia="SimHei"/>
          <w:b/>
          <w:sz w:val="36"/>
        </w:rPr>
        <w:t>课程反思报告</w:t>
      </w:r>
    </w:p>
    <w:p>
      <w:pPr>
        <w:jc w:val="center"/>
      </w:pPr>
      <w:r>
        <w:rPr>
          <w:rFonts w:ascii="Times New Roman" w:hAnsi="Times New Roman"/>
          <w:sz w:val="21"/>
        </w:rPr>
        <w:t>(2023-2024学年第2学期)</w:t>
      </w:r>
    </w:p>
    <w:p>
      <w:pPr>
        <w:jc w:val="center"/>
      </w:pPr>
      <w:r>
        <w:rPr>
          <w:rFonts w:ascii="Times New Roman" w:hAnsi="Times New Roman"/>
          <w:sz w:val="21"/>
        </w:rPr>
        <w:t>(2023-2024学年第2学期)</w:t>
      </w:r>
    </w:p>
    <w:p>
      <w:pPr>
        <w:jc w:val="left"/>
      </w:pPr>
      <w:r>
        <w:rPr>
          <w:rFonts w:ascii="SimSun" w:hAnsi="SimSun"/>
          <w:b/>
          <w:sz w:val="21"/>
        </w:rPr>
        <w:t>一、教学基本信息</w:t>
      </w:r>
    </w:p>
    <w:p>
      <w:pPr>
        <w:ind w:firstLine="420"/>
      </w:pPr>
      <w:r>
        <w:rPr>
          <w:rFonts w:ascii="SimSun" w:hAnsi="SimSun" w:eastAsia="SimSun"/>
          <w:sz w:val="21"/>
        </w:rPr>
        <w:t>课程名称：大学信息技术</w:t>
      </w:r>
    </w:p>
    <w:p>
      <w:pPr>
        <w:ind w:firstLine="420"/>
      </w:pPr>
      <w:r>
        <w:rPr>
          <w:rFonts w:ascii="SimSun" w:hAnsi="SimSun" w:eastAsia="SimSun"/>
          <w:sz w:val="21"/>
        </w:rPr>
        <w:t>授课对象及合班情况：test，共计44人</w:t>
      </w:r>
    </w:p>
    <w:p>
      <w:pPr>
        <w:ind w:firstLine="420"/>
      </w:pPr>
      <w:r>
        <w:rPr>
          <w:rFonts w:ascii="SimSun" w:hAnsi="SimSun" w:eastAsia="SimSun"/>
          <w:sz w:val="21"/>
        </w:rPr>
        <w:t>任课教师：刘利钊</w:t>
      </w:r>
    </w:p>
    <w:p>
      <w:pPr>
        <w:ind w:firstLine="420"/>
      </w:pPr>
      <w:r>
        <w:rPr>
          <w:rFonts w:ascii="SimSun" w:hAnsi="SimSun" w:eastAsia="SimSun"/>
          <w:sz w:val="21"/>
        </w:rPr>
        <w:t>实际授课课时：24学时</w:t>
      </w:r>
    </w:p>
    <w:p>
      <w:pPr>
        <w:jc w:val="left"/>
      </w:pPr>
      <w:r>
        <w:rPr>
          <w:rFonts w:ascii="SimSun" w:hAnsi="SimSun"/>
          <w:b/>
          <w:sz w:val="21"/>
        </w:rPr>
        <w:t>二、考核及学习成绩情况</w:t>
      </w:r>
    </w:p>
    <w:p>
      <w:pPr>
        <w:ind w:firstLine="420"/>
      </w:pPr>
      <w:r>
        <w:rPr>
          <w:rFonts w:ascii="SimSun" w:hAnsi="SimSun" w:eastAsia="SimSun"/>
          <w:sz w:val="21"/>
        </w:rPr>
        <w:t>本学期的《大学信息技术》课程采用SPOC教学模式，理论课选用国家精品线上课程（福建农林大学陈琼老师的《大学信息技术基础》）为蓝本，要求学生通过网课平台进行自学，实验课则安排在实验室进行线下授课。</w:t>
      </w:r>
    </w:p>
    <w:p>
      <w:pPr>
        <w:ind w:firstLine="420"/>
      </w:pPr>
      <w:r>
        <w:rPr>
          <w:rFonts w:ascii="SimSun" w:hAnsi="SimSun" w:eastAsia="SimSun"/>
          <w:sz w:val="21"/>
        </w:rPr>
        <w:t>课程的总评成绩计算方式如下：</w:t>
      </w:r>
    </w:p>
    <w:p>
      <w:pPr>
        <w:ind w:firstLine="420"/>
      </w:pPr>
      <w:r>
        <w:rPr>
          <w:rFonts w:ascii="SimSun" w:hAnsi="SimSun" w:eastAsia="SimSun"/>
          <w:sz w:val="21"/>
        </w:rPr>
        <w:t>总评成绩=期末考试成绩×60%+实验成绩×20%+网络学习成绩×20%</w:t>
      </w:r>
    </w:p>
    <w:p>
      <w:pPr>
        <w:ind w:firstLine="420"/>
      </w:pPr>
      <w:r>
        <w:rPr>
          <w:rFonts w:ascii="SimSun" w:hAnsi="SimSun" w:eastAsia="SimSun"/>
          <w:sz w:val="21"/>
        </w:rPr>
        <w:t>特别要求：当期末考试成绩≥50分时，可直接按上述公式计算总评成绩；当期末考试成绩＜50分时，则在上述公式结果和期末考试成绩之间选择最低值作为总评成绩。</w:t>
      </w:r>
    </w:p>
    <w:p>
      <w:pPr>
        <w:jc w:val="left"/>
      </w:pPr>
      <w:r>
        <w:rPr>
          <w:rFonts w:ascii="SimSun" w:hAnsi="SimSun"/>
          <w:b/>
          <w:sz w:val="21"/>
        </w:rPr>
        <w:t>1、网络学习部分成绩的计算</w:t>
      </w:r>
    </w:p>
    <w:p>
      <w:pPr>
        <w:ind w:firstLine="420"/>
      </w:pPr>
      <w:r>
        <w:rPr>
          <w:rFonts w:ascii="SimSun" w:hAnsi="SimSun" w:eastAsia="SimSun"/>
          <w:sz w:val="21"/>
        </w:rPr>
        <w:t>本学期网络学习成绩的评分细则如表1所示：</w:t>
      </w:r>
    </w:p>
    <w:p>
      <w:pPr>
        <w:ind w:firstLine="420"/>
      </w:pPr>
      <w:r>
        <w:rPr>
          <w:rFonts w:ascii="SimSun" w:hAnsi="SimSun"/>
          <w:b/>
          <w:sz w:val="18"/>
        </w:rPr>
        <w:t>表1  网络学习成绩评分细则表</w:t>
      </w:r>
    </w:p>
    <w:tbl>
      <w:tblPr>
        <w:tblStyle w:val="TableGrid"/>
        <w:tblW w:type="auto" w:w="0"/>
        <w:tblLayout w:type="fixed"/>
        <w:tblLook w:firstColumn="1" w:firstRow="1" w:lastColumn="0" w:lastRow="0" w:noHBand="0" w:noVBand="1" w:val="04A0"/>
      </w:tblPr>
      <w:tblGrid>
        <w:gridCol w:w="3324"/>
        <w:gridCol w:w="3324"/>
        <w:gridCol w:w="3324"/>
      </w:tblGrid>
      <w:tr>
        <w:tc>
          <w:tcPr>
            <w:tcW w:type="dxa" w:w="2160"/>
          </w:tcPr>
          <w:p>
            <w:pPr>
              <w:jc w:val="center"/>
            </w:pPr>
            <w:r>
              <w:rPr>
                <w:rFonts w:ascii="SimSun" w:hAnsi="SimSun"/>
                <w:sz w:val="18"/>
              </w:rPr>
              <w:t>评分内容</w:t>
            </w:r>
          </w:p>
        </w:tc>
        <w:tc>
          <w:tcPr>
            <w:tcW w:type="dxa" w:w="2160"/>
          </w:tcPr>
          <w:p>
            <w:pPr>
              <w:jc w:val="center"/>
            </w:pPr>
            <w:r>
              <w:rPr>
                <w:rFonts w:ascii="SimSun" w:hAnsi="SimSun"/>
                <w:sz w:val="18"/>
              </w:rPr>
              <w:t>权重</w:t>
            </w:r>
          </w:p>
        </w:tc>
        <w:tc>
          <w:tcPr>
            <w:tcW w:type="dxa" w:w="4320"/>
          </w:tcPr>
          <w:p>
            <w:pPr>
              <w:jc w:val="center"/>
            </w:pPr>
            <w:r>
              <w:rPr>
                <w:rFonts w:ascii="SimSun" w:hAnsi="SimSun"/>
                <w:sz w:val="18"/>
              </w:rPr>
              <w:t>说明</w:t>
            </w:r>
          </w:p>
        </w:tc>
      </w:tr>
      <w:tr>
        <w:tc>
          <w:tcPr>
            <w:tcW w:type="dxa" w:w="2160"/>
          </w:tcPr>
          <w:p>
            <w:pPr>
              <w:jc w:val="center"/>
            </w:pPr>
            <w:r>
              <w:rPr>
                <w:rFonts w:ascii="SimSun" w:hAnsi="SimSun"/>
                <w:sz w:val="18"/>
              </w:rPr>
              <w:t>单元测验</w:t>
            </w:r>
          </w:p>
        </w:tc>
        <w:tc>
          <w:tcPr>
            <w:tcW w:type="dxa" w:w="2160"/>
          </w:tcPr>
          <w:p>
            <w:pPr>
              <w:jc w:val="center"/>
            </w:pPr>
            <w:r>
              <w:rPr>
                <w:rFonts w:ascii="SimSun" w:hAnsi="SimSun"/>
                <w:sz w:val="18"/>
              </w:rPr>
              <w:t>60%</w:t>
            </w:r>
          </w:p>
        </w:tc>
        <w:tc>
          <w:tcPr>
            <w:tcW w:type="dxa" w:w="4320"/>
          </w:tcPr>
          <w:p>
            <w:pPr>
              <w:jc w:val="center"/>
            </w:pPr>
            <w:r>
              <w:rPr>
                <w:rFonts w:ascii="SimSun" w:hAnsi="SimSun"/>
                <w:sz w:val="18"/>
              </w:rPr>
              <w:t>每次测验有3次机会（随机抽题），取最高分</w:t>
            </w:r>
          </w:p>
        </w:tc>
      </w:tr>
      <w:tr>
        <w:tc>
          <w:tcPr>
            <w:tcW w:type="dxa" w:w="2160"/>
          </w:tcPr>
          <w:p>
            <w:pPr>
              <w:jc w:val="center"/>
            </w:pPr>
            <w:r>
              <w:rPr>
                <w:rFonts w:ascii="SimSun" w:hAnsi="SimSun"/>
                <w:sz w:val="18"/>
              </w:rPr>
              <w:t>综合测验</w:t>
            </w:r>
          </w:p>
        </w:tc>
        <w:tc>
          <w:tcPr>
            <w:tcW w:type="dxa" w:w="2160"/>
          </w:tcPr>
          <w:p>
            <w:pPr>
              <w:jc w:val="center"/>
            </w:pPr>
            <w:r>
              <w:rPr>
                <w:rFonts w:ascii="SimSun" w:hAnsi="SimSun"/>
                <w:sz w:val="18"/>
              </w:rPr>
              <w:t>30%</w:t>
            </w:r>
          </w:p>
        </w:tc>
        <w:tc>
          <w:tcPr>
            <w:tcW w:type="dxa" w:w="4320"/>
          </w:tcPr>
          <w:p>
            <w:pPr>
              <w:jc w:val="center"/>
            </w:pPr>
            <w:r>
              <w:rPr>
                <w:rFonts w:ascii="SimSun" w:hAnsi="SimSun"/>
                <w:sz w:val="18"/>
              </w:rPr>
              <w:t>只有1次机会（随机抽题）</w:t>
            </w:r>
          </w:p>
        </w:tc>
      </w:tr>
      <w:tr>
        <w:tc>
          <w:tcPr>
            <w:tcW w:type="dxa" w:w="2160"/>
          </w:tcPr>
          <w:p>
            <w:pPr>
              <w:jc w:val="center"/>
            </w:pPr>
            <w:r>
              <w:rPr>
                <w:rFonts w:ascii="SimSun" w:hAnsi="SimSun"/>
                <w:sz w:val="18"/>
              </w:rPr>
              <w:t>讨论</w:t>
            </w:r>
          </w:p>
        </w:tc>
        <w:tc>
          <w:tcPr>
            <w:tcW w:type="dxa" w:w="2160"/>
          </w:tcPr>
          <w:p>
            <w:pPr>
              <w:jc w:val="center"/>
            </w:pPr>
            <w:r>
              <w:rPr>
                <w:rFonts w:ascii="SimSun" w:hAnsi="SimSun"/>
                <w:sz w:val="18"/>
              </w:rPr>
              <w:t>10%</w:t>
            </w:r>
          </w:p>
        </w:tc>
        <w:tc>
          <w:tcPr>
            <w:tcW w:type="dxa" w:w="4320"/>
          </w:tcPr>
          <w:p>
            <w:pPr>
              <w:jc w:val="center"/>
            </w:pPr>
            <w:r>
              <w:rPr>
                <w:rFonts w:ascii="SimSun" w:hAnsi="SimSun"/>
                <w:sz w:val="18"/>
              </w:rPr>
              <w:t>10次得满分，限课堂交流区，其它地方的讨论不计入成绩</w:t>
            </w:r>
          </w:p>
        </w:tc>
      </w:tr>
    </w:tbl>
    <w:p>
      <w:pPr>
        <w:ind w:firstLine="420"/>
      </w:pPr>
      <w:r>
        <w:rPr>
          <w:rFonts w:ascii="SimSun" w:hAnsi="SimSun" w:eastAsia="SimSun"/>
          <w:sz w:val="21"/>
        </w:rPr>
        <w:t>test班的网络学习部分的成绩情况见表2。</w:t>
      </w:r>
    </w:p>
    <w:p>
      <w:pPr>
        <w:ind w:firstLine="420"/>
      </w:pPr>
      <w:r>
        <w:rPr>
          <w:rFonts w:ascii="SimSun" w:hAnsi="SimSun"/>
          <w:b/>
          <w:sz w:val="18"/>
        </w:rPr>
        <w:t>表2  网络学习部分成绩情况表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44</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100.0</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14.8</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77.76</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1</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19</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4</w:t>
            </w:r>
          </w:p>
        </w:tc>
        <w:tc>
          <w:tcPr>
            <w:tcW w:type="dxa" w:w="1440"/>
          </w:tcPr>
          <w:p>
            <w:pPr>
              <w:jc w:val="center"/>
            </w:pPr>
            <w:r>
              <w:rPr>
                <w:rFonts w:ascii="SimSun" w:hAnsi="SimSun" w:eastAsia="SimSun"/>
                <w:sz w:val="21"/>
              </w:rPr>
              <w:t>17</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2.27%</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2.27%</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2.27%</w:t>
            </w:r>
          </w:p>
        </w:tc>
        <w:tc>
          <w:tcPr>
            <w:tcW w:type="dxa" w:w="864"/>
          </w:tcPr>
          <w:p>
            <w:pPr>
              <w:jc w:val="center"/>
            </w:pPr>
            <w:r>
              <w:rPr>
                <w:rFonts w:ascii="SimSun" w:hAnsi="SimSun" w:eastAsia="SimSun"/>
                <w:sz w:val="21"/>
              </w:rPr>
              <w:t>43.18%</w:t>
            </w:r>
          </w:p>
        </w:tc>
        <w:tc>
          <w:tcPr>
            <w:tcW w:type="dxa" w:w="864"/>
          </w:tcPr>
          <w:p>
            <w:pPr>
              <w:jc w:val="center"/>
            </w:pPr>
            <w:r>
              <w:rPr>
                <w:rFonts w:ascii="SimSun" w:hAnsi="SimSun" w:eastAsia="SimSun"/>
                <w:sz w:val="21"/>
              </w:rPr>
              <w:t>2.27%</w:t>
            </w:r>
          </w:p>
        </w:tc>
        <w:tc>
          <w:tcPr>
            <w:tcW w:type="dxa" w:w="864"/>
          </w:tcPr>
          <w:p>
            <w:pPr>
              <w:jc w:val="center"/>
            </w:pPr>
            <w:r>
              <w:rPr>
                <w:rFonts w:ascii="SimSun" w:hAnsi="SimSun" w:eastAsia="SimSun"/>
                <w:sz w:val="21"/>
              </w:rPr>
              <w:t>9.09%</w:t>
            </w:r>
          </w:p>
        </w:tc>
        <w:tc>
          <w:tcPr>
            <w:tcW w:type="dxa" w:w="1440"/>
          </w:tcPr>
          <w:p>
            <w:pPr>
              <w:jc w:val="center"/>
            </w:pPr>
            <w:r>
              <w:rPr>
                <w:rFonts w:ascii="SimSun" w:hAnsi="SimSun" w:eastAsia="SimSun"/>
                <w:sz w:val="21"/>
              </w:rPr>
              <w:t>38.64%</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23cjddy_bj_平时成绩分布.png"/>
                          <pic:cNvPicPr/>
                        </pic:nvPicPr>
                        <pic:blipFill>
                          <a:blip r:embed="rId10"/>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本次课程共有44名学生参与。从整体成绩来看，平均分为77.76分，表明大多数学生对课程内容掌握较好。最高分达到100分，最低分为14.8分。</w:t>
        <w:br/>
        <w:br/>
        <w:t>具体来看，成绩分布较为集中于中上水平。有17名学生（占比38.64%）获得了90分以上的高分，显示出这部分学生对课程内容有深刻理解和掌握。与此同时，也有19名学生（占比43.18%）的成绩集中在60-70分之间，这部分学生基本掌握了课程的主要内容，但可能在某些细节或应用方面还有提升空间。此外，仅有1名学生（占比2.27%）的成绩低于60分，这表明大部分学生都能达到及格线以上，只有少数学生需要更多的帮助和支持来提高成绩。</w:t>
        <w:br/>
        <w:br/>
        <w:t>值得注意的是，虽然低分段的学生较少，但课程设计和教学方法仍需考虑如何进一步提高这些学生的成绩，确保每位学生都能从中获益。整体而言，大部分学生表现良好，达到了预期的学习目标。未来可以针对中等成绩的学生进行更有针对性的教学策略调整，以帮助他们更好地掌握课程难点，进一步提高整体成绩水平。同时，对于低分段的学生，应提供额外的支持和辅导，确保每位学生都能跟上课程进度，实现个人最佳学习效果。</w:t>
      </w:r>
    </w:p>
    <w:p>
      <w:pPr>
        <w:jc w:val="left"/>
      </w:pPr>
      <w:r>
        <w:rPr>
          <w:rFonts w:ascii="SimSun" w:hAnsi="SimSun"/>
          <w:b/>
          <w:sz w:val="21"/>
        </w:rPr>
        <w:t>2、实验成绩的计算</w:t>
      </w:r>
    </w:p>
    <w:p>
      <w:pPr>
        <w:ind w:left="420"/>
      </w:pPr>
      <w:r>
        <w:rPr>
          <w:rFonts w:ascii="SimSun" w:hAnsi="SimSun" w:eastAsia="SimSun"/>
          <w:sz w:val="21"/>
        </w:rPr>
        <w:t>本学期共进行了XX次实验，全部在万维考试系统上完成，由系统自动评分。</w:t>
        <w:br/>
        <w:t>test班的实验成绩情况见表3。</w:t>
      </w:r>
    </w:p>
    <w:p>
      <w:pPr>
        <w:ind w:firstLine="420"/>
      </w:pPr>
      <w:r>
        <w:rPr>
          <w:rFonts w:ascii="SimSun" w:hAnsi="SimSun"/>
          <w:b/>
          <w:sz w:val="18"/>
        </w:rPr>
        <w:t>表3  实验部分成绩情况表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44</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100</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84</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92.70</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15</w:t>
            </w:r>
          </w:p>
        </w:tc>
        <w:tc>
          <w:tcPr>
            <w:tcW w:type="dxa" w:w="1440"/>
          </w:tcPr>
          <w:p>
            <w:pPr>
              <w:jc w:val="center"/>
            </w:pPr>
            <w:r>
              <w:rPr>
                <w:rFonts w:ascii="SimSun" w:hAnsi="SimSun" w:eastAsia="SimSun"/>
                <w:sz w:val="21"/>
              </w:rPr>
              <w:t>29</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34.09%</w:t>
            </w:r>
          </w:p>
        </w:tc>
        <w:tc>
          <w:tcPr>
            <w:tcW w:type="dxa" w:w="1440"/>
          </w:tcPr>
          <w:p>
            <w:pPr>
              <w:jc w:val="center"/>
            </w:pPr>
            <w:r>
              <w:rPr>
                <w:rFonts w:ascii="SimSun" w:hAnsi="SimSun" w:eastAsia="SimSun"/>
                <w:sz w:val="21"/>
              </w:rPr>
              <w:t>65.91%</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23cjddy_bj_实验成绩分布.png"/>
                          <pic:cNvPicPr/>
                        </pic:nvPicPr>
                        <pic:blipFill>
                          <a:blip r:embed="rId11"/>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次课程实验成绩总体表现优秀。全班共44名学生参与，成绩范围从84分到100分，平均分为92.70分。从成绩分布来看，大多数学生的得分集中在90至100分之间，占比达到65.91%，即29人；而80至90分之间的学生占34.09%，即15人。</w:t>
        <w:br/>
        <w:br/>
        <w:t>整体而言，大部分学生对实验内容掌握良好，能够准确理解并应用所学知识，表现出色。值得注意的是，没有学生得分低于80分，这表明学生们的实验准备充分，实验操作规范，理论与实践结合能力强。</w:t>
        <w:br/>
        <w:br/>
        <w:t>高分段学生的集中反映了学生对于实验内容的理解深入，动手能力较强，能独立解决问题。低分段为空，说明本次实验难度设置合理，所有学生都能达到基本要求。</w:t>
        <w:br/>
        <w:br/>
        <w:t>未来可以考虑增加实验难度，以进一步提升学生的挑战性和创新能力，同时也需关注如何帮助学生更好地理解和掌握难点内容，确保每位学生都能持续进步。总体来看，本次实验达到了预期的教学目标，体现了学生良好的学习效果。</w:t>
      </w:r>
    </w:p>
    <w:p>
      <w:pPr>
        <w:jc w:val="left"/>
      </w:pPr>
      <w:r>
        <w:rPr>
          <w:rFonts w:ascii="SimSun" w:hAnsi="SimSun"/>
          <w:b/>
          <w:sz w:val="21"/>
        </w:rPr>
        <w:t>3、期末考试成绩的计算</w:t>
      </w:r>
    </w:p>
    <w:p>
      <w:pPr>
        <w:ind w:firstLine="420"/>
      </w:pPr>
      <w:r>
        <w:rPr>
          <w:rFonts w:ascii="SimSun" w:hAnsi="SimSun" w:eastAsia="SimSun"/>
          <w:sz w:val="21"/>
        </w:rPr>
        <w:t>由于理论部分的教学内容已在网络课程中安排了单元测验和综合测验，因此期末考试主要考核实验部分的教学内容。本课程期末考试采用万维考试系统进行上机考试，考生登录考试系统后，系统自动为各考生分配试卷，每份试卷的题型和分值组成如下：</w:t>
      </w:r>
    </w:p>
    <w:p>
      <w:pPr>
        <w:ind w:left="840"/>
      </w:pPr>
      <w:r>
        <w:rPr>
          <w:rFonts w:ascii="SimSun" w:hAnsi="SimSun" w:eastAsia="SimSun"/>
          <w:sz w:val="21"/>
        </w:rPr>
        <w:t>1) Windows/网络设置操作题15分。</w:t>
        <w:br/>
        <w:t>2) MS Office Word操作题30分。</w:t>
        <w:br/>
        <w:t>3) MS Office Excel操作题35分。</w:t>
        <w:br/>
        <w:t>4) MS Office PPT操作题20分。</w:t>
      </w:r>
    </w:p>
    <w:p>
      <w:pPr>
        <w:ind w:left="420"/>
      </w:pPr>
      <w:r>
        <w:rPr>
          <w:rFonts w:ascii="SimSun" w:hAnsi="SimSun" w:eastAsia="SimSun"/>
          <w:sz w:val="21"/>
        </w:rPr>
        <w:t>从试题内容来看，试卷基本能覆盖教学大纲中的实践操作内容，能较好地考察学生的掌握情况，也能较真实地反映学生的计算机应用水平。</w:t>
        <w:br/>
        <w:t>test班的期末考试成绩情况见表4。</w:t>
      </w:r>
    </w:p>
    <w:p>
      <w:pPr>
        <w:ind w:firstLine="420"/>
      </w:pPr>
      <w:r>
        <w:rPr>
          <w:rFonts w:ascii="SimSun" w:hAnsi="SimSun"/>
          <w:b/>
          <w:sz w:val="18"/>
        </w:rPr>
        <w:t>表4  期末考试成绩情况表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44</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98.9</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51.7</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78.17</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14</w:t>
            </w:r>
          </w:p>
        </w:tc>
        <w:tc>
          <w:tcPr>
            <w:tcW w:type="dxa" w:w="864"/>
          </w:tcPr>
          <w:p>
            <w:pPr>
              <w:jc w:val="center"/>
            </w:pPr>
            <w:r>
              <w:rPr>
                <w:rFonts w:ascii="SimSun" w:hAnsi="SimSun" w:eastAsia="SimSun"/>
                <w:sz w:val="21"/>
              </w:rPr>
              <w:t>7</w:t>
            </w:r>
          </w:p>
        </w:tc>
        <w:tc>
          <w:tcPr>
            <w:tcW w:type="dxa" w:w="864"/>
          </w:tcPr>
          <w:p>
            <w:pPr>
              <w:jc w:val="center"/>
            </w:pPr>
            <w:r>
              <w:rPr>
                <w:rFonts w:ascii="SimSun" w:hAnsi="SimSun" w:eastAsia="SimSun"/>
                <w:sz w:val="21"/>
              </w:rPr>
              <w:t>10</w:t>
            </w:r>
          </w:p>
        </w:tc>
        <w:tc>
          <w:tcPr>
            <w:tcW w:type="dxa" w:w="1440"/>
          </w:tcPr>
          <w:p>
            <w:pPr>
              <w:jc w:val="center"/>
            </w:pPr>
            <w:r>
              <w:rPr>
                <w:rFonts w:ascii="SimSun" w:hAnsi="SimSun" w:eastAsia="SimSun"/>
                <w:sz w:val="21"/>
              </w:rPr>
              <w:t>11</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4.55%</w:t>
            </w:r>
          </w:p>
        </w:tc>
        <w:tc>
          <w:tcPr>
            <w:tcW w:type="dxa" w:w="864"/>
          </w:tcPr>
          <w:p>
            <w:pPr>
              <w:jc w:val="center"/>
            </w:pPr>
            <w:r>
              <w:rPr>
                <w:rFonts w:ascii="SimSun" w:hAnsi="SimSun" w:eastAsia="SimSun"/>
                <w:sz w:val="21"/>
              </w:rPr>
              <w:t>31.82%</w:t>
            </w:r>
          </w:p>
        </w:tc>
        <w:tc>
          <w:tcPr>
            <w:tcW w:type="dxa" w:w="864"/>
          </w:tcPr>
          <w:p>
            <w:pPr>
              <w:jc w:val="center"/>
            </w:pPr>
            <w:r>
              <w:rPr>
                <w:rFonts w:ascii="SimSun" w:hAnsi="SimSun" w:eastAsia="SimSun"/>
                <w:sz w:val="21"/>
              </w:rPr>
              <w:t>15.91%</w:t>
            </w:r>
          </w:p>
        </w:tc>
        <w:tc>
          <w:tcPr>
            <w:tcW w:type="dxa" w:w="864"/>
          </w:tcPr>
          <w:p>
            <w:pPr>
              <w:jc w:val="center"/>
            </w:pPr>
            <w:r>
              <w:rPr>
                <w:rFonts w:ascii="SimSun" w:hAnsi="SimSun" w:eastAsia="SimSun"/>
                <w:sz w:val="21"/>
              </w:rPr>
              <w:t>22.73%</w:t>
            </w:r>
          </w:p>
        </w:tc>
        <w:tc>
          <w:tcPr>
            <w:tcW w:type="dxa" w:w="1440"/>
          </w:tcPr>
          <w:p>
            <w:pPr>
              <w:jc w:val="center"/>
            </w:pPr>
            <w:r>
              <w:rPr>
                <w:rFonts w:ascii="SimSun" w:hAnsi="SimSun" w:eastAsia="SimSun"/>
                <w:sz w:val="21"/>
              </w:rPr>
              <w:t>25.00%</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23cjddy_bj_期末成绩分布.png"/>
                          <pic:cNvPicPr/>
                        </pic:nvPicPr>
                        <pic:blipFill>
                          <a:blip r:embed="rId12"/>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课程共有44名学生参与，总成绩范围从51.7到98.9分，平均分78.17分。根据成绩分布来看，大部分学生表现良好，成绩集中在70分以上。具体而言，成绩在70-80分的学生有7人，占总人数的约15.91%；成绩在80-90分的学生有10人，占比约22.73%；而成绩在90-100分的学生则有11人，占比约25.00%。这意味着，超过半数的学生达到了较高的学术水平。</w:t>
        <w:br/>
        <w:br/>
        <w:t>成绩相对较低的区间是50-60分，仅有2人，占比4.55%，以及60-70分，有14人，占比31.82%。这表明，虽然有一小部分学生需要进一步的努力以达到更高的成绩，但大多数学生已经掌握了课程的核心知识，并能够在考试中很好地应用这些知识。</w:t>
        <w:br/>
        <w:br/>
        <w:t>总体来看，学生们的整体表现令人满意，显示出学生们对课程内容的理解和掌握较为扎实。值得注意的是，尽管存在少数成绩较低的情况，但并没有出现极低分段的学生，这反映出教学过程中的有效性，同时也说明了学生们的努力程度。未来可以考虑增加一些针对中等成绩学生的辅导和支持措施，帮助他们进一步提升成绩，缩小成绩差距，确保所有学生都能从中受益，共同进步。</w:t>
      </w:r>
    </w:p>
    <w:p>
      <w:pPr>
        <w:jc w:val="left"/>
      </w:pPr>
      <w:r>
        <w:rPr>
          <w:rFonts w:ascii="SimSun" w:hAnsi="SimSun"/>
          <w:b/>
          <w:sz w:val="21"/>
        </w:rPr>
        <w:t>4、课程总评成绩情况</w:t>
      </w:r>
    </w:p>
    <w:p>
      <w:pPr>
        <w:ind w:firstLine="420"/>
      </w:pPr>
      <w:r>
        <w:rPr>
          <w:rFonts w:ascii="SimSun" w:hAnsi="SimSun" w:eastAsia="SimSun"/>
          <w:sz w:val="21"/>
        </w:rPr>
        <w:t>test班的课程总评成绩情况见表5。</w:t>
      </w:r>
    </w:p>
    <w:p>
      <w:pPr>
        <w:ind w:firstLine="420"/>
      </w:pPr>
      <w:r>
        <w:rPr>
          <w:rFonts w:ascii="SimSun" w:hAnsi="SimSun"/>
          <w:b/>
          <w:sz w:val="18"/>
        </w:rPr>
        <w:t>表5  课程总评成绩情况表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44</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99</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62</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81.02</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20</w:t>
            </w:r>
          </w:p>
        </w:tc>
        <w:tc>
          <w:tcPr>
            <w:tcW w:type="dxa" w:w="864"/>
          </w:tcPr>
          <w:p>
            <w:pPr>
              <w:jc w:val="center"/>
            </w:pPr>
            <w:r>
              <w:rPr>
                <w:rFonts w:ascii="SimSun" w:hAnsi="SimSun" w:eastAsia="SimSun"/>
                <w:sz w:val="21"/>
              </w:rPr>
              <w:t>11</w:t>
            </w:r>
          </w:p>
        </w:tc>
        <w:tc>
          <w:tcPr>
            <w:tcW w:type="dxa" w:w="1440"/>
          </w:tcPr>
          <w:p>
            <w:pPr>
              <w:jc w:val="center"/>
            </w:pPr>
            <w:r>
              <w:rPr>
                <w:rFonts w:ascii="SimSun" w:hAnsi="SimSun" w:eastAsia="SimSun"/>
                <w:sz w:val="21"/>
              </w:rPr>
              <w:t>10</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6.82%</w:t>
            </w:r>
          </w:p>
        </w:tc>
        <w:tc>
          <w:tcPr>
            <w:tcW w:type="dxa" w:w="864"/>
          </w:tcPr>
          <w:p>
            <w:pPr>
              <w:jc w:val="center"/>
            </w:pPr>
            <w:r>
              <w:rPr>
                <w:rFonts w:ascii="SimSun" w:hAnsi="SimSun" w:eastAsia="SimSun"/>
                <w:sz w:val="21"/>
              </w:rPr>
              <w:t>45.45%</w:t>
            </w:r>
          </w:p>
        </w:tc>
        <w:tc>
          <w:tcPr>
            <w:tcW w:type="dxa" w:w="864"/>
          </w:tcPr>
          <w:p>
            <w:pPr>
              <w:jc w:val="center"/>
            </w:pPr>
            <w:r>
              <w:rPr>
                <w:rFonts w:ascii="SimSun" w:hAnsi="SimSun" w:eastAsia="SimSun"/>
                <w:sz w:val="21"/>
              </w:rPr>
              <w:t>25.00%</w:t>
            </w:r>
          </w:p>
        </w:tc>
        <w:tc>
          <w:tcPr>
            <w:tcW w:type="dxa" w:w="1440"/>
          </w:tcPr>
          <w:p>
            <w:pPr>
              <w:jc w:val="center"/>
            </w:pPr>
            <w:r>
              <w:rPr>
                <w:rFonts w:ascii="SimSun" w:hAnsi="SimSun" w:eastAsia="SimSun"/>
                <w:sz w:val="21"/>
              </w:rPr>
              <w:t>22.73%</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4" name="Picture 4"/>
                  <wp:cNvGraphicFramePr>
                    <a:graphicFrameLocks noChangeAspect="1"/>
                  </wp:cNvGraphicFramePr>
                  <a:graphic>
                    <a:graphicData uri="http://schemas.openxmlformats.org/drawingml/2006/picture">
                      <pic:pic>
                        <pic:nvPicPr>
                          <pic:cNvPr id="0" name="23cjddy_bj_总评成绩分布.png"/>
                          <pic:cNvPicPr/>
                        </pic:nvPicPr>
                        <pic:blipFill>
                          <a:blip r:embed="rId13"/>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本次课程共有44名学生参与，从成绩数据来看，整体表现良好。最高分达到99分，最低分是62分，平均分为81.02分，显示出较高的学习成效。</w:t>
        <w:br/>
        <w:br/>
        <w:t>从成绩分布来看，大部分学生处于中高水平。具体而言，60-70分段的学生占比最少，仅为6.82%，仅有3人；70-80分段的学生占了较大比例，达到45.45%，共20人，表明大多数学生掌握了课程核心知识；80-90分段的学生占比25%，有11人，显示这部分学生对课程内容理解透彻，并能灵活运用；而90-100分段的学生也达到了22.73%，共10人，表明有一部分学生不仅掌握了知识，还能在考试中表现出色。</w:t>
        <w:br/>
        <w:br/>
        <w:t>整体而言，该课程的教学目标达成度较高，多数学生能够较好地掌握所学内容。这也反映了教学方法的有效性和学生的学习态度积极。未来可以考虑适度增加挑战性题目或项目，以进一步激发高分段学生的学习潜力，同时也要关注低分段学生的学习情况，提供必要的辅导和支持，确保每位学生都能获得成长和进步。</w:t>
      </w:r>
    </w:p>
    <w:p>
      <w:pPr>
        <w:jc w:val="left"/>
      </w:pPr>
      <w:r>
        <w:rPr>
          <w:rFonts w:ascii="SimSun" w:hAnsi="SimSun"/>
          <w:b/>
          <w:sz w:val="21"/>
        </w:rPr>
        <w:t>三、学习成效分析</w:t>
      </w:r>
    </w:p>
    <w:p>
      <w:pPr>
        <w:ind w:left="420"/>
      </w:pPr>
      <w:r>
        <w:rPr>
          <w:rFonts w:ascii="SimSun" w:hAnsi="SimSun" w:eastAsia="SimSun"/>
          <w:sz w:val="21"/>
        </w:rPr>
        <w:t>从学生的学习过程情况及期末总评成绩来看，大部分学生均能完成本课程的学习任务，其计算机基础知识和计算机应用水平基本达到本课程的教学要求，本课程的教学目的基本实现。</w:t>
      </w:r>
    </w:p>
    <w:p>
      <w:pPr>
        <w:ind w:left="420"/>
      </w:pPr>
      <w:r>
        <w:rPr>
          <w:rFonts w:ascii="SimSun" w:hAnsi="SimSun" w:eastAsia="SimSun"/>
          <w:sz w:val="21"/>
        </w:rPr>
        <w:t>针对您提到的五个方面，我们可以这样进行概括性分析：</w:t>
        <w:br/>
        <w:br/>
        <w:t>1、学习本课程之前学生的课程基础掌握情况：通常而言，学生在开始一门新课程前，其基础知识的掌握程度会直接影响到他们对新知识的理解和吸收能力。如果大部分学生已经具备了一定的基础，那么在学习新课程时可能会更加得心应手，反之，则可能需要更多的时间来打牢基础。</w:t>
        <w:br/>
        <w:br/>
        <w:t>2、学习本课程时，学生的学习态度情况：学生在学习过程中的态度是非常关键的因素。积极主动的学生往往能够提出更多问题，展现出更高的学习热情和参与度。这种正面的学习态度有助于提高学习效率和质量，促进更深层次的理解与应用。</w:t>
        <w:br/>
        <w:br/>
        <w:t>3、课时安排对教学效果的影响：合理的课时安排能够确保学生有足够的时间消化吸收新知识，同时也有利于教师根据学生的反馈调整教学计划。过长或过短的课时都可能导致教学效果大打折扣，因此找到一个平衡点至关重要。</w:t>
        <w:br/>
        <w:br/>
        <w:t>4、教学方式对教学效果的影响：多样化的教学方法可以满足不同学生的学习偏好，提高学习兴趣和参与度。例如，结合理论讲解与实践操作的教学模式，不仅能让学生更好地理解抽象概念，还能增强实际操作技能。灵活运用案例分析、小组讨论等互动形式，能有效激发学生的思考能力和团队协作精神。</w:t>
        <w:br/>
        <w:br/>
        <w:t>5、教学内容对教学效果的影响：教学内容的实用性、新颖性和深度是影响教学效果的重要因素。内容贴近现实需求、具有前瞻性的课程更能吸引学生的注意力，激发他们的学习动力。同时，适度的难度挑战也能促使学生不断进步，实现自我超越。</w:t>
        <w:br/>
        <w:br/>
        <w:t>综上所述，上述各方面的优化与改进，对于提升整体教学质量和学生的学习体验具有重要意义。</w:t>
      </w:r>
    </w:p>
    <w:p>
      <w:pPr>
        <w:jc w:val="left"/>
      </w:pPr>
      <w:r>
        <w:rPr>
          <w:rFonts w:ascii="SimSun" w:hAnsi="SimSun"/>
          <w:b/>
          <w:sz w:val="21"/>
        </w:rPr>
        <w:t>四、改进措施及建议</w:t>
      </w:r>
    </w:p>
    <w:p>
      <w:pPr>
        <w:ind w:left="420"/>
      </w:pPr>
      <w:r>
        <w:rPr>
          <w:rFonts w:ascii="SimSun" w:hAnsi="SimSun" w:eastAsia="SimSun"/>
          <w:sz w:val="21"/>
        </w:rPr>
        <w:t>对于任何课程的改进，可以从以下几个方面进行思考和实施：</w:t>
        <w:br/>
        <w:br/>
        <w:t>1. 增强互动性：增加课堂讨论、小组合作和在线论坛等互动环节，以提高学生的参与度和兴趣。通过技术手段如直播、录播、VR/AR等，让学生能够更直观地理解复杂概念。</w:t>
        <w:br/>
        <w:br/>
        <w:t>2. 个性化学习路径：提供多样化的学习资源和路径选择，满足不同学生的学习需求和节奏。利用智能推荐系统，根据学生的学习进度和偏好推送相关内容。</w:t>
        <w:br/>
        <w:br/>
        <w:t>3. 强化实践与应用：加强理论知识与实际操作的结合，通过项目制学习（PBL）、实习实训等方式，让学生在实践中掌握技能，提高解决实际问题的能力。</w:t>
        <w:br/>
        <w:br/>
        <w:t>4. 提升教师能力：定期为教师提供培训和发展机会，包括教学方法、课程设计、技术应用等方面，确保教师能有效引导学生学习。</w:t>
        <w:br/>
        <w:br/>
        <w:t>5. 优化评估体系：建立多元化的评价机制，不仅关注考试成绩，还应考虑过程表现、团队协作、创新能力等多维度指标，全面反映学生的学习成果。</w:t>
        <w:br/>
        <w:br/>
        <w:t>6. 加强反馈循环：建立有效的反馈机制，鼓励学生对课程内容、教学方式等提出意见和建议，并及时调整改进。同时，教师也应向学生提供具体、建设性的反馈。</w:t>
        <w:br/>
        <w:br/>
        <w:t>7. 促进跨学科学习：打破学科界限，鼓励跨学科项目合作，培养学生的综合素养和创新思维。</w:t>
        <w:br/>
        <w:br/>
        <w:t>8. 增强国际化视野：引入国际教育资源，组织海外交流项目，拓宽学生国际视野，增强其在全球化背景下的竞争力。</w:t>
        <w:br/>
        <w:br/>
        <w:t>通过上述措施的实施，可以使课程更加吸引人、更具实效性和前瞻性，更好地适应未来教育的发展趋势。</w:t>
      </w:r>
    </w:p>
    <w:sectPr w:rsidR="00FC693F" w:rsidRPr="0006063C" w:rsidSect="00034616">
      <w:headerReference w:type="default" r:id="rId9"/>
      <w:pgSz w:w="12240" w:h="15840"/>
      <w:pgMar w:top="1247" w:right="1134" w:bottom="77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1260000" cy="285469"/>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260000" cy="28546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