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SimHei" w:hAnsi="SimHei" w:eastAsia="SimHei"/>
          <w:b/>
          <w:sz w:val="36"/>
        </w:rPr>
        <w:t>课程反思报告</w:t>
      </w:r>
    </w:p>
    <w:p>
      <w:pPr>
        <w:jc w:val="center"/>
      </w:pPr>
      <w:r>
        <w:rPr>
          <w:rFonts w:ascii="Times New Roman" w:hAnsi="Times New Roman"/>
          <w:sz w:val="21"/>
        </w:rPr>
        <w:t>(2023-2024学年第2学期)</w:t>
      </w:r>
    </w:p>
    <w:p>
      <w:pPr>
        <w:jc w:val="center"/>
      </w:pPr>
      <w:r>
        <w:rPr>
          <w:rFonts w:ascii="Times New Roman" w:hAnsi="Times New Roman"/>
          <w:sz w:val="21"/>
        </w:rPr>
        <w:t>(2023-2024学年第2学期)</w:t>
      </w:r>
    </w:p>
    <w:p>
      <w:pPr>
        <w:jc w:val="left"/>
      </w:pPr>
      <w:r>
        <w:rPr>
          <w:rFonts w:ascii="SimSun" w:hAnsi="SimSun"/>
          <w:b/>
          <w:sz w:val="21"/>
        </w:rPr>
        <w:t>一、教学基本信息</w:t>
      </w:r>
    </w:p>
    <w:p>
      <w:pPr>
        <w:ind w:firstLine="420"/>
      </w:pPr>
      <w:r>
        <w:rPr>
          <w:rFonts w:ascii="SimSun" w:hAnsi="SimSun" w:eastAsia="SimSun"/>
          <w:sz w:val="21"/>
        </w:rPr>
        <w:t>课程名称：大学信息技术</w:t>
      </w:r>
    </w:p>
    <w:p>
      <w:pPr>
        <w:ind w:firstLine="420"/>
      </w:pPr>
      <w:r>
        <w:rPr>
          <w:rFonts w:ascii="SimSun" w:hAnsi="SimSun" w:eastAsia="SimSun"/>
          <w:sz w:val="21"/>
        </w:rPr>
        <w:t>授课对象及合班情况：test123和tst，共计44人</w:t>
      </w:r>
    </w:p>
    <w:p>
      <w:pPr>
        <w:ind w:firstLine="420"/>
      </w:pPr>
      <w:r>
        <w:rPr>
          <w:rFonts w:ascii="SimSun" w:hAnsi="SimSun" w:eastAsia="SimSun"/>
          <w:sz w:val="21"/>
        </w:rPr>
        <w:t>任课教师：刘利钊</w:t>
      </w:r>
    </w:p>
    <w:p>
      <w:pPr>
        <w:ind w:firstLine="420"/>
      </w:pPr>
      <w:r>
        <w:rPr>
          <w:rFonts w:ascii="SimSun" w:hAnsi="SimSun" w:eastAsia="SimSun"/>
          <w:sz w:val="21"/>
        </w:rPr>
        <w:t>实际授课课时：24学时</w:t>
      </w:r>
    </w:p>
    <w:p>
      <w:pPr>
        <w:jc w:val="left"/>
      </w:pPr>
      <w:r>
        <w:rPr>
          <w:rFonts w:ascii="SimSun" w:hAnsi="SimSun"/>
          <w:b/>
          <w:sz w:val="21"/>
        </w:rPr>
        <w:t>二、考核及学习成绩情况</w:t>
      </w:r>
    </w:p>
    <w:p>
      <w:pPr>
        <w:ind w:firstLine="420"/>
      </w:pPr>
      <w:r>
        <w:rPr>
          <w:rFonts w:ascii="SimSun" w:hAnsi="SimSun" w:eastAsia="SimSun"/>
          <w:sz w:val="21"/>
        </w:rPr>
        <w:t>本学期的《大学信息技术》课程采用SPOC教学模式，理论课选用国家精品线上课程（福建农林大学陈琼老师的《大学信息技术基础》）为蓝本，要求学生通过网课平台进行自学，实验课则安排在实验室进行线下授课。</w:t>
      </w:r>
    </w:p>
    <w:p>
      <w:pPr>
        <w:ind w:firstLine="420"/>
      </w:pPr>
      <w:r>
        <w:rPr>
          <w:rFonts w:ascii="SimSun" w:hAnsi="SimSun" w:eastAsia="SimSun"/>
          <w:sz w:val="21"/>
        </w:rPr>
        <w:t>课程的总评成绩计算方式如下：</w:t>
      </w:r>
    </w:p>
    <w:p>
      <w:pPr>
        <w:ind w:firstLine="420"/>
      </w:pPr>
      <w:r>
        <w:rPr>
          <w:rFonts w:ascii="SimSun" w:hAnsi="SimSun" w:eastAsia="SimSun"/>
          <w:sz w:val="21"/>
        </w:rPr>
        <w:t>总评成绩=期末考试成绩×60%+实验成绩×20%+网络学习成绩×20%</w:t>
      </w:r>
    </w:p>
    <w:p>
      <w:pPr>
        <w:ind w:firstLine="420"/>
      </w:pPr>
      <w:r>
        <w:rPr>
          <w:rFonts w:ascii="SimSun" w:hAnsi="SimSun" w:eastAsia="SimSun"/>
          <w:sz w:val="21"/>
        </w:rPr>
        <w:t>特别要求：当期末考试成绩≥50分时，可直接按上述公式计算总评成绩；当期末考试成绩＜50分时，则在上述公式结果和期末考试成绩之间选择最低值作为总评成绩。</w:t>
      </w:r>
    </w:p>
    <w:p>
      <w:pPr>
        <w:jc w:val="left"/>
      </w:pPr>
      <w:r>
        <w:rPr>
          <w:rFonts w:ascii="SimSun" w:hAnsi="SimSun"/>
          <w:b/>
          <w:sz w:val="21"/>
        </w:rPr>
        <w:t>1、网络学习部分成绩的计算</w:t>
      </w:r>
    </w:p>
    <w:p>
      <w:pPr>
        <w:ind w:firstLine="420"/>
      </w:pPr>
      <w:r>
        <w:rPr>
          <w:rFonts w:ascii="SimSun" w:hAnsi="SimSun" w:eastAsia="SimSun"/>
          <w:sz w:val="21"/>
        </w:rPr>
        <w:t>本学期网络学习成绩的评分细则如表1所示：</w:t>
      </w:r>
    </w:p>
    <w:p>
      <w:pPr>
        <w:ind w:firstLine="420"/>
      </w:pPr>
      <w:r>
        <w:rPr>
          <w:rFonts w:ascii="SimSun" w:hAnsi="SimSun"/>
          <w:b/>
          <w:sz w:val="18"/>
        </w:rPr>
        <w:t>表1  网络学习成绩评分细则表</w:t>
      </w:r>
    </w:p>
    <w:tbl>
      <w:tblPr>
        <w:tblStyle w:val="TableGrid"/>
        <w:tblW w:type="auto" w:w="0"/>
        <w:tblLayout w:type="fixed"/>
        <w:tblLook w:firstColumn="1" w:firstRow="1" w:lastColumn="0" w:lastRow="0" w:noHBand="0" w:noVBand="1" w:val="04A0"/>
      </w:tblPr>
      <w:tblGrid>
        <w:gridCol w:w="3324"/>
        <w:gridCol w:w="3324"/>
        <w:gridCol w:w="3324"/>
      </w:tblGrid>
      <w:tr>
        <w:tc>
          <w:tcPr>
            <w:tcW w:type="dxa" w:w="2160"/>
          </w:tcPr>
          <w:p>
            <w:pPr>
              <w:jc w:val="center"/>
            </w:pPr>
            <w:r>
              <w:rPr>
                <w:rFonts w:ascii="SimSun" w:hAnsi="SimSun"/>
                <w:sz w:val="18"/>
              </w:rPr>
              <w:t>评分内容</w:t>
            </w:r>
          </w:p>
        </w:tc>
        <w:tc>
          <w:tcPr>
            <w:tcW w:type="dxa" w:w="2160"/>
          </w:tcPr>
          <w:p>
            <w:pPr>
              <w:jc w:val="center"/>
            </w:pPr>
            <w:r>
              <w:rPr>
                <w:rFonts w:ascii="SimSun" w:hAnsi="SimSun"/>
                <w:sz w:val="18"/>
              </w:rPr>
              <w:t>权重</w:t>
            </w:r>
          </w:p>
        </w:tc>
        <w:tc>
          <w:tcPr>
            <w:tcW w:type="dxa" w:w="4320"/>
          </w:tcPr>
          <w:p>
            <w:pPr>
              <w:jc w:val="center"/>
            </w:pPr>
            <w:r>
              <w:rPr>
                <w:rFonts w:ascii="SimSun" w:hAnsi="SimSun"/>
                <w:sz w:val="18"/>
              </w:rPr>
              <w:t>说明</w:t>
            </w:r>
          </w:p>
        </w:tc>
      </w:tr>
      <w:tr>
        <w:tc>
          <w:tcPr>
            <w:tcW w:type="dxa" w:w="2160"/>
          </w:tcPr>
          <w:p>
            <w:pPr>
              <w:jc w:val="center"/>
            </w:pPr>
            <w:r>
              <w:rPr>
                <w:rFonts w:ascii="SimSun" w:hAnsi="SimSun"/>
                <w:sz w:val="18"/>
              </w:rPr>
              <w:t>单元测验</w:t>
            </w:r>
          </w:p>
        </w:tc>
        <w:tc>
          <w:tcPr>
            <w:tcW w:type="dxa" w:w="2160"/>
          </w:tcPr>
          <w:p>
            <w:pPr>
              <w:jc w:val="center"/>
            </w:pPr>
            <w:r>
              <w:rPr>
                <w:rFonts w:ascii="SimSun" w:hAnsi="SimSun"/>
                <w:sz w:val="18"/>
              </w:rPr>
              <w:t>60%</w:t>
            </w:r>
          </w:p>
        </w:tc>
        <w:tc>
          <w:tcPr>
            <w:tcW w:type="dxa" w:w="4320"/>
          </w:tcPr>
          <w:p>
            <w:pPr>
              <w:jc w:val="center"/>
            </w:pPr>
            <w:r>
              <w:rPr>
                <w:rFonts w:ascii="SimSun" w:hAnsi="SimSun"/>
                <w:sz w:val="18"/>
              </w:rPr>
              <w:t>每次测验有3次机会（随机抽题），取最高分</w:t>
            </w:r>
          </w:p>
        </w:tc>
      </w:tr>
      <w:tr>
        <w:tc>
          <w:tcPr>
            <w:tcW w:type="dxa" w:w="2160"/>
          </w:tcPr>
          <w:p>
            <w:pPr>
              <w:jc w:val="center"/>
            </w:pPr>
            <w:r>
              <w:rPr>
                <w:rFonts w:ascii="SimSun" w:hAnsi="SimSun"/>
                <w:sz w:val="18"/>
              </w:rPr>
              <w:t>综合测验</w:t>
            </w:r>
          </w:p>
        </w:tc>
        <w:tc>
          <w:tcPr>
            <w:tcW w:type="dxa" w:w="2160"/>
          </w:tcPr>
          <w:p>
            <w:pPr>
              <w:jc w:val="center"/>
            </w:pPr>
            <w:r>
              <w:rPr>
                <w:rFonts w:ascii="SimSun" w:hAnsi="SimSun"/>
                <w:sz w:val="18"/>
              </w:rPr>
              <w:t>30%</w:t>
            </w:r>
          </w:p>
        </w:tc>
        <w:tc>
          <w:tcPr>
            <w:tcW w:type="dxa" w:w="4320"/>
          </w:tcPr>
          <w:p>
            <w:pPr>
              <w:jc w:val="center"/>
            </w:pPr>
            <w:r>
              <w:rPr>
                <w:rFonts w:ascii="SimSun" w:hAnsi="SimSun"/>
                <w:sz w:val="18"/>
              </w:rPr>
              <w:t>只有1次机会（随机抽题）</w:t>
            </w:r>
          </w:p>
        </w:tc>
      </w:tr>
      <w:tr>
        <w:tc>
          <w:tcPr>
            <w:tcW w:type="dxa" w:w="2160"/>
          </w:tcPr>
          <w:p>
            <w:pPr>
              <w:jc w:val="center"/>
            </w:pPr>
            <w:r>
              <w:rPr>
                <w:rFonts w:ascii="SimSun" w:hAnsi="SimSun"/>
                <w:sz w:val="18"/>
              </w:rPr>
              <w:t>讨论</w:t>
            </w:r>
          </w:p>
        </w:tc>
        <w:tc>
          <w:tcPr>
            <w:tcW w:type="dxa" w:w="2160"/>
          </w:tcPr>
          <w:p>
            <w:pPr>
              <w:jc w:val="center"/>
            </w:pPr>
            <w:r>
              <w:rPr>
                <w:rFonts w:ascii="SimSun" w:hAnsi="SimSun"/>
                <w:sz w:val="18"/>
              </w:rPr>
              <w:t>10%</w:t>
            </w:r>
          </w:p>
        </w:tc>
        <w:tc>
          <w:tcPr>
            <w:tcW w:type="dxa" w:w="4320"/>
          </w:tcPr>
          <w:p>
            <w:pPr>
              <w:jc w:val="center"/>
            </w:pPr>
            <w:r>
              <w:rPr>
                <w:rFonts w:ascii="SimSun" w:hAnsi="SimSun"/>
                <w:sz w:val="18"/>
              </w:rPr>
              <w:t>10次得满分，限课堂交流区，其它地方的讨论不计入成绩</w:t>
            </w:r>
          </w:p>
        </w:tc>
      </w:tr>
    </w:tbl>
    <w:p>
      <w:pPr>
        <w:ind w:firstLine="420"/>
      </w:pPr>
      <w:r>
        <w:rPr>
          <w:rFonts w:ascii="SimSun" w:hAnsi="SimSun" w:eastAsia="SimSun"/>
          <w:sz w:val="21"/>
        </w:rPr>
        <w:t>test123和tst班的网络学习部分的成绩情况见表2。</w:t>
      </w:r>
    </w:p>
    <w:p>
      <w:pPr>
        <w:ind w:firstLine="420"/>
      </w:pPr>
      <w:r>
        <w:rPr>
          <w:rFonts w:ascii="SimSun" w:hAnsi="SimSun"/>
          <w:b/>
          <w:sz w:val="18"/>
        </w:rPr>
        <w:t>表2  网络学习部分成绩情况表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44</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100.0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14.8</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77.76</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1</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19</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4</w:t>
            </w:r>
          </w:p>
        </w:tc>
        <w:tc>
          <w:tcPr>
            <w:tcW w:type="dxa" w:w="1440"/>
          </w:tcPr>
          <w:p>
            <w:pPr>
              <w:jc w:val="center"/>
            </w:pPr>
            <w:r>
              <w:rPr>
                <w:rFonts w:ascii="SimSun" w:hAnsi="SimSun" w:eastAsia="SimSun"/>
                <w:sz w:val="21"/>
              </w:rPr>
              <w:t>17</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2.27%</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2.27%</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2.27%</w:t>
            </w:r>
          </w:p>
        </w:tc>
        <w:tc>
          <w:tcPr>
            <w:tcW w:type="dxa" w:w="864"/>
          </w:tcPr>
          <w:p>
            <w:pPr>
              <w:jc w:val="center"/>
            </w:pPr>
            <w:r>
              <w:rPr>
                <w:rFonts w:ascii="SimSun" w:hAnsi="SimSun" w:eastAsia="SimSun"/>
                <w:sz w:val="21"/>
              </w:rPr>
              <w:t>43.18%</w:t>
            </w:r>
          </w:p>
        </w:tc>
        <w:tc>
          <w:tcPr>
            <w:tcW w:type="dxa" w:w="864"/>
          </w:tcPr>
          <w:p>
            <w:pPr>
              <w:jc w:val="center"/>
            </w:pPr>
            <w:r>
              <w:rPr>
                <w:rFonts w:ascii="SimSun" w:hAnsi="SimSun" w:eastAsia="SimSun"/>
                <w:sz w:val="21"/>
              </w:rPr>
              <w:t>2.27%</w:t>
            </w:r>
          </w:p>
        </w:tc>
        <w:tc>
          <w:tcPr>
            <w:tcW w:type="dxa" w:w="864"/>
          </w:tcPr>
          <w:p>
            <w:pPr>
              <w:jc w:val="center"/>
            </w:pPr>
            <w:r>
              <w:rPr>
                <w:rFonts w:ascii="SimSun" w:hAnsi="SimSun" w:eastAsia="SimSun"/>
                <w:sz w:val="21"/>
              </w:rPr>
              <w:t>9.09%</w:t>
            </w:r>
          </w:p>
        </w:tc>
        <w:tc>
          <w:tcPr>
            <w:tcW w:type="dxa" w:w="1440"/>
          </w:tcPr>
          <w:p>
            <w:pPr>
              <w:jc w:val="center"/>
            </w:pPr>
            <w:r>
              <w:rPr>
                <w:rFonts w:ascii="SimSun" w:hAnsi="SimSun" w:eastAsia="SimSun"/>
                <w:sz w:val="21"/>
              </w:rPr>
              <w:t>38.64%</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23cjddy_bj_平时成绩分布.png"/>
                          <pic:cNvPicPr/>
                        </pic:nvPicPr>
                        <pic:blipFill>
                          <a:blip r:embed="rId10"/>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本课程共有44名学生参与。总体而言，该课程的成绩分布呈现正偏态分布，大多数学生取得了较为理想的成绩。具体而言，最高分为100.0，最低分为14.8，平均分达到77.76。</w:t>
        <w:br/>
        <w:br/>
        <w:t>在成绩分布方面，值得注意的是，有38.64%的学生获得了90至100分之间的高分，另有43.18%的学生获得了60至70分的及格分数。相反，仅有个别学生（占比2.27%）处于较低的分数区间（10-20分和30-40分），而没有学生得分低于10分或处于20-30分、40-50分、50-60分、70-80分、80-90分区间。</w:t>
        <w:br/>
        <w:br/>
        <w:t>这些数据表明，大部分学生对课程内容掌握较好，能够较好地完成相关任务。然而，也有少数学生需要额外的支持和指导以提高其学习成绩。基于此，建议在未来的教学过程中，继续加强对于全体学生的辅导，尤其是对成绩相对较低的学生提供更多的支持与帮助，确保每位学生都能充分理解并掌握课程的核心知识。</w:t>
      </w:r>
    </w:p>
    <w:p>
      <w:pPr>
        <w:jc w:val="left"/>
      </w:pPr>
      <w:r>
        <w:rPr>
          <w:rFonts w:ascii="SimSun" w:hAnsi="SimSun"/>
          <w:b/>
          <w:sz w:val="21"/>
        </w:rPr>
        <w:t>2、实验成绩的计算</w:t>
      </w:r>
    </w:p>
    <w:p>
      <w:pPr>
        <w:ind w:left="420"/>
      </w:pPr>
      <w:r>
        <w:rPr>
          <w:rFonts w:ascii="SimSun" w:hAnsi="SimSun" w:eastAsia="SimSun"/>
          <w:sz w:val="21"/>
        </w:rPr>
        <w:t>本学期共进行了XX次实验，全部在万维考试系统上完成，由系统自动评分。</w:t>
        <w:br/>
        <w:t>test123和tst班的实验成绩情况见表3。</w:t>
      </w:r>
    </w:p>
    <w:p>
      <w:pPr>
        <w:ind w:firstLine="420"/>
      </w:pPr>
      <w:r>
        <w:rPr>
          <w:rFonts w:ascii="SimSun" w:hAnsi="SimSun"/>
          <w:b/>
          <w:sz w:val="18"/>
        </w:rPr>
        <w:t>表3  实验部分成绩情况表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44</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100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84</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92.70</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15</w:t>
            </w:r>
          </w:p>
        </w:tc>
        <w:tc>
          <w:tcPr>
            <w:tcW w:type="dxa" w:w="1440"/>
          </w:tcPr>
          <w:p>
            <w:pPr>
              <w:jc w:val="center"/>
            </w:pPr>
            <w:r>
              <w:rPr>
                <w:rFonts w:ascii="SimSun" w:hAnsi="SimSun" w:eastAsia="SimSun"/>
                <w:sz w:val="21"/>
              </w:rPr>
              <w:t>29</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34.09%</w:t>
            </w:r>
          </w:p>
        </w:tc>
        <w:tc>
          <w:tcPr>
            <w:tcW w:type="dxa" w:w="1440"/>
          </w:tcPr>
          <w:p>
            <w:pPr>
              <w:jc w:val="center"/>
            </w:pPr>
            <w:r>
              <w:rPr>
                <w:rFonts w:ascii="SimSun" w:hAnsi="SimSun" w:eastAsia="SimSun"/>
                <w:sz w:val="21"/>
              </w:rPr>
              <w:t>65.91%</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23cjddy_bj_实验成绩分布.png"/>
                          <pic:cNvPicPr/>
                        </pic:nvPicPr>
                        <pic:blipFill>
                          <a:blip r:embed="rId11"/>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本课程学生实验成绩总结</w:t>
        <w:br/>
        <w:br/>
        <w:t>本次课程学生参与人数共计44人。成绩方面，最高分达100分，最低分为84分，平均分为92.70分。根据成绩分布情况，可以看出大部分学生表现优异，具体而言，80-90分区间内有15名学生，占总人数34.09%；90-100分区间内则有29名学生，占比高达65.91%。</w:t>
        <w:br/>
        <w:br/>
        <w:t>整体来看，本课程学生在实验环节表现出色，成绩优异。这反映出学生对课程内容掌握良好，并能有效应用所学知识完成实验任务。考虑到成绩分布集中在高分段，表明课程设计与教学方法较为成功，能够激发学生的学习兴趣与潜能，促进其学术能力的提升。未来可考虑进一步优化实验设计，引入更具挑战性的项目，以持续提高教学质量与学生综合能力。</w:t>
      </w:r>
    </w:p>
    <w:p>
      <w:pPr>
        <w:jc w:val="left"/>
      </w:pPr>
      <w:r>
        <w:rPr>
          <w:rFonts w:ascii="SimSun" w:hAnsi="SimSun"/>
          <w:b/>
          <w:sz w:val="21"/>
        </w:rPr>
        <w:t>3、期末考试成绩的计算</w:t>
      </w:r>
    </w:p>
    <w:p>
      <w:pPr>
        <w:ind w:firstLine="420"/>
      </w:pPr>
      <w:r>
        <w:rPr>
          <w:rFonts w:ascii="SimSun" w:hAnsi="SimSun" w:eastAsia="SimSun"/>
          <w:sz w:val="21"/>
        </w:rPr>
        <w:t>由于理论部分的教学内容已在网络课程中安排了单元测验和综合测验，因此期末考试主要考核实验部分的教学内容。本课程期末考试采用万维考试系统进行上机考试，考生登录考试系统后，系统自动为各考生分配试卷，每份试卷的题型和分值组成如下：</w:t>
      </w:r>
    </w:p>
    <w:p>
      <w:pPr>
        <w:ind w:left="840"/>
      </w:pPr>
      <w:r>
        <w:rPr>
          <w:rFonts w:ascii="SimSun" w:hAnsi="SimSun" w:eastAsia="SimSun"/>
          <w:sz w:val="21"/>
        </w:rPr>
        <w:t>1) Windows/网络设置操作题15分。</w:t>
        <w:br/>
        <w:t>2) MS Office Word操作题30分。</w:t>
        <w:br/>
        <w:t>3) MS Office Excel操作题35分。</w:t>
        <w:br/>
        <w:t>4) MS Office PPT操作题20分。</w:t>
      </w:r>
    </w:p>
    <w:p>
      <w:pPr>
        <w:ind w:left="420"/>
      </w:pPr>
      <w:r>
        <w:rPr>
          <w:rFonts w:ascii="SimSun" w:hAnsi="SimSun" w:eastAsia="SimSun"/>
          <w:sz w:val="21"/>
        </w:rPr>
        <w:t>从试题内容来看，试卷基本能覆盖教学大纲中的实践操作内容，能较好地考察学生的掌握情况，也能较真实地反映学生的计算机应用水平。</w:t>
        <w:br/>
        <w:t>test123和tst班的期末考试成绩情况见表4。</w:t>
      </w:r>
    </w:p>
    <w:p>
      <w:pPr>
        <w:ind w:firstLine="420"/>
      </w:pPr>
      <w:r>
        <w:rPr>
          <w:rFonts w:ascii="SimSun" w:hAnsi="SimSun"/>
          <w:b/>
          <w:sz w:val="18"/>
        </w:rPr>
        <w:t>表4  期末考试成绩情况表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44</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98.9</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51.7</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78.17</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14</w:t>
            </w:r>
          </w:p>
        </w:tc>
        <w:tc>
          <w:tcPr>
            <w:tcW w:type="dxa" w:w="864"/>
          </w:tcPr>
          <w:p>
            <w:pPr>
              <w:jc w:val="center"/>
            </w:pPr>
            <w:r>
              <w:rPr>
                <w:rFonts w:ascii="SimSun" w:hAnsi="SimSun" w:eastAsia="SimSun"/>
                <w:sz w:val="21"/>
              </w:rPr>
              <w:t>7</w:t>
            </w:r>
          </w:p>
        </w:tc>
        <w:tc>
          <w:tcPr>
            <w:tcW w:type="dxa" w:w="864"/>
          </w:tcPr>
          <w:p>
            <w:pPr>
              <w:jc w:val="center"/>
            </w:pPr>
            <w:r>
              <w:rPr>
                <w:rFonts w:ascii="SimSun" w:hAnsi="SimSun" w:eastAsia="SimSun"/>
                <w:sz w:val="21"/>
              </w:rPr>
              <w:t>10</w:t>
            </w:r>
          </w:p>
        </w:tc>
        <w:tc>
          <w:tcPr>
            <w:tcW w:type="dxa" w:w="1440"/>
          </w:tcPr>
          <w:p>
            <w:pPr>
              <w:jc w:val="center"/>
            </w:pPr>
            <w:r>
              <w:rPr>
                <w:rFonts w:ascii="SimSun" w:hAnsi="SimSun" w:eastAsia="SimSun"/>
                <w:sz w:val="21"/>
              </w:rPr>
              <w:t>11</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4.55%</w:t>
            </w:r>
          </w:p>
        </w:tc>
        <w:tc>
          <w:tcPr>
            <w:tcW w:type="dxa" w:w="864"/>
          </w:tcPr>
          <w:p>
            <w:pPr>
              <w:jc w:val="center"/>
            </w:pPr>
            <w:r>
              <w:rPr>
                <w:rFonts w:ascii="SimSun" w:hAnsi="SimSun" w:eastAsia="SimSun"/>
                <w:sz w:val="21"/>
              </w:rPr>
              <w:t>31.82%</w:t>
            </w:r>
          </w:p>
        </w:tc>
        <w:tc>
          <w:tcPr>
            <w:tcW w:type="dxa" w:w="864"/>
          </w:tcPr>
          <w:p>
            <w:pPr>
              <w:jc w:val="center"/>
            </w:pPr>
            <w:r>
              <w:rPr>
                <w:rFonts w:ascii="SimSun" w:hAnsi="SimSun" w:eastAsia="SimSun"/>
                <w:sz w:val="21"/>
              </w:rPr>
              <w:t>15.91%</w:t>
            </w:r>
          </w:p>
        </w:tc>
        <w:tc>
          <w:tcPr>
            <w:tcW w:type="dxa" w:w="864"/>
          </w:tcPr>
          <w:p>
            <w:pPr>
              <w:jc w:val="center"/>
            </w:pPr>
            <w:r>
              <w:rPr>
                <w:rFonts w:ascii="SimSun" w:hAnsi="SimSun" w:eastAsia="SimSun"/>
                <w:sz w:val="21"/>
              </w:rPr>
              <w:t>22.73%</w:t>
            </w:r>
          </w:p>
        </w:tc>
        <w:tc>
          <w:tcPr>
            <w:tcW w:type="dxa" w:w="1440"/>
          </w:tcPr>
          <w:p>
            <w:pPr>
              <w:jc w:val="center"/>
            </w:pPr>
            <w:r>
              <w:rPr>
                <w:rFonts w:ascii="SimSun" w:hAnsi="SimSun" w:eastAsia="SimSun"/>
                <w:sz w:val="21"/>
              </w:rPr>
              <w:t>25.00%</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3cjddy_bj_期末成绩分布.png"/>
                          <pic:cNvPicPr/>
                        </pic:nvPicPr>
                        <pic:blipFill>
                          <a:blip r:embed="rId12"/>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学期该课程共有44名学生参与，成绩分布显示整体表现良好。最高分达到98.9，最低分则为51.7，平均分78.17。从分数段分布来看，低分段（50-60分）的学生仅有两名，占比4.55%，而高分段（90-100分）的学生占总人数的25%，显示出多数学生对课程内容有较好的掌握。60-70分和80-90分两个区间的学生分别占比31.82%和22.73%，表明大部分学生能够较好地完成课程要求，同时也有一部分学生在学习过程中展现出较高的水平。</w:t>
        <w:br/>
        <w:br/>
        <w:t>总体而言，学生对于课程内容的理解与应用达到了预期目标，反映出教学计划的有效性和学生的学习积极性。未来可考虑通过增加挑战性任务或深化某些知识点来进一步提升学生的综合能力。</w:t>
      </w:r>
    </w:p>
    <w:p>
      <w:pPr>
        <w:jc w:val="left"/>
      </w:pPr>
      <w:r>
        <w:rPr>
          <w:rFonts w:ascii="SimSun" w:hAnsi="SimSun"/>
          <w:b/>
          <w:sz w:val="21"/>
        </w:rPr>
        <w:t>4、课程总评成绩情况</w:t>
      </w:r>
    </w:p>
    <w:p>
      <w:pPr>
        <w:ind w:firstLine="420"/>
      </w:pPr>
      <w:r>
        <w:rPr>
          <w:rFonts w:ascii="SimSun" w:hAnsi="SimSun" w:eastAsia="SimSun"/>
          <w:sz w:val="21"/>
        </w:rPr>
        <w:t>test123和tst班的课程总评成绩情况见表5。</w:t>
      </w:r>
    </w:p>
    <w:p>
      <w:pPr>
        <w:ind w:firstLine="420"/>
      </w:pPr>
      <w:r>
        <w:rPr>
          <w:rFonts w:ascii="SimSun" w:hAnsi="SimSun"/>
          <w:b/>
          <w:sz w:val="18"/>
        </w:rPr>
        <w:t>表5  课程总评成绩情况表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44</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99</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62</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81.02</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20</w:t>
            </w:r>
          </w:p>
        </w:tc>
        <w:tc>
          <w:tcPr>
            <w:tcW w:type="dxa" w:w="864"/>
          </w:tcPr>
          <w:p>
            <w:pPr>
              <w:jc w:val="center"/>
            </w:pPr>
            <w:r>
              <w:rPr>
                <w:rFonts w:ascii="SimSun" w:hAnsi="SimSun" w:eastAsia="SimSun"/>
                <w:sz w:val="21"/>
              </w:rPr>
              <w:t>11</w:t>
            </w:r>
          </w:p>
        </w:tc>
        <w:tc>
          <w:tcPr>
            <w:tcW w:type="dxa" w:w="1440"/>
          </w:tcPr>
          <w:p>
            <w:pPr>
              <w:jc w:val="center"/>
            </w:pPr>
            <w:r>
              <w:rPr>
                <w:rFonts w:ascii="SimSun" w:hAnsi="SimSun" w:eastAsia="SimSun"/>
                <w:sz w:val="21"/>
              </w:rPr>
              <w:t>10</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6.82%</w:t>
            </w:r>
          </w:p>
        </w:tc>
        <w:tc>
          <w:tcPr>
            <w:tcW w:type="dxa" w:w="864"/>
          </w:tcPr>
          <w:p>
            <w:pPr>
              <w:jc w:val="center"/>
            </w:pPr>
            <w:r>
              <w:rPr>
                <w:rFonts w:ascii="SimSun" w:hAnsi="SimSun" w:eastAsia="SimSun"/>
                <w:sz w:val="21"/>
              </w:rPr>
              <w:t>45.45%</w:t>
            </w:r>
          </w:p>
        </w:tc>
        <w:tc>
          <w:tcPr>
            <w:tcW w:type="dxa" w:w="864"/>
          </w:tcPr>
          <w:p>
            <w:pPr>
              <w:jc w:val="center"/>
            </w:pPr>
            <w:r>
              <w:rPr>
                <w:rFonts w:ascii="SimSun" w:hAnsi="SimSun" w:eastAsia="SimSun"/>
                <w:sz w:val="21"/>
              </w:rPr>
              <w:t>25.00%</w:t>
            </w:r>
          </w:p>
        </w:tc>
        <w:tc>
          <w:tcPr>
            <w:tcW w:type="dxa" w:w="1440"/>
          </w:tcPr>
          <w:p>
            <w:pPr>
              <w:jc w:val="center"/>
            </w:pPr>
            <w:r>
              <w:rPr>
                <w:rFonts w:ascii="SimSun" w:hAnsi="SimSun" w:eastAsia="SimSun"/>
                <w:sz w:val="21"/>
              </w:rPr>
              <w:t>22.73%</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23cjddy_bj_总评成绩分布.png"/>
                          <pic:cNvPicPr/>
                        </pic:nvPicPr>
                        <pic:blipFill>
                          <a:blip r:embed="rId13"/>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本课程学生总体成绩表现优异，符合预期教学目标。具体而言，本次参与课程的学生共计44人，最高分为99分，最低分为62分，平均分为81.02分。成绩分布显示，大多数学生在70至80分之间，占比45.45%，表明大部分学生掌握了课程核心内容，并能较好地应用所学知识。80至90分区间的学生占比25.00%，而90至100分区间的学生占比22.73%，显示出相当一部分学生对课程内容有深入理解和掌握，能够灵活运用并表现出色。</w:t>
        <w:br/>
        <w:br/>
        <w:t>值得注意的是，60至70分区间的学生仅占6.82%，这反映出该区间内学生数量较少，可能需要进一步关注这部分学生的学习状况，提供必要的辅导与支持，以帮助他们更好地理解课程内容，提升学习成绩。整体来看，本课程学生表现令人满意，体现了良好的教学效果和学生学习积极性。未来可考虑针对不同水平的学生设计更具针对性的教学活动，以进一步提高整体教学质量。</w:t>
      </w:r>
    </w:p>
    <w:p>
      <w:pPr>
        <w:jc w:val="left"/>
      </w:pPr>
      <w:r>
        <w:rPr>
          <w:rFonts w:ascii="SimSun" w:hAnsi="SimSun"/>
          <w:b/>
          <w:sz w:val="21"/>
        </w:rPr>
        <w:t>三、学习成效分析</w:t>
      </w:r>
    </w:p>
    <w:p>
      <w:pPr>
        <w:ind w:left="420"/>
      </w:pPr>
      <w:r>
        <w:rPr>
          <w:rFonts w:ascii="SimSun" w:hAnsi="SimSun" w:eastAsia="SimSun"/>
          <w:sz w:val="21"/>
        </w:rPr>
        <w:t>从学生的学习过程情况及期末总评成绩来看，大部分学生均能完成本课程的学习任务，其计算机基础知识和计算机应用水平基本达到本课程的教学要求，本课程的教学目的基本实现。</w:t>
      </w:r>
    </w:p>
    <w:p>
      <w:pPr>
        <w:ind w:left="420"/>
      </w:pPr>
      <w:r>
        <w:rPr>
          <w:rFonts w:ascii="SimSun" w:hAnsi="SimSun" w:eastAsia="SimSun"/>
          <w:sz w:val="21"/>
        </w:rPr>
        <w:t>课程效果评估报告</w:t>
        <w:br/>
        <w:br/>
        <w:t>一、学生课程基础的掌握情况</w:t>
        <w:br/>
        <w:br/>
        <w:t>在本课程开始前，学生的基础知识水平参差不齐。部分学生具备扎实的相关学科背景，而另一些则需要在课程中加强基础知识的学习。总体而言，学生对于所学领域的基本概念有一定的了解，但深入理解与应用能力仍有待提高。</w:t>
        <w:br/>
        <w:br/>
        <w:t>二、学生学习态度情况</w:t>
        <w:br/>
        <w:br/>
        <w:t>在学习过程中，学生们展现出了积极主动的态度。他们不仅积极参与课堂讨论，还经常向教师提出问题，显示出对知识的强烈求知欲。这种主动探究的精神对提升教学效果起到了关键作用。</w:t>
        <w:br/>
        <w:br/>
        <w:t>三、课时安排对教学效果的影响</w:t>
        <w:br/>
        <w:br/>
        <w:t>当前的课时安排较为合理，既保证了理论知识的系统传授，也留有足够的时间供学生实践操作和复习巩固。然而，在某些复杂概念的教学上，可能需要更多时间来确保所有学生都能充分理解和掌握。</w:t>
        <w:br/>
        <w:br/>
        <w:t>四、教学方式对教学效果的影响</w:t>
        <w:br/>
        <w:br/>
        <w:t>采用多样化的教学方法，如案例分析、小组讨论和项目实践等，有效地提高了学生的学习兴趣和参与度。这些互动式学习方式有助于加深学生对课程内容的理解，并促进批判性思维能力的发展。</w:t>
        <w:br/>
        <w:br/>
        <w:t>五、教学内容对教学效果的影响</w:t>
        <w:br/>
        <w:br/>
        <w:t>课程内容设计合理，既涵盖了该领域内的核心知识点，又引入了最新研究成果和发展趋势，激发了学生探索未知的热情。同时，适度的难度设置既能挑战学生的现有能力边界，又不至于造成过大的学习压力。</w:t>
        <w:br/>
        <w:br/>
        <w:t>综上所述，尽管在某些方面仍存在改进空间，但整体而言，本课程的教学效果令人满意，为学生提供了宝贵的知识与技能积累机会。未来可考虑进一步优化教学策略，以更好地满足不同层次学生的需求。</w:t>
      </w:r>
    </w:p>
    <w:p>
      <w:pPr>
        <w:jc w:val="left"/>
      </w:pPr>
      <w:r>
        <w:rPr>
          <w:rFonts w:ascii="SimSun" w:hAnsi="SimSun"/>
          <w:b/>
          <w:sz w:val="21"/>
        </w:rPr>
        <w:t>四、改进措施及建议</w:t>
      </w:r>
    </w:p>
    <w:p>
      <w:pPr>
        <w:ind w:left="420"/>
      </w:pPr>
      <w:r>
        <w:rPr>
          <w:rFonts w:ascii="SimSun" w:hAnsi="SimSun" w:eastAsia="SimSun"/>
          <w:sz w:val="21"/>
        </w:rPr>
        <w:t>课程改进与优化建议报告</w:t>
        <w:br/>
        <w:br/>
        <w:t>一、概述</w:t>
        <w:br/>
        <w:br/>
        <w:t>本报告旨在提供对现有课程结构、教学方法、学习资源以及学生参与度等方面的全面评估，并提出相应改进建议，以期进一步提升课程质量，增强学习体验。</w:t>
        <w:br/>
        <w:br/>
        <w:t>二、改进建议</w:t>
        <w:br/>
        <w:br/>
        <w:t>1. 课程结构优化：建议对课程大纲进行重新审视与调整，确保课程内容逻辑清晰、层次分明，同时增加更多实践性与应用性的案例研究，以帮助学生更好地理解和掌握理论知识。</w:t>
        <w:br/>
        <w:br/>
        <w:t>2. 教学方法创新：鼓励采用混合式教学模式，结合线上线下的优势，利用互动式教学工具（如在线讨论区、实时投票等）提高课堂互动性，激发学生的学习兴趣和主动性。</w:t>
        <w:br/>
        <w:br/>
        <w:t>3. 丰富学习资源：扩充多媒体学习材料，包括视频教程、电子书籍、案例分析等，为不同学习风格的学生提供更多样化的学习路径。同时，建立开放的学习资料库，方便学生随时查阅相关资料。</w:t>
        <w:br/>
        <w:br/>
        <w:t>4. 加强师生互动：定期组织在线或面对面的辅导会议，鼓励学生提问并及时给予反馈。通过问卷调查等方式收集学生意见，了解他们的需求和期望，持续改进教学策略。</w:t>
        <w:br/>
        <w:br/>
        <w:t>5. 促进跨学科学习：鼓励跨学科交流与合作项目，让学生能够从多个角度探索问题，培养解决复杂问题的能力。同时，引入行业专家讲座，拓宽学生的视野，增进理论与实践之间的联系。</w:t>
        <w:br/>
        <w:br/>
        <w:t>三、结论</w:t>
        <w:br/>
        <w:br/>
        <w:t>通过上述改进措施的实施，我们相信将能显著提升课程的整体质量和学生的学习体验，为培养具有国际竞争力的专业人才奠定坚实基础。</w:t>
      </w:r>
    </w:p>
    <w:sectPr w:rsidR="00FC693F" w:rsidRPr="0006063C" w:rsidSect="00034616">
      <w:headerReference w:type="default" r:id="rId9"/>
      <w:pgSz w:w="12240" w:h="15840"/>
      <w:pgMar w:top="1247" w:right="1134" w:bottom="7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260000" cy="285469"/>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260000" cy="28546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