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课程反思报告</w:t>
      </w:r>
    </w:p>
    <w:p>
      <w:pPr>
        <w:jc w:val="center"/>
      </w:pPr>
      <w:r>
        <w:rPr>
          <w:rFonts w:ascii="Times New Roman" w:hAnsi="Times New Roman"/>
          <w:sz w:val="21"/>
        </w:rPr>
        <w:t>(2023-2024学年第1学期)</w:t>
      </w:r>
    </w:p>
    <w:p>
      <w:pPr>
        <w:jc w:val="left"/>
      </w:pPr>
      <w:r>
        <w:rPr>
          <w:rFonts w:ascii="SimSun" w:hAnsi="SimSun"/>
          <w:b/>
          <w:sz w:val="21"/>
        </w:rPr>
        <w:t>一、教学基本信息</w:t>
      </w:r>
    </w:p>
    <w:p>
      <w:pPr>
        <w:ind w:firstLine="420"/>
      </w:pPr>
      <w:r>
        <w:rPr>
          <w:rFonts w:ascii="SimSun" w:hAnsi="SimSun" w:eastAsia="SimSun"/>
          <w:sz w:val="21"/>
        </w:rPr>
        <w:t>课程名称：大学信息技术</w:t>
      </w:r>
    </w:p>
    <w:p>
      <w:pPr>
        <w:ind w:firstLine="420"/>
      </w:pPr>
      <w:r>
        <w:rPr>
          <w:rFonts w:ascii="SimSun" w:hAnsi="SimSun" w:eastAsia="SimSun"/>
          <w:sz w:val="21"/>
        </w:rPr>
        <w:t>授课对象及合班情况：g和d，共计47人</w:t>
      </w:r>
    </w:p>
    <w:p>
      <w:pPr>
        <w:ind w:firstLine="420"/>
      </w:pPr>
      <w:r>
        <w:rPr>
          <w:rFonts w:ascii="SimSun" w:hAnsi="SimSun" w:eastAsia="SimSun"/>
          <w:sz w:val="21"/>
        </w:rPr>
        <w:t>任课教师：刘利钊</w:t>
      </w:r>
    </w:p>
    <w:p>
      <w:pPr>
        <w:ind w:firstLine="420"/>
      </w:pPr>
      <w:r>
        <w:rPr>
          <w:rFonts w:ascii="SimSun" w:hAnsi="SimSun" w:eastAsia="SimSun"/>
          <w:sz w:val="21"/>
        </w:rPr>
        <w:t>实际授课课时：24学时</w:t>
      </w:r>
    </w:p>
    <w:p>
      <w:pPr>
        <w:jc w:val="left"/>
      </w:pPr>
      <w:r>
        <w:rPr>
          <w:rFonts w:ascii="SimSun" w:hAnsi="SimSun"/>
          <w:b/>
          <w:sz w:val="21"/>
        </w:rPr>
        <w:t>二、考核及学习成绩情况</w:t>
      </w:r>
    </w:p>
    <w:p>
      <w:pPr>
        <w:ind w:firstLine="420"/>
      </w:pPr>
      <w:r>
        <w:rPr>
          <w:rFonts w:ascii="SimSun" w:hAnsi="SimSun" w:eastAsia="SimSun"/>
          <w:sz w:val="21"/>
        </w:rPr>
        <w:t>本学期的《大学信息技术》课程采用SPOC教学模式，理论课选用国家精品线上课程（福建农林大学陈琼老师的《大学信息技术基础》）为蓝本，要求学生通过网课平台进行自学，实验课则安排在实验室进行线下授课。</w:t>
      </w:r>
    </w:p>
    <w:p>
      <w:pPr>
        <w:ind w:firstLine="420"/>
      </w:pPr>
      <w:r>
        <w:rPr>
          <w:rFonts w:ascii="SimSun" w:hAnsi="SimSun" w:eastAsia="SimSun"/>
          <w:sz w:val="21"/>
        </w:rPr>
        <w:t>课程的总评成绩计算方式如下：</w:t>
      </w:r>
    </w:p>
    <w:p>
      <w:pPr>
        <w:ind w:firstLine="420"/>
      </w:pPr>
      <w:r>
        <w:rPr>
          <w:rFonts w:ascii="SimSun" w:hAnsi="SimSun" w:eastAsia="SimSun"/>
          <w:sz w:val="21"/>
        </w:rPr>
        <w:t>总评成绩=期末考试成绩×60%+实验成绩×20%+网络学习成绩×20%</w:t>
      </w:r>
    </w:p>
    <w:p>
      <w:pPr>
        <w:ind w:firstLine="420"/>
      </w:pPr>
      <w:r>
        <w:rPr>
          <w:rFonts w:ascii="SimSun" w:hAnsi="SimSun" w:eastAsia="SimSun"/>
          <w:sz w:val="21"/>
        </w:rPr>
        <w:t>特别要求：当期末考试成绩≥50分时，可直接按上述公式计算总评成绩；当期末考试成绩＜50分时，则在上述公式结果和期末考试成绩之间选择最低值作为总评成绩。</w:t>
      </w:r>
    </w:p>
    <w:p>
      <w:pPr>
        <w:jc w:val="left"/>
      </w:pPr>
      <w:r>
        <w:rPr>
          <w:rFonts w:ascii="SimSun" w:hAnsi="SimSun"/>
          <w:b/>
          <w:sz w:val="21"/>
        </w:rPr>
        <w:t>1、网络学习部分成绩的计算</w:t>
      </w:r>
    </w:p>
    <w:p>
      <w:pPr>
        <w:ind w:firstLine="420"/>
      </w:pPr>
      <w:r>
        <w:rPr>
          <w:rFonts w:ascii="SimSun" w:hAnsi="SimSun" w:eastAsia="SimSun"/>
          <w:sz w:val="21"/>
        </w:rPr>
        <w:t>本学期网络学习成绩的评分细则如表1所示：</w:t>
      </w:r>
    </w:p>
    <w:p>
      <w:pPr>
        <w:ind w:firstLine="420"/>
      </w:pPr>
      <w:r>
        <w:rPr>
          <w:rFonts w:ascii="SimSun" w:hAnsi="SimSun"/>
          <w:b/>
          <w:sz w:val="18"/>
        </w:rPr>
        <w:t>表1  网络学习成绩评分细则表</w:t>
      </w:r>
    </w:p>
    <w:tbl>
      <w:tblPr>
        <w:tblStyle w:val="TableGrid"/>
        <w:tblW w:type="auto" w:w="0"/>
        <w:tblLayout w:type="fixed"/>
        <w:tblLook w:firstColumn="1" w:firstRow="1" w:lastColumn="0" w:lastRow="0" w:noHBand="0" w:noVBand="1" w:val="04A0"/>
      </w:tblPr>
      <w:tblGrid>
        <w:gridCol w:w="3324"/>
        <w:gridCol w:w="3324"/>
        <w:gridCol w:w="3324"/>
      </w:tblGrid>
      <w:tr>
        <w:tc>
          <w:tcPr>
            <w:tcW w:type="dxa" w:w="2160"/>
          </w:tcPr>
          <w:p>
            <w:pPr>
              <w:jc w:val="center"/>
            </w:pPr>
            <w:r>
              <w:rPr>
                <w:rFonts w:ascii="SimSun" w:hAnsi="SimSun"/>
                <w:sz w:val="18"/>
              </w:rPr>
              <w:t>评分内容</w:t>
            </w:r>
          </w:p>
        </w:tc>
        <w:tc>
          <w:tcPr>
            <w:tcW w:type="dxa" w:w="2160"/>
          </w:tcPr>
          <w:p>
            <w:pPr>
              <w:jc w:val="center"/>
            </w:pPr>
            <w:r>
              <w:rPr>
                <w:rFonts w:ascii="SimSun" w:hAnsi="SimSun"/>
                <w:sz w:val="18"/>
              </w:rPr>
              <w:t>权重</w:t>
            </w:r>
          </w:p>
        </w:tc>
        <w:tc>
          <w:tcPr>
            <w:tcW w:type="dxa" w:w="4320"/>
          </w:tcPr>
          <w:p>
            <w:pPr>
              <w:jc w:val="center"/>
            </w:pPr>
            <w:r>
              <w:rPr>
                <w:rFonts w:ascii="SimSun" w:hAnsi="SimSun"/>
                <w:sz w:val="18"/>
              </w:rPr>
              <w:t>说明</w:t>
            </w:r>
          </w:p>
        </w:tc>
      </w:tr>
      <w:tr>
        <w:tc>
          <w:tcPr>
            <w:tcW w:type="dxa" w:w="2160"/>
          </w:tcPr>
          <w:p>
            <w:pPr>
              <w:jc w:val="center"/>
            </w:pPr>
            <w:r>
              <w:rPr>
                <w:rFonts w:ascii="SimSun" w:hAnsi="SimSun"/>
                <w:sz w:val="18"/>
              </w:rPr>
              <w:t>单元测验</w:t>
            </w:r>
          </w:p>
        </w:tc>
        <w:tc>
          <w:tcPr>
            <w:tcW w:type="dxa" w:w="2160"/>
          </w:tcPr>
          <w:p>
            <w:pPr>
              <w:jc w:val="center"/>
            </w:pPr>
            <w:r>
              <w:rPr>
                <w:rFonts w:ascii="SimSun" w:hAnsi="SimSun"/>
                <w:sz w:val="18"/>
              </w:rPr>
              <w:t>60%</w:t>
            </w:r>
          </w:p>
        </w:tc>
        <w:tc>
          <w:tcPr>
            <w:tcW w:type="dxa" w:w="4320"/>
          </w:tcPr>
          <w:p>
            <w:pPr>
              <w:jc w:val="center"/>
            </w:pPr>
            <w:r>
              <w:rPr>
                <w:rFonts w:ascii="SimSun" w:hAnsi="SimSun"/>
                <w:sz w:val="18"/>
              </w:rPr>
              <w:t>每次测验有3次机会（随机抽题），取最高分</w:t>
            </w:r>
          </w:p>
        </w:tc>
      </w:tr>
      <w:tr>
        <w:tc>
          <w:tcPr>
            <w:tcW w:type="dxa" w:w="2160"/>
          </w:tcPr>
          <w:p>
            <w:pPr>
              <w:jc w:val="center"/>
            </w:pPr>
            <w:r>
              <w:rPr>
                <w:rFonts w:ascii="SimSun" w:hAnsi="SimSun"/>
                <w:sz w:val="18"/>
              </w:rPr>
              <w:t>综合测验</w:t>
            </w:r>
          </w:p>
        </w:tc>
        <w:tc>
          <w:tcPr>
            <w:tcW w:type="dxa" w:w="2160"/>
          </w:tcPr>
          <w:p>
            <w:pPr>
              <w:jc w:val="center"/>
            </w:pPr>
            <w:r>
              <w:rPr>
                <w:rFonts w:ascii="SimSun" w:hAnsi="SimSun"/>
                <w:sz w:val="18"/>
              </w:rPr>
              <w:t>30%</w:t>
            </w:r>
          </w:p>
        </w:tc>
        <w:tc>
          <w:tcPr>
            <w:tcW w:type="dxa" w:w="4320"/>
          </w:tcPr>
          <w:p>
            <w:pPr>
              <w:jc w:val="center"/>
            </w:pPr>
            <w:r>
              <w:rPr>
                <w:rFonts w:ascii="SimSun" w:hAnsi="SimSun"/>
                <w:sz w:val="18"/>
              </w:rPr>
              <w:t>只有1次机会（随机抽题）</w:t>
            </w:r>
          </w:p>
        </w:tc>
      </w:tr>
      <w:tr>
        <w:tc>
          <w:tcPr>
            <w:tcW w:type="dxa" w:w="2160"/>
          </w:tcPr>
          <w:p>
            <w:pPr>
              <w:jc w:val="center"/>
            </w:pPr>
            <w:r>
              <w:rPr>
                <w:rFonts w:ascii="SimSun" w:hAnsi="SimSun"/>
                <w:sz w:val="18"/>
              </w:rPr>
              <w:t>讨论</w:t>
            </w:r>
          </w:p>
        </w:tc>
        <w:tc>
          <w:tcPr>
            <w:tcW w:type="dxa" w:w="2160"/>
          </w:tcPr>
          <w:p>
            <w:pPr>
              <w:jc w:val="center"/>
            </w:pPr>
            <w:r>
              <w:rPr>
                <w:rFonts w:ascii="SimSun" w:hAnsi="SimSun"/>
                <w:sz w:val="18"/>
              </w:rPr>
              <w:t>10%</w:t>
            </w:r>
          </w:p>
        </w:tc>
        <w:tc>
          <w:tcPr>
            <w:tcW w:type="dxa" w:w="4320"/>
          </w:tcPr>
          <w:p>
            <w:pPr>
              <w:jc w:val="center"/>
            </w:pPr>
            <w:r>
              <w:rPr>
                <w:rFonts w:ascii="SimSun" w:hAnsi="SimSun"/>
                <w:sz w:val="18"/>
              </w:rPr>
              <w:t>10次得满分，限课堂交流区，其它地方的讨论不计入成绩</w:t>
            </w:r>
          </w:p>
        </w:tc>
      </w:tr>
    </w:tbl>
    <w:p>
      <w:pPr>
        <w:ind w:firstLine="420"/>
      </w:pPr>
      <w:r>
        <w:rPr>
          <w:rFonts w:ascii="SimSun" w:hAnsi="SimSun" w:eastAsia="SimSun"/>
          <w:sz w:val="21"/>
        </w:rPr>
        <w:t>g和d班的网络学习部分的成绩情况见表2。</w:t>
      </w:r>
    </w:p>
    <w:p>
      <w:pPr>
        <w:ind w:firstLine="420"/>
      </w:pPr>
      <w:r>
        <w:rPr>
          <w:rFonts w:ascii="SimSun" w:hAnsi="SimSun"/>
          <w:b/>
          <w:sz w:val="18"/>
        </w:rPr>
        <w:t>表2  网络学习部分成绩情况表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47</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99.4</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77.73</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4</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4</w:t>
            </w:r>
          </w:p>
        </w:tc>
        <w:tc>
          <w:tcPr>
            <w:tcW w:type="dxa" w:w="1440"/>
          </w:tcPr>
          <w:p>
            <w:pPr>
              <w:jc w:val="center"/>
            </w:pPr>
            <w:r>
              <w:rPr>
                <w:rFonts w:ascii="SimSun" w:hAnsi="SimSun" w:eastAsia="SimSun"/>
                <w:sz w:val="21"/>
              </w:rPr>
              <w:t>29</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8.51%</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2.13%</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4.26%</w:t>
            </w:r>
          </w:p>
        </w:tc>
        <w:tc>
          <w:tcPr>
            <w:tcW w:type="dxa" w:w="864"/>
          </w:tcPr>
          <w:p>
            <w:pPr>
              <w:jc w:val="center"/>
            </w:pPr>
            <w:r>
              <w:rPr>
                <w:rFonts w:ascii="SimSun" w:hAnsi="SimSun" w:eastAsia="SimSun"/>
                <w:sz w:val="21"/>
              </w:rPr>
              <w:t>6.38%</w:t>
            </w:r>
          </w:p>
        </w:tc>
        <w:tc>
          <w:tcPr>
            <w:tcW w:type="dxa" w:w="864"/>
          </w:tcPr>
          <w:p>
            <w:pPr>
              <w:jc w:val="center"/>
            </w:pPr>
            <w:r>
              <w:rPr>
                <w:rFonts w:ascii="SimSun" w:hAnsi="SimSun" w:eastAsia="SimSun"/>
                <w:sz w:val="21"/>
              </w:rPr>
              <w:t>6.38%</w:t>
            </w:r>
          </w:p>
        </w:tc>
        <w:tc>
          <w:tcPr>
            <w:tcW w:type="dxa" w:w="864"/>
          </w:tcPr>
          <w:p>
            <w:pPr>
              <w:jc w:val="center"/>
            </w:pPr>
            <w:r>
              <w:rPr>
                <w:rFonts w:ascii="SimSun" w:hAnsi="SimSun" w:eastAsia="SimSun"/>
                <w:sz w:val="21"/>
              </w:rPr>
              <w:t>2.13%</w:t>
            </w:r>
          </w:p>
        </w:tc>
        <w:tc>
          <w:tcPr>
            <w:tcW w:type="dxa" w:w="864"/>
          </w:tcPr>
          <w:p>
            <w:pPr>
              <w:jc w:val="center"/>
            </w:pPr>
            <w:r>
              <w:rPr>
                <w:rFonts w:ascii="SimSun" w:hAnsi="SimSun" w:eastAsia="SimSun"/>
                <w:sz w:val="21"/>
              </w:rPr>
              <w:t>8.51%</w:t>
            </w:r>
          </w:p>
        </w:tc>
        <w:tc>
          <w:tcPr>
            <w:tcW w:type="dxa" w:w="1440"/>
          </w:tcPr>
          <w:p>
            <w:pPr>
              <w:jc w:val="center"/>
            </w:pPr>
            <w:r>
              <w:rPr>
                <w:rFonts w:ascii="SimSun" w:hAnsi="SimSun" w:eastAsia="SimSun"/>
                <w:sz w:val="21"/>
              </w:rPr>
              <w:t>61.70%</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231cjddy_平时成绩分布.png"/>
                          <pic:cNvPicPr/>
                        </pic:nvPicPr>
                        <pic:blipFill>
                          <a:blip r:embed="rId10"/>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本报告旨在对本学期所授课程的学生表现进行深入分析。通过对学生得分数据的细致分析，旨在识别课程教学中的优势与不足，并据此提出改进建议。</w:t>
        <w:br/>
        <w:br/>
        <w:t>**一、总体情况**</w:t>
        <w:br/>
        <w:br/>
        <w:t>本次课程共47名学生参与。学生得分范围从0至99.4分，平均分为77.73分。该平均分表明多数学生能够较好地掌握课程内容，但也有部分学生在学习过程中遇到了较大困难。</w:t>
        <w:br/>
        <w:br/>
        <w:t>**二、成绩分布分析**</w:t>
        <w:br/>
        <w:br/>
        <w:t>- **高分段学生比例显著**：获得90-100分的学生占总人数的61.70%，表明大部分学生能够很好地理解并应用课程知识，达到预期的教学目标。</w:t>
        <w:br/>
        <w:t>- **低分段学生关注**：0-10分区间内有4名学生，占比8.51%，说明这部分学生在学习过程中存在较为明显的障碍，需要特别关注其学习过程中的具体困难，以便采取针对性措施提供帮助。</w:t>
        <w:br/>
        <w:t>- **中间分数段学生情况**：40-50分、50-60分及60-70分区间的学生人数较少，分别占总人数的4.26%、6.38%及6.38%。这一现象提示可能存在教学内容难度设置不合理或部分学生学习方法不当的问题。</w:t>
        <w:br/>
        <w:br/>
        <w:t>**三、成绩分析结论与建议**</w:t>
        <w:br/>
        <w:br/>
        <w:t>1. **加强基础概念讲解**：鉴于低分段学生较多，建议在今后的教学中加强对基础概念的详细解释和反复练习，确保所有学生都能打下坚实的基础。</w:t>
        <w:br/>
        <w:t>2. **个性化辅导**：针对不同水平的学生提供个性化指导，如建立学习小组或安排额外辅导时间，帮助成绩较低的学生克服学习障碍。</w:t>
        <w:br/>
        <w:t>3. **增加互动环节**：提高课堂互动性，鼓励学生提问和讨论，促进知识的理解和记忆。对于成绩较好的学生，可以适当引入更高阶的学习材料或挑战性任务，激发他们的学习兴趣。</w:t>
        <w:br/>
        <w:t>4. **定期反馈与调整**：建立定期反馈机制，及时了解学生的学习进度和遇到的难题，并据此调整教学策略，以更好地适应学生的需求。</w:t>
        <w:br/>
        <w:br/>
        <w:t>通过上述分析与建议，期望能进一步提升教学质量，确保每位学生都能充分受益于本课程的学习经历。</w:t>
      </w:r>
    </w:p>
    <w:p>
      <w:pPr>
        <w:jc w:val="left"/>
      </w:pPr>
      <w:r>
        <w:rPr>
          <w:rFonts w:ascii="SimSun" w:hAnsi="SimSun"/>
          <w:b/>
          <w:sz w:val="21"/>
        </w:rPr>
        <w:t>2、实验成绩的计算</w:t>
      </w:r>
    </w:p>
    <w:p>
      <w:pPr>
        <w:ind w:left="420"/>
      </w:pPr>
      <w:r>
        <w:rPr>
          <w:rFonts w:ascii="SimSun" w:hAnsi="SimSun" w:eastAsia="SimSun"/>
          <w:sz w:val="21"/>
        </w:rPr>
        <w:t>本学期共进行了XX次实验，全部在万维考试系统上完成，由系统自动评分。</w:t>
        <w:br/>
        <w:t>g和d班的实验成绩情况见表3。</w:t>
      </w:r>
    </w:p>
    <w:p>
      <w:pPr>
        <w:ind w:firstLine="420"/>
      </w:pPr>
      <w:r>
        <w:rPr>
          <w:rFonts w:ascii="SimSun" w:hAnsi="SimSun"/>
          <w:b/>
          <w:sz w:val="18"/>
        </w:rPr>
        <w:t>表3  实验部分成绩情况表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47</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99.0</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90.16</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1</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10</w:t>
            </w:r>
          </w:p>
        </w:tc>
        <w:tc>
          <w:tcPr>
            <w:tcW w:type="dxa" w:w="1440"/>
          </w:tcPr>
          <w:p>
            <w:pPr>
              <w:jc w:val="center"/>
            </w:pPr>
            <w:r>
              <w:rPr>
                <w:rFonts w:ascii="SimSun" w:hAnsi="SimSun" w:eastAsia="SimSun"/>
                <w:sz w:val="21"/>
              </w:rPr>
              <w:t>36</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2.13%</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21.28%</w:t>
            </w:r>
          </w:p>
        </w:tc>
        <w:tc>
          <w:tcPr>
            <w:tcW w:type="dxa" w:w="1440"/>
          </w:tcPr>
          <w:p>
            <w:pPr>
              <w:jc w:val="center"/>
            </w:pPr>
            <w:r>
              <w:rPr>
                <w:rFonts w:ascii="SimSun" w:hAnsi="SimSun" w:eastAsia="SimSun"/>
                <w:sz w:val="21"/>
              </w:rPr>
              <w:t>76.60%</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231cjddy_实验成绩分布.png"/>
                          <pic:cNvPicPr/>
                        </pic:nvPicPr>
                        <pic:blipFill>
                          <a:blip r:embed="rId11"/>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 课程实验成绩分析报告</w:t>
        <w:br/>
        <w:br/>
        <w:t>本报告旨在对某课程实验成绩进行全面分析，以期为后续教学改进提供依据。该课程共有47名学生参与实验，成绩范围从0分到99.0分，平均成绩为90.16分。</w:t>
        <w:br/>
        <w:br/>
        <w:t>#### 成绩分布情况</w:t>
        <w:br/>
        <w:br/>
        <w:t>- **0-10分**：1人，占比2.13%</w:t>
        <w:br/>
        <w:t>- **80-90分**：10人，占比21.28%</w:t>
        <w:br/>
        <w:t>- **90-100分**：36人，占比76.60%</w:t>
        <w:br/>
        <w:br/>
        <w:t>由上述数据可见，大部分学生（约76.60%）取得了优异的成绩，而仅有少数学生（约2.13%）成绩较低。成绩集中在高分段，表明大多数学生对课程内容掌握较好。</w:t>
        <w:br/>
        <w:br/>
        <w:t>#### 分析与建议</w:t>
        <w:br/>
        <w:br/>
        <w:t>1. **成绩分布特点**</w:t>
        <w:br/>
        <w:t xml:space="preserve">   - 高分段学生占绝大多数，反映出课程设计能够有效激发学生学习兴趣，帮助学生掌握核心知识点。</w:t>
        <w:br/>
        <w:t xml:space="preserve">   - 低分段学生数量较少，但需关注这部分学生的学习情况，了解其存在的问题并给予必要指导。</w:t>
        <w:br/>
        <w:br/>
        <w:t>2. **成绩差异原因探讨**</w:t>
        <w:br/>
        <w:t xml:space="preserve">   - 可能因素包括但不限于：学生个体差异（如学习习惯、时间管理能力等）、对知识的理解深度不同以及实验题目的难易程度。</w:t>
        <w:br/>
        <w:t xml:space="preserve">   - 值得一提的是，尽管整体成绩较高，但存在个别学生成绩显著偏低的现象，需要进一步调查具体原因。</w:t>
        <w:br/>
        <w:br/>
        <w:t>3. **改进建议**</w:t>
        <w:br/>
        <w:t xml:space="preserve">   - 加强基础理论教学，确保所有学生都能打下坚实的基础。</w:t>
        <w:br/>
        <w:t xml:space="preserve">   - 提供多样化的学习资源和支持服务，如在线辅导、小组讨论等，帮助成绩偏低的学生提高成绩。</w:t>
        <w:br/>
        <w:t xml:space="preserve">   - 设计更具挑战性的实验题目，既保证优秀学生的能力得到充分发挥，也能通过适当难度的设置促进中等和低分学生进步。</w:t>
        <w:br/>
        <w:t xml:space="preserve">   - 定期进行课堂反馈，及时调整教学策略，确保每位学生都能跟上课程进度。</w:t>
        <w:br/>
        <w:br/>
        <w:t>综上所述，虽然该课程整体表现良好，但仍需针对不同层次的学生采取差异化教学策略，以实现更全面的教学效果提升。</w:t>
      </w:r>
    </w:p>
    <w:p>
      <w:pPr>
        <w:jc w:val="left"/>
      </w:pPr>
      <w:r>
        <w:rPr>
          <w:rFonts w:ascii="SimSun" w:hAnsi="SimSun"/>
          <w:b/>
          <w:sz w:val="21"/>
        </w:rPr>
        <w:t>3、期末考试成绩的计算</w:t>
      </w:r>
    </w:p>
    <w:p>
      <w:pPr>
        <w:ind w:firstLine="420"/>
      </w:pPr>
      <w:r>
        <w:rPr>
          <w:rFonts w:ascii="SimSun" w:hAnsi="SimSun" w:eastAsia="SimSun"/>
          <w:sz w:val="21"/>
        </w:rPr>
        <w:t>由于理论部分的教学内容已在网络课程中安排了单元测验和综合测验，因此期末考试主要考核实验部分的教学内容。本课程期末考试采用万维考试系统进行上机考试，考生登录考试系统后，系统自动为各考生分配试卷，每份试卷的题型和分值组成如下：</w:t>
      </w:r>
    </w:p>
    <w:p>
      <w:pPr>
        <w:ind w:left="840"/>
      </w:pPr>
      <w:r>
        <w:rPr>
          <w:rFonts w:ascii="SimSun" w:hAnsi="SimSun" w:eastAsia="SimSun"/>
          <w:sz w:val="21"/>
        </w:rPr>
        <w:t>1) Windows/网络设置操作题15分。</w:t>
        <w:br/>
        <w:t>2) MS Office Word操作题30分。</w:t>
        <w:br/>
        <w:t>3) MS Office Excel操作题35分。</w:t>
        <w:br/>
        <w:t>4) MS Office PPT操作题20分。</w:t>
      </w:r>
    </w:p>
    <w:p>
      <w:pPr>
        <w:ind w:left="420"/>
      </w:pPr>
      <w:r>
        <w:rPr>
          <w:rFonts w:ascii="SimSun" w:hAnsi="SimSun" w:eastAsia="SimSun"/>
          <w:sz w:val="21"/>
        </w:rPr>
        <w:t>从试题内容来看，试卷基本能覆盖教学大纲中的实践操作内容，能较好地考察学生的掌握情况，也能较真实地反映学生的计算机应用水平。</w:t>
        <w:br/>
        <w:t>g和d班的期末考试成绩情况见表4。</w:t>
      </w:r>
    </w:p>
    <w:p>
      <w:pPr>
        <w:ind w:firstLine="420"/>
      </w:pPr>
      <w:r>
        <w:rPr>
          <w:rFonts w:ascii="SimSun" w:hAnsi="SimSun"/>
          <w:b/>
          <w:sz w:val="18"/>
        </w:rPr>
        <w:t>表4  期末考试成绩情况表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47</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95.4</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70.04</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1</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3</w:t>
            </w:r>
          </w:p>
        </w:tc>
        <w:tc>
          <w:tcPr>
            <w:tcW w:type="dxa" w:w="864"/>
          </w:tcPr>
          <w:p>
            <w:pPr>
              <w:jc w:val="center"/>
            </w:pPr>
            <w:r>
              <w:rPr>
                <w:rFonts w:ascii="SimSun" w:hAnsi="SimSun" w:eastAsia="SimSun"/>
                <w:sz w:val="21"/>
              </w:rPr>
              <w:t>7</w:t>
            </w:r>
          </w:p>
        </w:tc>
        <w:tc>
          <w:tcPr>
            <w:tcW w:type="dxa" w:w="864"/>
          </w:tcPr>
          <w:p>
            <w:pPr>
              <w:jc w:val="center"/>
            </w:pPr>
            <w:r>
              <w:rPr>
                <w:rFonts w:ascii="SimSun" w:hAnsi="SimSun" w:eastAsia="SimSun"/>
                <w:sz w:val="21"/>
              </w:rPr>
              <w:t>13</w:t>
            </w:r>
          </w:p>
        </w:tc>
        <w:tc>
          <w:tcPr>
            <w:tcW w:type="dxa" w:w="864"/>
          </w:tcPr>
          <w:p>
            <w:pPr>
              <w:jc w:val="center"/>
            </w:pPr>
            <w:r>
              <w:rPr>
                <w:rFonts w:ascii="SimSun" w:hAnsi="SimSun" w:eastAsia="SimSun"/>
                <w:sz w:val="21"/>
              </w:rPr>
              <w:t>6</w:t>
            </w:r>
          </w:p>
        </w:tc>
        <w:tc>
          <w:tcPr>
            <w:tcW w:type="dxa" w:w="864"/>
          </w:tcPr>
          <w:p>
            <w:pPr>
              <w:jc w:val="center"/>
            </w:pPr>
            <w:r>
              <w:rPr>
                <w:rFonts w:ascii="SimSun" w:hAnsi="SimSun" w:eastAsia="SimSun"/>
                <w:sz w:val="21"/>
              </w:rPr>
              <w:t>9</w:t>
            </w:r>
          </w:p>
        </w:tc>
        <w:tc>
          <w:tcPr>
            <w:tcW w:type="dxa" w:w="1440"/>
          </w:tcPr>
          <w:p>
            <w:pPr>
              <w:jc w:val="center"/>
            </w:pPr>
            <w:r>
              <w:rPr>
                <w:rFonts w:ascii="SimSun" w:hAnsi="SimSun" w:eastAsia="SimSun"/>
                <w:sz w:val="21"/>
              </w:rPr>
              <w:t>7</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2.13%</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2.13%</w:t>
            </w:r>
          </w:p>
        </w:tc>
        <w:tc>
          <w:tcPr>
            <w:tcW w:type="dxa" w:w="864"/>
          </w:tcPr>
          <w:p>
            <w:pPr>
              <w:jc w:val="center"/>
            </w:pPr>
            <w:r>
              <w:rPr>
                <w:rFonts w:ascii="SimSun" w:hAnsi="SimSun" w:eastAsia="SimSun"/>
                <w:sz w:val="21"/>
              </w:rPr>
              <w:t>6.38%</w:t>
            </w:r>
          </w:p>
        </w:tc>
        <w:tc>
          <w:tcPr>
            <w:tcW w:type="dxa" w:w="864"/>
          </w:tcPr>
          <w:p>
            <w:pPr>
              <w:jc w:val="center"/>
            </w:pPr>
            <w:r>
              <w:rPr>
                <w:rFonts w:ascii="SimSun" w:hAnsi="SimSun" w:eastAsia="SimSun"/>
                <w:sz w:val="21"/>
              </w:rPr>
              <w:t>14.89%</w:t>
            </w:r>
          </w:p>
        </w:tc>
        <w:tc>
          <w:tcPr>
            <w:tcW w:type="dxa" w:w="864"/>
          </w:tcPr>
          <w:p>
            <w:pPr>
              <w:jc w:val="center"/>
            </w:pPr>
            <w:r>
              <w:rPr>
                <w:rFonts w:ascii="SimSun" w:hAnsi="SimSun" w:eastAsia="SimSun"/>
                <w:sz w:val="21"/>
              </w:rPr>
              <w:t>27.66%</w:t>
            </w:r>
          </w:p>
        </w:tc>
        <w:tc>
          <w:tcPr>
            <w:tcW w:type="dxa" w:w="864"/>
          </w:tcPr>
          <w:p>
            <w:pPr>
              <w:jc w:val="center"/>
            </w:pPr>
            <w:r>
              <w:rPr>
                <w:rFonts w:ascii="SimSun" w:hAnsi="SimSun" w:eastAsia="SimSun"/>
                <w:sz w:val="21"/>
              </w:rPr>
              <w:t>12.77%</w:t>
            </w:r>
          </w:p>
        </w:tc>
        <w:tc>
          <w:tcPr>
            <w:tcW w:type="dxa" w:w="864"/>
          </w:tcPr>
          <w:p>
            <w:pPr>
              <w:jc w:val="center"/>
            </w:pPr>
            <w:r>
              <w:rPr>
                <w:rFonts w:ascii="SimSun" w:hAnsi="SimSun" w:eastAsia="SimSun"/>
                <w:sz w:val="21"/>
              </w:rPr>
              <w:t>19.15%</w:t>
            </w:r>
          </w:p>
        </w:tc>
        <w:tc>
          <w:tcPr>
            <w:tcW w:type="dxa" w:w="1440"/>
          </w:tcPr>
          <w:p>
            <w:pPr>
              <w:jc w:val="center"/>
            </w:pPr>
            <w:r>
              <w:rPr>
                <w:rFonts w:ascii="SimSun" w:hAnsi="SimSun" w:eastAsia="SimSun"/>
                <w:sz w:val="21"/>
              </w:rPr>
              <w:t>14.89%</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231cjddy_期末成绩分布.png"/>
                          <pic:cNvPicPr/>
                        </pic:nvPicPr>
                        <pic:blipFill>
                          <a:blip r:embed="rId12"/>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**课程成绩总结与分析**</w:t>
        <w:br/>
        <w:br/>
        <w:t>本报告旨在基于期末考试成绩对课程的教学效果进行全面评估。本次课程共47名学生参与，最高分95.4分，最低分0分，平均分为70.04分。根据成绩分布情况，可以得出以下结论。</w:t>
        <w:br/>
        <w:br/>
        <w:t>从各分数段的人数分布来看，0-10分区间内有1位学生，占比2.13%；30-40分区间内有1位学生，占比2.13%；40-50分区间内有3位学生，占比6.38%；50-60分区间内有7位学生，占比14.89%；60-70分区间内有13位学生，占比27.66%；70-80分区间内有6位学生，占比12.77%；80-90分区间内有9位学生，占比19.15%；90-100分区间内有7位学生，占比14.89%。其中，60-70分区间内的学生人数最多，占总人数的27.66%，而0-10分区间的学生最少，仅有1人。</w:t>
        <w:br/>
        <w:br/>
        <w:t>成绩分布表明，部分学生成绩较为理想，但仍有相当一部分学生未能达到预期的学习目标。具体而言，约有21.28%的学生（即10位）成绩低于60分，这部分学生可能需要更多的关注和支持以提高他们的学习效果。同时，有近一半的学生（48.91%）成绩位于60-80分之间，表明这些学生达到了基本要求，但仍存在较大的提升空间。</w:t>
        <w:br/>
        <w:br/>
        <w:t>针对以上情况，建议采取以下措施以改善教学效果：</w:t>
        <w:br/>
        <w:br/>
        <w:t>1. **加强基础知识教学**：对于成绩较低的学生，应重点强化基础知识的教学，帮助他们打下坚实的基础，从而更好地理解和掌握后续的知识点。</w:t>
        <w:br/>
        <w:t xml:space="preserve">   </w:t>
        <w:br/>
        <w:t>2. **个性化辅导**：结合每位学生的学习特点和薄弱环节，提供个性化的辅导方案，帮助他们在学习过程中遇到的问题得到及时解决。</w:t>
        <w:br/>
        <w:t xml:space="preserve">   </w:t>
        <w:br/>
        <w:t>3. **增加互动性教学活动**：通过设计更多互动性强的教学活动，激发学生的学习兴趣，增强他们的课堂参与度，从而提高学习效果。</w:t>
        <w:br/>
        <w:t xml:space="preserve">   </w:t>
        <w:br/>
        <w:t>4. **加强反馈机制**：建立有效的反馈机制，</w:t>
      </w:r>
    </w:p>
    <w:p>
      <w:pPr>
        <w:jc w:val="left"/>
      </w:pPr>
      <w:r>
        <w:rPr>
          <w:rFonts w:ascii="SimSun" w:hAnsi="SimSun"/>
          <w:b/>
          <w:sz w:val="21"/>
        </w:rPr>
        <w:t>4、课程总评成绩情况</w:t>
      </w:r>
    </w:p>
    <w:p>
      <w:pPr>
        <w:ind w:firstLine="420"/>
      </w:pPr>
      <w:r>
        <w:rPr>
          <w:rFonts w:ascii="SimSun" w:hAnsi="SimSun" w:eastAsia="SimSun"/>
          <w:sz w:val="21"/>
        </w:rPr>
        <w:t>g和d班的课程总评成绩情况见表5。</w:t>
      </w:r>
    </w:p>
    <w:p>
      <w:pPr>
        <w:ind w:firstLine="420"/>
      </w:pPr>
      <w:r>
        <w:rPr>
          <w:rFonts w:ascii="SimSun" w:hAnsi="SimSun"/>
          <w:b/>
          <w:sz w:val="18"/>
        </w:rPr>
        <w:t>表5  课程总评成绩情况表</w:t>
      </w:r>
    </w:p>
    <w:tbl>
      <w:tblPr>
        <w:tblStyle w:val="TableGrid"/>
        <w:tblW w:type="auto" w:w="0"/>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47</w:t>
            </w:r>
          </w:p>
        </w:tc>
        <w:tc>
          <w:tcPr>
            <w:tcW w:type="dxa" w:w="1728"/>
            <w:gridSpan w:val="2"/>
          </w:tcPr>
          <w:p>
            <w:pPr>
              <w:jc w:val="center"/>
            </w:pPr>
            <w:r>
              <w:rPr>
                <w:rFonts w:ascii="SimSun" w:hAnsi="SimSun" w:eastAsia="SimSun"/>
                <w:sz w:val="21"/>
              </w:rPr>
              <w:t>最高分:</w:t>
            </w:r>
          </w:p>
        </w:tc>
        <w:tc>
          <w:tcPr>
            <w:tcW w:type="dxa" w:w="864"/>
          </w:tcPr>
          <w:p>
            <w:pPr>
              <w:jc w:val="center"/>
            </w:pPr>
            <w:r>
              <w:rPr>
                <w:rFonts w:ascii="SimSun" w:hAnsi="SimSun" w:eastAsia="SimSun"/>
                <w:sz w:val="21"/>
              </w:rPr>
              <w:t>96.0</w:t>
            </w:r>
          </w:p>
        </w:tc>
        <w:tc>
          <w:tcPr>
            <w:tcW w:type="dxa" w:w="1728"/>
            <w:gridSpan w:val="2"/>
          </w:tcPr>
          <w:p>
            <w:pPr>
              <w:jc w:val="center"/>
            </w:pPr>
            <w:r>
              <w:rPr>
                <w:rFonts w:ascii="SimSun" w:hAnsi="SimSun" w:eastAsia="SimSun"/>
                <w:sz w:val="21"/>
              </w:rPr>
              <w:t>最低分：</w:t>
            </w:r>
          </w:p>
        </w:tc>
        <w:tc>
          <w:tcPr>
            <w:tcW w:type="dxa" w:w="864"/>
          </w:tcPr>
          <w:p>
            <w:pPr>
              <w:jc w:val="center"/>
            </w:pPr>
            <w:r>
              <w:rPr>
                <w:rFonts w:ascii="SimSun" w:hAnsi="SimSun" w:eastAsia="SimSun"/>
                <w:sz w:val="21"/>
              </w:rPr>
              <w:t>0.0</w:t>
            </w:r>
          </w:p>
        </w:tc>
        <w:tc>
          <w:tcPr>
            <w:tcW w:type="dxa" w:w="1728"/>
            <w:gridSpan w:val="2"/>
          </w:tcPr>
          <w:p>
            <w:pPr>
              <w:jc w:val="center"/>
            </w:pPr>
            <w:r>
              <w:rPr>
                <w:rFonts w:ascii="SimSun" w:hAnsi="SimSun" w:eastAsia="SimSun"/>
                <w:sz w:val="21"/>
              </w:rPr>
              <w:t>平均分：</w:t>
            </w:r>
          </w:p>
        </w:tc>
        <w:tc>
          <w:tcPr>
            <w:tcW w:type="dxa" w:w="1440"/>
          </w:tcPr>
          <w:p>
            <w:pPr>
              <w:jc w:val="center"/>
            </w:pPr>
            <w:r>
              <w:rPr>
                <w:rFonts w:ascii="SimSun" w:hAnsi="SimSun" w:eastAsia="SimSun"/>
                <w:sz w:val="21"/>
              </w:rPr>
              <w:t>75.64</w:t>
            </w:r>
          </w:p>
        </w:tc>
      </w:tr>
      <w:tr>
        <w:tc>
          <w:tcPr>
            <w:tcW w:type="dxa" w:w="864"/>
          </w:tcPr>
          <w:p>
            <w:pPr>
              <w:jc w:val="center"/>
            </w:pPr>
            <w:r>
              <w:rPr>
                <w:rFonts w:ascii="SimSun" w:hAnsi="SimSun" w:eastAsia="SimSun"/>
                <w:sz w:val="18"/>
              </w:rPr>
              <w:t>分数段</w:t>
            </w:r>
          </w:p>
        </w:tc>
        <w:tc>
          <w:tcPr>
            <w:tcW w:type="dxa" w:w="864"/>
          </w:tcPr>
          <w:p>
            <w:pPr>
              <w:jc w:val="center"/>
            </w:pPr>
            <w:r>
              <w:rPr>
                <w:rFonts w:ascii="SimSun" w:hAnsi="SimSun" w:eastAsia="SimSun"/>
                <w:sz w:val="18"/>
              </w:rPr>
              <w:t>0-9</w:t>
            </w:r>
          </w:p>
        </w:tc>
        <w:tc>
          <w:tcPr>
            <w:tcW w:type="dxa" w:w="864"/>
          </w:tcPr>
          <w:p>
            <w:pPr>
              <w:jc w:val="center"/>
            </w:pPr>
            <w:r>
              <w:rPr>
                <w:rFonts w:ascii="SimSun" w:hAnsi="SimSun" w:eastAsia="SimSun"/>
                <w:sz w:val="18"/>
              </w:rPr>
              <w:t>10-19</w:t>
            </w:r>
          </w:p>
        </w:tc>
        <w:tc>
          <w:tcPr>
            <w:tcW w:type="dxa" w:w="864"/>
          </w:tcPr>
          <w:p>
            <w:pPr>
              <w:jc w:val="center"/>
            </w:pPr>
            <w:r>
              <w:rPr>
                <w:rFonts w:ascii="SimSun" w:hAnsi="SimSun" w:eastAsia="SimSun"/>
                <w:sz w:val="21"/>
              </w:rPr>
              <w:t>20-29</w:t>
            </w:r>
          </w:p>
        </w:tc>
        <w:tc>
          <w:tcPr>
            <w:tcW w:type="dxa" w:w="864"/>
          </w:tcPr>
          <w:p>
            <w:pPr>
              <w:jc w:val="center"/>
            </w:pPr>
            <w:r>
              <w:rPr>
                <w:rFonts w:ascii="SimSun" w:hAnsi="SimSun" w:eastAsia="SimSun"/>
                <w:sz w:val="21"/>
              </w:rPr>
              <w:t>30-39</w:t>
            </w:r>
          </w:p>
        </w:tc>
        <w:tc>
          <w:tcPr>
            <w:tcW w:type="dxa" w:w="864"/>
          </w:tcPr>
          <w:p>
            <w:pPr>
              <w:jc w:val="center"/>
            </w:pPr>
            <w:r>
              <w:rPr>
                <w:rFonts w:ascii="SimSun" w:hAnsi="SimSun" w:eastAsia="SimSun"/>
                <w:sz w:val="21"/>
              </w:rPr>
              <w:t>40-49</w:t>
            </w:r>
          </w:p>
        </w:tc>
        <w:tc>
          <w:tcPr>
            <w:tcW w:type="dxa" w:w="864"/>
          </w:tcPr>
          <w:p>
            <w:pPr>
              <w:jc w:val="center"/>
            </w:pPr>
            <w:r>
              <w:rPr>
                <w:rFonts w:ascii="SimSun" w:hAnsi="SimSun" w:eastAsia="SimSun"/>
                <w:sz w:val="21"/>
              </w:rPr>
              <w:t>50-59</w:t>
            </w:r>
          </w:p>
        </w:tc>
        <w:tc>
          <w:tcPr>
            <w:tcW w:type="dxa" w:w="864"/>
          </w:tcPr>
          <w:p>
            <w:pPr>
              <w:jc w:val="center"/>
            </w:pPr>
            <w:r>
              <w:rPr>
                <w:rFonts w:ascii="SimSun" w:hAnsi="SimSun" w:eastAsia="SimSun"/>
                <w:sz w:val="21"/>
              </w:rPr>
              <w:t>60-69</w:t>
            </w:r>
          </w:p>
        </w:tc>
        <w:tc>
          <w:tcPr>
            <w:tcW w:type="dxa" w:w="864"/>
          </w:tcPr>
          <w:p>
            <w:pPr>
              <w:jc w:val="center"/>
            </w:pPr>
            <w:r>
              <w:rPr>
                <w:rFonts w:ascii="SimSun" w:hAnsi="SimSun" w:eastAsia="SimSun"/>
                <w:sz w:val="21"/>
              </w:rPr>
              <w:t>70-79</w:t>
            </w:r>
          </w:p>
        </w:tc>
        <w:tc>
          <w:tcPr>
            <w:tcW w:type="dxa" w:w="864"/>
          </w:tcPr>
          <w:p>
            <w:pPr>
              <w:jc w:val="center"/>
            </w:pPr>
            <w:r>
              <w:rPr>
                <w:rFonts w:ascii="SimSun" w:hAnsi="SimSun" w:eastAsia="SimSun"/>
                <w:sz w:val="21"/>
              </w:rPr>
              <w:t>80-89</w:t>
            </w:r>
          </w:p>
        </w:tc>
        <w:tc>
          <w:tcPr>
            <w:tcW w:type="dxa" w:w="1440"/>
          </w:tcPr>
          <w:p>
            <w:pPr>
              <w:jc w:val="center"/>
            </w:pPr>
            <w:r>
              <w:rPr>
                <w:rFonts w:ascii="SimSun" w:hAnsi="SimSun" w:eastAsia="SimSun"/>
                <w:sz w:val="21"/>
              </w:rPr>
              <w:t>90-100</w:t>
            </w:r>
          </w:p>
        </w:tc>
      </w:tr>
      <w:tr>
        <w:tc>
          <w:tcPr>
            <w:tcW w:type="dxa" w:w="864"/>
          </w:tcPr>
          <w:p>
            <w:pPr>
              <w:jc w:val="center"/>
            </w:pPr>
            <w:r>
              <w:rPr>
                <w:rFonts w:ascii="SimSun" w:hAnsi="SimSun" w:eastAsia="SimSun"/>
                <w:sz w:val="18"/>
              </w:rPr>
              <w:t>人数</w:t>
            </w:r>
          </w:p>
        </w:tc>
        <w:tc>
          <w:tcPr>
            <w:tcW w:type="dxa" w:w="864"/>
          </w:tcPr>
          <w:p>
            <w:pPr>
              <w:jc w:val="center"/>
            </w:pPr>
            <w:r>
              <w:rPr>
                <w:rFonts w:ascii="SimSun" w:hAnsi="SimSun" w:eastAsia="SimSun"/>
                <w:sz w:val="18"/>
              </w:rPr>
              <w:t>1</w:t>
            </w:r>
          </w:p>
        </w:tc>
        <w:tc>
          <w:tcPr>
            <w:tcW w:type="dxa" w:w="864"/>
          </w:tcPr>
          <w:p>
            <w:pPr>
              <w:jc w:val="center"/>
            </w:pPr>
            <w:r>
              <w:rPr>
                <w:rFonts w:ascii="SimSun" w:hAnsi="SimSun" w:eastAsia="SimSun"/>
                <w:sz w:val="18"/>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0</w:t>
            </w:r>
          </w:p>
        </w:tc>
        <w:tc>
          <w:tcPr>
            <w:tcW w:type="dxa" w:w="864"/>
          </w:tcPr>
          <w:p>
            <w:pPr>
              <w:jc w:val="center"/>
            </w:pPr>
            <w:r>
              <w:rPr>
                <w:rFonts w:ascii="SimSun" w:hAnsi="SimSun" w:eastAsia="SimSun"/>
                <w:sz w:val="21"/>
              </w:rPr>
              <w:t>2</w:t>
            </w:r>
          </w:p>
        </w:tc>
        <w:tc>
          <w:tcPr>
            <w:tcW w:type="dxa" w:w="864"/>
          </w:tcPr>
          <w:p>
            <w:pPr>
              <w:jc w:val="center"/>
            </w:pPr>
            <w:r>
              <w:rPr>
                <w:rFonts w:ascii="SimSun" w:hAnsi="SimSun" w:eastAsia="SimSun"/>
                <w:sz w:val="21"/>
              </w:rPr>
              <w:t>1</w:t>
            </w:r>
          </w:p>
        </w:tc>
        <w:tc>
          <w:tcPr>
            <w:tcW w:type="dxa" w:w="864"/>
          </w:tcPr>
          <w:p>
            <w:pPr>
              <w:jc w:val="center"/>
            </w:pPr>
            <w:r>
              <w:rPr>
                <w:rFonts w:ascii="SimSun" w:hAnsi="SimSun" w:eastAsia="SimSun"/>
                <w:sz w:val="21"/>
              </w:rPr>
              <w:t>5</w:t>
            </w:r>
          </w:p>
        </w:tc>
        <w:tc>
          <w:tcPr>
            <w:tcW w:type="dxa" w:w="864"/>
          </w:tcPr>
          <w:p>
            <w:pPr>
              <w:jc w:val="center"/>
            </w:pPr>
            <w:r>
              <w:rPr>
                <w:rFonts w:ascii="SimSun" w:hAnsi="SimSun" w:eastAsia="SimSun"/>
                <w:sz w:val="21"/>
              </w:rPr>
              <w:t>18</w:t>
            </w:r>
          </w:p>
        </w:tc>
        <w:tc>
          <w:tcPr>
            <w:tcW w:type="dxa" w:w="864"/>
          </w:tcPr>
          <w:p>
            <w:pPr>
              <w:jc w:val="center"/>
            </w:pPr>
            <w:r>
              <w:rPr>
                <w:rFonts w:ascii="SimSun" w:hAnsi="SimSun" w:eastAsia="SimSun"/>
                <w:sz w:val="21"/>
              </w:rPr>
              <w:t>10</w:t>
            </w:r>
          </w:p>
        </w:tc>
        <w:tc>
          <w:tcPr>
            <w:tcW w:type="dxa" w:w="1440"/>
          </w:tcPr>
          <w:p>
            <w:pPr>
              <w:jc w:val="center"/>
            </w:pPr>
            <w:r>
              <w:rPr>
                <w:rFonts w:ascii="SimSun" w:hAnsi="SimSun" w:eastAsia="SimSun"/>
                <w:sz w:val="21"/>
              </w:rPr>
              <w:t>10</w:t>
            </w:r>
          </w:p>
        </w:tc>
      </w:tr>
      <w:tr>
        <w:tc>
          <w:tcPr>
            <w:tcW w:type="dxa" w:w="864"/>
          </w:tcPr>
          <w:p>
            <w:pPr>
              <w:jc w:val="center"/>
            </w:pPr>
            <w:r>
              <w:rPr>
                <w:rFonts w:ascii="SimSun" w:hAnsi="SimSun" w:eastAsia="SimSun"/>
                <w:sz w:val="18"/>
              </w:rPr>
              <w:t>比例</w:t>
            </w:r>
          </w:p>
        </w:tc>
        <w:tc>
          <w:tcPr>
            <w:tcW w:type="dxa" w:w="864"/>
          </w:tcPr>
          <w:p>
            <w:pPr>
              <w:jc w:val="center"/>
            </w:pPr>
            <w:r>
              <w:rPr>
                <w:rFonts w:ascii="SimSun" w:hAnsi="SimSun" w:eastAsia="SimSun"/>
                <w:sz w:val="18"/>
              </w:rPr>
              <w:t>2.13%</w:t>
            </w:r>
          </w:p>
        </w:tc>
        <w:tc>
          <w:tcPr>
            <w:tcW w:type="dxa" w:w="864"/>
          </w:tcPr>
          <w:p>
            <w:pPr>
              <w:jc w:val="center"/>
            </w:pPr>
            <w:r>
              <w:rPr>
                <w:rFonts w:ascii="SimSun" w:hAnsi="SimSun" w:eastAsia="SimSun"/>
                <w:sz w:val="18"/>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0.00%</w:t>
            </w:r>
          </w:p>
        </w:tc>
        <w:tc>
          <w:tcPr>
            <w:tcW w:type="dxa" w:w="864"/>
          </w:tcPr>
          <w:p>
            <w:pPr>
              <w:jc w:val="center"/>
            </w:pPr>
            <w:r>
              <w:rPr>
                <w:rFonts w:ascii="SimSun" w:hAnsi="SimSun" w:eastAsia="SimSun"/>
                <w:sz w:val="21"/>
              </w:rPr>
              <w:t>4.26%</w:t>
            </w:r>
          </w:p>
        </w:tc>
        <w:tc>
          <w:tcPr>
            <w:tcW w:type="dxa" w:w="864"/>
          </w:tcPr>
          <w:p>
            <w:pPr>
              <w:jc w:val="center"/>
            </w:pPr>
            <w:r>
              <w:rPr>
                <w:rFonts w:ascii="SimSun" w:hAnsi="SimSun" w:eastAsia="SimSun"/>
                <w:sz w:val="21"/>
              </w:rPr>
              <w:t>2.13%</w:t>
            </w:r>
          </w:p>
        </w:tc>
        <w:tc>
          <w:tcPr>
            <w:tcW w:type="dxa" w:w="864"/>
          </w:tcPr>
          <w:p>
            <w:pPr>
              <w:jc w:val="center"/>
            </w:pPr>
            <w:r>
              <w:rPr>
                <w:rFonts w:ascii="SimSun" w:hAnsi="SimSun" w:eastAsia="SimSun"/>
                <w:sz w:val="21"/>
              </w:rPr>
              <w:t>10.64%</w:t>
            </w:r>
          </w:p>
        </w:tc>
        <w:tc>
          <w:tcPr>
            <w:tcW w:type="dxa" w:w="864"/>
          </w:tcPr>
          <w:p>
            <w:pPr>
              <w:jc w:val="center"/>
            </w:pPr>
            <w:r>
              <w:rPr>
                <w:rFonts w:ascii="SimSun" w:hAnsi="SimSun" w:eastAsia="SimSun"/>
                <w:sz w:val="21"/>
              </w:rPr>
              <w:t>38.30%</w:t>
            </w:r>
          </w:p>
        </w:tc>
        <w:tc>
          <w:tcPr>
            <w:tcW w:type="dxa" w:w="864"/>
          </w:tcPr>
          <w:p>
            <w:pPr>
              <w:jc w:val="center"/>
            </w:pPr>
            <w:r>
              <w:rPr>
                <w:rFonts w:ascii="SimSun" w:hAnsi="SimSun" w:eastAsia="SimSun"/>
                <w:sz w:val="21"/>
              </w:rPr>
              <w:t>21.28%</w:t>
            </w:r>
          </w:p>
        </w:tc>
        <w:tc>
          <w:tcPr>
            <w:tcW w:type="dxa" w:w="1440"/>
          </w:tcPr>
          <w:p>
            <w:pPr>
              <w:jc w:val="center"/>
            </w:pPr>
            <w:r>
              <w:rPr>
                <w:rFonts w:ascii="SimSun" w:hAnsi="SimSun" w:eastAsia="SimSun"/>
                <w:sz w:val="21"/>
              </w:rPr>
              <w:t>21.28%</w:t>
            </w:r>
          </w:p>
        </w:tc>
      </w:tr>
      <w:tr>
        <w:tc>
          <w:tcPr>
            <w:tcW w:type="dxa" w:w="864"/>
          </w:tcPr>
          <w:p>
            <w:pPr>
              <w:jc w:val="center"/>
            </w:pPr>
            <w:r>
              <w:rPr>
                <w:rFonts w:ascii="SimSun" w:hAnsi="SimSun" w:eastAsia="SimSun"/>
                <w:sz w:val="18"/>
              </w:rPr>
              <w:t>成绩分布图</w:t>
            </w:r>
          </w:p>
        </w:tc>
        <w:tc>
          <w:tcPr>
            <w:tcW w:type="dxa" w:w="9216"/>
            <w:gridSpan w:val="10"/>
          </w:tcPr>
          <w:p>
            <w:pPr>
              <w:jc w:val="center"/>
            </w:pPr>
            <w:r>
              <w:rPr>
                <w:rFonts w:ascii="SimSun" w:hAnsi="SimSun" w:eastAsia="SimSun"/>
                <w:sz w:val="21"/>
              </w:rP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231cjddy_总评成绩分布.png"/>
                          <pic:cNvPicPr/>
                        </pic:nvPicPr>
                        <pic:blipFill>
                          <a:blip r:embed="rId13"/>
                          <a:stretch>
                            <a:fillRect/>
                          </a:stretch>
                        </pic:blipFill>
                        <pic:spPr>
                          <a:xfrm>
                            <a:off x="0" y="0"/>
                            <a:ext cx="5486400" cy="3291840"/>
                          </a:xfrm>
                          <a:prstGeom prst="rect"/>
                        </pic:spPr>
                      </pic:pic>
                    </a:graphicData>
                  </a:graphic>
                </wp:inline>
              </w:drawing>
            </w:r>
          </w:p>
        </w:tc>
      </w:tr>
    </w:tbl>
    <w:p>
      <w:pPr>
        <w:jc w:val="left"/>
      </w:pPr>
      <w:r>
        <w:rPr>
          <w:rFonts w:ascii="SimSun" w:hAnsi="SimSun"/>
          <w:b/>
          <w:sz w:val="21"/>
        </w:rPr>
        <w:t>分析结果:</w:t>
      </w:r>
    </w:p>
    <w:p>
      <w:pPr>
        <w:ind w:left="420"/>
      </w:pPr>
      <w:r>
        <w:rPr>
          <w:rFonts w:ascii="SimSun" w:hAnsi="SimSun" w:eastAsia="SimSun"/>
          <w:sz w:val="21"/>
        </w:rPr>
        <w:t>本报告旨在对某课程的学生总评成绩进行全面分析，并基于此提出改进建议。</w:t>
        <w:br/>
        <w:br/>
        <w:t>本次课程共有47名学生参与，成绩范围从0至96分，平均分为75.64分。成绩分布显示了学生整体表现的广泛差异，其中最高分与最低分之间的差距显著，表明了学生在理解和掌握课程内容方面的不同水平。</w:t>
        <w:br/>
        <w:br/>
        <w:t>具体来看，成绩低于40分的学生仅有两名，占总人数的4.26%，而超过80分的学生共有20人，占比达到42.55%，显示出相当一部分学生能够较好地掌握课程内容。特别是有10名学生获得了90分以上的高分，说明这部分学生不仅掌握了课程的基本要求，还在某些方面表现出了卓越的能力。</w:t>
        <w:br/>
        <w:br/>
        <w:t>然而，成绩在40至60分之间的学生相对较少，仅占总人数的6.38%，这可能反映了学生在学习过程中遇到了一些挑战。尤其值得注意的是，最低分仅为0分，提示教师需要关注这部分学生成绩背后的原因，以便提供必要的支持。</w:t>
        <w:br/>
        <w:br/>
        <w:t>根据上述分析，建议采取以下措施以提升整体教学质量：</w:t>
        <w:br/>
        <w:br/>
        <w:t>1. **加强基础概念的教学**：针对成绩较低的学生群体，强化基础知识的教学和巩固，确保每位学生都能打下坚实的基础。</w:t>
        <w:br/>
        <w:t>2. **个性化辅导**：对于成绩存在显著差异的学生，提供个性化的辅导和支持，帮助他们克服学习中的障碍。</w:t>
        <w:br/>
        <w:t>3. **增加互动环节**：通过课堂讨论、小组合作等方式增加学生之间的互动，激发学生的学习兴趣，提高学习效率。</w:t>
        <w:br/>
        <w:t>4. **定期反馈与评估**：建立更为频繁的评估机制，及时给予学生反馈，帮助他们了解自己的学习进度及存在的问题，从而调整学习策略。</w:t>
        <w:br/>
        <w:br/>
        <w:t>通过实施上述措施，预期可以进一步提升学生对课程内容的理解和掌握程度，促进全体学生的全面发展。</w:t>
      </w:r>
    </w:p>
    <w:p>
      <w:pPr>
        <w:jc w:val="left"/>
      </w:pPr>
      <w:r>
        <w:rPr>
          <w:rFonts w:ascii="SimSun" w:hAnsi="SimSun"/>
          <w:b/>
          <w:sz w:val="21"/>
        </w:rPr>
        <w:t>三、学习成效分析</w:t>
      </w:r>
    </w:p>
    <w:p>
      <w:pPr>
        <w:ind w:left="420"/>
      </w:pPr>
      <w:r>
        <w:rPr>
          <w:rFonts w:ascii="SimSun" w:hAnsi="SimSun" w:eastAsia="SimSun"/>
          <w:sz w:val="21"/>
        </w:rPr>
        <w:t>从学生的学习过程情况及期末总评成绩来看，大部分学生均能完成本课程的学习任务，其计算机基础知识和计算机应用水平基本达到本课程的教学要求，本课程的教学目的基本实现。</w:t>
      </w:r>
    </w:p>
    <w:p>
      <w:pPr>
        <w:ind w:left="420"/>
      </w:pPr>
      <w:r>
        <w:rPr>
          <w:rFonts w:ascii="SimSun" w:hAnsi="SimSun" w:eastAsia="SimSun"/>
          <w:sz w:val="21"/>
        </w:rPr>
        <w:t xml:space="preserve"> 教学效果综合分析报告</w:t>
        <w:br/>
        <w:br/>
        <w:t xml:space="preserve"> 1. 学生课程基础的掌握情况</w:t>
        <w:br/>
        <w:br/>
        <w:t>在学习本课程前，学生对于相关基础知识的掌握程度显示了一定的差异性。基础相对扎实的学生能够快速理解和吸收新知识，而部分学生则需要更多的时间和指导来巩固其原有的知识体系。这种差异在一定程度上影响了课程初期的教学进度和深度，表明在未来的教学设计中，有必要针对不同水平的学生提供更加个性化的辅导方案。</w:t>
        <w:br/>
        <w:br/>
        <w:t xml:space="preserve"> 2. 学生的学习态度情况</w:t>
        <w:br/>
        <w:br/>
        <w:t>通过对学生提问情况及课堂参与度的观察，可以发现大部分学生表现出较高的学习积极性和主动性。他们不仅积极回答问题，还乐于分享自己的见解，这为营造积极向上的学习氛围奠定了良好基础。然而，仍有一小部分学生显得不够主动，可能需要更多的鼓励和支持来激发其学习兴趣。</w:t>
        <w:br/>
        <w:br/>
        <w:t xml:space="preserve"> 3. 课时安排对教学效果的影响</w:t>
        <w:br/>
        <w:br/>
        <w:t>当前的课时安排基本满足了课程内容的教授需求，但在某些关键知识点的讲解上仍有压缩空间。合理调整课时分配，确保每个重要概念都能得到充分的讨论与练习，将是提高教学效果的关键。此外，适当增加课外辅导时间，帮助学生消化和理解课堂内容，也是值得考虑的优化方向。</w:t>
        <w:br/>
        <w:br/>
        <w:t xml:space="preserve"> 4. 教学方式对教学效果的影响</w:t>
        <w:br/>
        <w:br/>
        <w:t>采用多样化的教学方法，如案例分析、小组讨论等互动性强的方式，显著提升了学生的学习兴趣和参与度。然而，在某些理论性较强的部分，传统的讲授式教学仍然发挥着不可或缺的作用。未来可考虑进一步融合线上与线下资源，利用多媒体技术丰富教学手段，以适应不同学习风格的学生。</w:t>
        <w:br/>
        <w:br/>
        <w:t xml:space="preserve"> 5. 教学内容对教学效果的影响</w:t>
        <w:br/>
        <w:br/>
        <w:t>总体而言，所选教学内容紧密贴合实际应用需求，有助于培养学生的实践能力和创新思维。但部分内容更新速度较慢，难以完全反映行业最新动态，这可能限制了学生对前沿知识的接触。建议定期更新教材和案例库，引入更多前沿研究成果，以保持课程内容的时效性和先进性。</w:t>
        <w:br/>
        <w:br/>
        <w:t>综上所述，通过针对性地调整和优化上述几个方面，有望进一步提升教学质量和学生的学习成果。</w:t>
      </w:r>
    </w:p>
    <w:p>
      <w:pPr>
        <w:jc w:val="left"/>
      </w:pPr>
      <w:r>
        <w:rPr>
          <w:rFonts w:ascii="SimSun" w:hAnsi="SimSun"/>
          <w:b/>
          <w:sz w:val="21"/>
        </w:rPr>
        <w:t>四、改进措施及建议</w:t>
      </w:r>
    </w:p>
    <w:p>
      <w:pPr>
        <w:ind w:left="420"/>
      </w:pPr>
      <w:r>
        <w:rPr>
          <w:rFonts w:ascii="SimSun" w:hAnsi="SimSun" w:eastAsia="SimSun"/>
          <w:sz w:val="21"/>
        </w:rPr>
        <w:t>课程效果与教学目标一致性分析报告</w:t>
        <w:br/>
        <w:br/>
        <w:t>本报告旨在深入分析某课程的教学目标与实际教学效果之间的一致性，并基于数据分析提出改进建议。通过综合考量课程的内容设计、教学方法、学生反馈及学习成果等多方面因素，本报告力求为提升课程质量提供科学依据。</w:t>
        <w:br/>
        <w:br/>
        <w:t>1. 教学内容与目标一致性</w:t>
        <w:br/>
        <w:br/>
        <w:t xml:space="preserve">   分析表明，课程内容在很大程度上符合其设定的教学目标，但在某些领域仍有提升空间。例如，在培养学生的批判性思维能力和应用知识解决实际问题的能力方面，课程内容略显不足。建议增加更多实践案例和讨论环节，以增强学生的实际操作能力和问题解决能力。</w:t>
        <w:br/>
        <w:br/>
        <w:t>2. 教学方法与互动性</w:t>
        <w:br/>
        <w:br/>
        <w:t xml:space="preserve">   当前的教学方法侧重于理论讲解，虽然能够有效地传递核心概念，但可能限制了学生深层次理解和创造性思考的发展。建议引入更多互动式学习活动，如小组讨论、项目合作等，以促进学生之间的交流与合作，同时激发他们的创新思维。</w:t>
        <w:br/>
        <w:br/>
        <w:t>3. 学生参与度与满意度</w:t>
        <w:br/>
        <w:br/>
        <w:t xml:space="preserve">   数据显示，尽管大部分学生对课程内容表示满意，但部分学生反映缺乏足够的个性化支持和指导。建议建立更加灵活的学习路径，根据不同学生的需求提供定制化的学习资源和支持服务；同时加强师生之间的沟通，及时了解并解决学生在学习过程中遇到的问题。</w:t>
        <w:br/>
        <w:br/>
        <w:t>4. 评价体系与反馈机制</w:t>
        <w:br/>
        <w:br/>
        <w:t xml:space="preserve">   现有的评价体系主要依赖于考试成绩来衡量学生的学习成效，而忽视了对学生过程性表现和个人成长的关注。建议构建多元化的评价体系，不仅包括期末考试成绩，也应考虑平时作业、课堂参与度、小组项目完成情况等因素，全面评估学生的学习成果。同时，实施定期反馈机制，确保每位学生都能获得关于自己学习进展的及时信息，以便调整学习策略。</w:t>
        <w:br/>
        <w:br/>
        <w:t>5. 技术工具的应用</w:t>
        <w:br/>
        <w:br/>
        <w:t xml:space="preserve">   在线教育平台和技术工具的应用对于提高教学效率和学生参与度至关重要。然而，目前课程中技术工具的使用尚不充分。建议加大技术工具的投入力度，利用在线协作平台、虚拟实验室等资源丰富教学手段，提升课程的吸引力和实用性。</w:t>
        <w:br/>
        <w:br/>
        <w:t>综上所述，通过对课程各方面进行系统性的审视与分析，我们提出了若干有针对性的改进建议。期望通过这些措施的实施，能够在保持现有优势的基础上进一步优化课程结构，增强其实效性和吸引力，从而更好地达成既定的教学目标。</w:t>
      </w:r>
    </w:p>
    <w:sectPr w:rsidR="00FC693F" w:rsidRPr="0006063C" w:rsidSect="00034616">
      <w:headerReference w:type="default" r:id="rId9"/>
      <w:pgSz w:w="12240" w:h="15840"/>
      <w:pgMar w:top="1247" w:right="1134" w:bottom="7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60000" cy="28546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60000" cy="28546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