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1C" w:rsidRPr="005E1C84" w:rsidRDefault="00E443A7">
      <w:pPr>
        <w:rPr>
          <w:rFonts w:ascii="华文楷体" w:eastAsia="华文楷体" w:hAnsi="华文楷体"/>
          <w:b/>
          <w:lang w:eastAsia="zh-CN"/>
        </w:rPr>
      </w:pPr>
      <w:r w:rsidRPr="005E1C84">
        <w:rPr>
          <w:rFonts w:ascii="华文楷体" w:eastAsia="华文楷体" w:hAnsi="华文楷体" w:hint="eastAsia"/>
          <w:b/>
          <w:lang w:eastAsia="zh-CN"/>
        </w:rPr>
        <w:t>香港IPO市场分析</w:t>
      </w:r>
      <w:r w:rsidR="005E1C84" w:rsidRPr="005E1C84">
        <w:rPr>
          <w:rFonts w:ascii="华文楷体" w:eastAsia="华文楷体" w:hAnsi="华文楷体" w:hint="eastAsia"/>
          <w:b/>
          <w:lang w:eastAsia="zh-CN"/>
        </w:rPr>
        <w:t>以及中资机构在港发展的机遇与挑战</w:t>
      </w:r>
    </w:p>
    <w:p w:rsidR="00F77A35" w:rsidRDefault="00F77A35">
      <w:pPr>
        <w:rPr>
          <w:rFonts w:ascii="华文楷体" w:eastAsia="华文楷体" w:hAnsi="华文楷体"/>
          <w:lang w:eastAsia="zh-CN"/>
        </w:rPr>
      </w:pPr>
    </w:p>
    <w:p w:rsidR="00113C9A" w:rsidRPr="00367F52" w:rsidRDefault="00B202BA">
      <w:pPr>
        <w:rPr>
          <w:rFonts w:ascii="华文楷体" w:eastAsia="华文楷体" w:hAnsi="华文楷体"/>
          <w:b/>
          <w:color w:val="8496B0" w:themeColor="text2" w:themeTint="99"/>
          <w:lang w:eastAsia="zh-CN"/>
        </w:rPr>
      </w:pPr>
      <w:r w:rsidRPr="00367F52">
        <w:rPr>
          <w:rFonts w:ascii="华文楷体" w:eastAsia="华文楷体" w:hAnsi="华文楷体" w:hint="eastAsia"/>
          <w:b/>
          <w:color w:val="8496B0" w:themeColor="text2" w:themeTint="99"/>
          <w:lang w:eastAsia="zh-CN"/>
        </w:rPr>
        <w:t>市场近况</w:t>
      </w:r>
    </w:p>
    <w:p w:rsidR="005E1C84" w:rsidRDefault="005E1C84">
      <w:pPr>
        <w:rPr>
          <w:rFonts w:ascii="华文楷体" w:eastAsia="华文楷体" w:hAnsi="华文楷体"/>
          <w:lang w:eastAsia="zh-CN"/>
        </w:rPr>
      </w:pPr>
    </w:p>
    <w:p w:rsidR="00113C9A" w:rsidRDefault="00B61CC1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香港IPO市场在2</w:t>
      </w:r>
      <w:r>
        <w:rPr>
          <w:rFonts w:ascii="华文楷体" w:eastAsia="华文楷体" w:hAnsi="华文楷体"/>
          <w:lang w:eastAsia="zh-CN"/>
        </w:rPr>
        <w:t>020</w:t>
      </w:r>
      <w:r>
        <w:rPr>
          <w:rFonts w:ascii="华文楷体" w:eastAsia="华文楷体" w:hAnsi="华文楷体" w:hint="eastAsia"/>
          <w:lang w:eastAsia="zh-CN"/>
        </w:rPr>
        <w:t>年达到近1</w:t>
      </w:r>
      <w:r>
        <w:rPr>
          <w:rFonts w:ascii="华文楷体" w:eastAsia="华文楷体" w:hAnsi="华文楷体"/>
          <w:lang w:eastAsia="zh-CN"/>
        </w:rPr>
        <w:t>0</w:t>
      </w:r>
      <w:r w:rsidR="005E1C84">
        <w:rPr>
          <w:rFonts w:ascii="华文楷体" w:eastAsia="华文楷体" w:hAnsi="华文楷体" w:hint="eastAsia"/>
          <w:lang w:eastAsia="zh-CN"/>
        </w:rPr>
        <w:t>年来的高峰后逐渐走弱</w:t>
      </w:r>
      <w:r>
        <w:rPr>
          <w:rFonts w:ascii="华文楷体" w:eastAsia="华文楷体" w:hAnsi="华文楷体" w:hint="eastAsia"/>
          <w:lang w:eastAsia="zh-CN"/>
        </w:rPr>
        <w:t>，2</w:t>
      </w:r>
      <w:r>
        <w:rPr>
          <w:rFonts w:ascii="华文楷体" w:eastAsia="华文楷体" w:hAnsi="华文楷体"/>
          <w:lang w:eastAsia="zh-CN"/>
        </w:rPr>
        <w:t>022</w:t>
      </w:r>
      <w:r w:rsidR="005E1C84">
        <w:rPr>
          <w:rFonts w:ascii="华文楷体" w:eastAsia="华文楷体" w:hAnsi="华文楷体" w:hint="eastAsia"/>
          <w:lang w:eastAsia="zh-CN"/>
        </w:rPr>
        <w:t>年全</w:t>
      </w:r>
      <w:r>
        <w:rPr>
          <w:rFonts w:ascii="华文楷体" w:eastAsia="华文楷体" w:hAnsi="华文楷体" w:hint="eastAsia"/>
          <w:lang w:eastAsia="zh-CN"/>
        </w:rPr>
        <w:t>港IPO市场募资总额为1</w:t>
      </w:r>
      <w:r>
        <w:rPr>
          <w:rFonts w:ascii="华文楷体" w:eastAsia="华文楷体" w:hAnsi="华文楷体"/>
          <w:lang w:eastAsia="zh-CN"/>
        </w:rPr>
        <w:t>028</w:t>
      </w:r>
      <w:r>
        <w:rPr>
          <w:rFonts w:ascii="华文楷体" w:eastAsia="华文楷体" w:hAnsi="华文楷体" w:hint="eastAsia"/>
          <w:lang w:eastAsia="zh-CN"/>
        </w:rPr>
        <w:t>亿港元，同比下滑</w:t>
      </w:r>
      <w:r>
        <w:rPr>
          <w:rFonts w:ascii="华文楷体" w:eastAsia="华文楷体" w:hAnsi="华文楷体"/>
          <w:lang w:eastAsia="zh-CN"/>
        </w:rPr>
        <w:t>68</w:t>
      </w:r>
      <w:r>
        <w:rPr>
          <w:rFonts w:ascii="华文楷体" w:eastAsia="华文楷体" w:hAnsi="华文楷体" w:hint="eastAsia"/>
          <w:lang w:eastAsia="zh-CN"/>
        </w:rPr>
        <w:t>%，较2</w:t>
      </w:r>
      <w:r>
        <w:rPr>
          <w:rFonts w:ascii="华文楷体" w:eastAsia="华文楷体" w:hAnsi="华文楷体"/>
          <w:lang w:eastAsia="zh-CN"/>
        </w:rPr>
        <w:t>020</w:t>
      </w:r>
      <w:r>
        <w:rPr>
          <w:rFonts w:ascii="华文楷体" w:eastAsia="华文楷体" w:hAnsi="华文楷体" w:hint="eastAsia"/>
          <w:lang w:eastAsia="zh-CN"/>
        </w:rPr>
        <w:t>年高峰时期更是下降七成有余。在新股数量方面，2</w:t>
      </w:r>
      <w:r>
        <w:rPr>
          <w:rFonts w:ascii="华文楷体" w:eastAsia="华文楷体" w:hAnsi="华文楷体"/>
          <w:lang w:eastAsia="zh-CN"/>
        </w:rPr>
        <w:t>018</w:t>
      </w:r>
      <w:r>
        <w:rPr>
          <w:rFonts w:ascii="华文楷体" w:eastAsia="华文楷体" w:hAnsi="华文楷体" w:hint="eastAsia"/>
          <w:lang w:eastAsia="zh-CN"/>
        </w:rPr>
        <w:t>年巅峰时期</w:t>
      </w:r>
      <w:r w:rsidR="008B44AC">
        <w:rPr>
          <w:rFonts w:ascii="华文楷体" w:eastAsia="华文楷体" w:hAnsi="华文楷体" w:hint="eastAsia"/>
          <w:lang w:eastAsia="zh-CN"/>
        </w:rPr>
        <w:t>IPO数量</w:t>
      </w:r>
      <w:r>
        <w:rPr>
          <w:rFonts w:ascii="华文楷体" w:eastAsia="华文楷体" w:hAnsi="华文楷体" w:hint="eastAsia"/>
          <w:lang w:eastAsia="zh-CN"/>
        </w:rPr>
        <w:t>达到2</w:t>
      </w:r>
      <w:r w:rsidR="008B44AC">
        <w:rPr>
          <w:rFonts w:ascii="华文楷体" w:eastAsia="华文楷体" w:hAnsi="华文楷体"/>
          <w:lang w:eastAsia="zh-CN"/>
        </w:rPr>
        <w:t>08</w:t>
      </w:r>
      <w:r>
        <w:rPr>
          <w:rFonts w:ascii="华文楷体" w:eastAsia="华文楷体" w:hAnsi="华文楷体" w:hint="eastAsia"/>
          <w:lang w:eastAsia="zh-CN"/>
        </w:rPr>
        <w:t>只，</w:t>
      </w:r>
      <w:r w:rsidR="008B44AC">
        <w:rPr>
          <w:rFonts w:ascii="华文楷体" w:eastAsia="华文楷体" w:hAnsi="华文楷体" w:hint="eastAsia"/>
          <w:lang w:eastAsia="zh-CN"/>
        </w:rPr>
        <w:t>而后同样一路下滑</w:t>
      </w:r>
      <w:r>
        <w:rPr>
          <w:rFonts w:ascii="华文楷体" w:eastAsia="华文楷体" w:hAnsi="华文楷体" w:hint="eastAsia"/>
          <w:lang w:eastAsia="zh-CN"/>
        </w:rPr>
        <w:t>，至2</w:t>
      </w:r>
      <w:r>
        <w:rPr>
          <w:rFonts w:ascii="华文楷体" w:eastAsia="华文楷体" w:hAnsi="华文楷体"/>
          <w:lang w:eastAsia="zh-CN"/>
        </w:rPr>
        <w:t>022</w:t>
      </w:r>
      <w:r>
        <w:rPr>
          <w:rFonts w:ascii="华文楷体" w:eastAsia="华文楷体" w:hAnsi="华文楷体" w:hint="eastAsia"/>
          <w:lang w:eastAsia="zh-CN"/>
        </w:rPr>
        <w:t>年新股数量仅为</w:t>
      </w:r>
      <w:r w:rsidR="008B44AC">
        <w:rPr>
          <w:rFonts w:ascii="华文楷体" w:eastAsia="华文楷体" w:hAnsi="华文楷体"/>
          <w:lang w:eastAsia="zh-CN"/>
        </w:rPr>
        <w:t>75</w:t>
      </w:r>
      <w:r>
        <w:rPr>
          <w:rFonts w:ascii="华文楷体" w:eastAsia="华文楷体" w:hAnsi="华文楷体" w:hint="eastAsia"/>
          <w:lang w:eastAsia="zh-CN"/>
        </w:rPr>
        <w:t>只，较</w:t>
      </w:r>
      <w:r w:rsidR="005E1C84">
        <w:rPr>
          <w:rFonts w:ascii="华文楷体" w:eastAsia="华文楷体" w:hAnsi="华文楷体" w:hint="eastAsia"/>
          <w:lang w:eastAsia="zh-CN"/>
        </w:rPr>
        <w:t>2</w:t>
      </w:r>
      <w:r w:rsidR="005E1C84">
        <w:rPr>
          <w:rFonts w:ascii="华文楷体" w:eastAsia="华文楷体" w:hAnsi="华文楷体"/>
          <w:lang w:eastAsia="zh-CN"/>
        </w:rPr>
        <w:t>0</w:t>
      </w:r>
      <w:r>
        <w:rPr>
          <w:rFonts w:ascii="华文楷体" w:eastAsia="华文楷体" w:hAnsi="华文楷体"/>
          <w:lang w:eastAsia="zh-CN"/>
        </w:rPr>
        <w:t>18</w:t>
      </w:r>
      <w:r w:rsidR="008B44AC">
        <w:rPr>
          <w:rFonts w:ascii="华文楷体" w:eastAsia="华文楷体" w:hAnsi="华文楷体" w:hint="eastAsia"/>
          <w:lang w:eastAsia="zh-CN"/>
        </w:rPr>
        <w:t>年下降</w:t>
      </w:r>
      <w:r w:rsidR="008B44AC">
        <w:rPr>
          <w:rFonts w:ascii="华文楷体" w:eastAsia="华文楷体" w:hAnsi="华文楷体"/>
          <w:lang w:eastAsia="zh-CN"/>
        </w:rPr>
        <w:t>64</w:t>
      </w:r>
      <w:r>
        <w:rPr>
          <w:rFonts w:ascii="华文楷体" w:eastAsia="华文楷体" w:hAnsi="华文楷体" w:hint="eastAsia"/>
          <w:lang w:eastAsia="zh-CN"/>
        </w:rPr>
        <w:t>%。</w:t>
      </w:r>
    </w:p>
    <w:p w:rsidR="00B61CC1" w:rsidRDefault="00B61CC1">
      <w:pPr>
        <w:rPr>
          <w:rFonts w:ascii="华文楷体" w:eastAsia="华文楷体" w:hAnsi="华文楷体"/>
          <w:lang w:eastAsia="zh-CN"/>
        </w:rPr>
      </w:pPr>
    </w:p>
    <w:p w:rsidR="00825FAB" w:rsidRDefault="00B61CC1" w:rsidP="00B61CC1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进入2</w:t>
      </w:r>
      <w:r>
        <w:rPr>
          <w:rFonts w:ascii="华文楷体" w:eastAsia="华文楷体" w:hAnsi="华文楷体"/>
          <w:lang w:eastAsia="zh-CN"/>
        </w:rPr>
        <w:t>023</w:t>
      </w:r>
      <w:r>
        <w:rPr>
          <w:rFonts w:ascii="华文楷体" w:eastAsia="华文楷体" w:hAnsi="华文楷体" w:hint="eastAsia"/>
          <w:lang w:eastAsia="zh-CN"/>
        </w:rPr>
        <w:t>年，</w:t>
      </w:r>
      <w:r w:rsidRPr="00B61CC1">
        <w:rPr>
          <w:rFonts w:ascii="华文楷体" w:eastAsia="华文楷体" w:hAnsi="华文楷体" w:hint="eastAsia"/>
          <w:lang w:eastAsia="zh-CN"/>
        </w:rPr>
        <w:t>香港</w:t>
      </w:r>
      <w:r w:rsidRPr="00B61CC1">
        <w:rPr>
          <w:rFonts w:ascii="华文楷体" w:eastAsia="华文楷体" w:hAnsi="华文楷体"/>
          <w:lang w:eastAsia="zh-CN"/>
        </w:rPr>
        <w:t>IPO</w:t>
      </w:r>
      <w:r w:rsidR="005E1C84">
        <w:rPr>
          <w:rFonts w:ascii="华文楷体" w:eastAsia="华文楷体" w:hAnsi="华文楷体" w:hint="eastAsia"/>
          <w:lang w:eastAsia="zh-CN"/>
        </w:rPr>
        <w:t>市场初步显现复苏的迹象，</w:t>
      </w:r>
      <w:r>
        <w:rPr>
          <w:rFonts w:ascii="华文楷体" w:eastAsia="华文楷体" w:hAnsi="华文楷体" w:hint="eastAsia"/>
          <w:lang w:eastAsia="zh-CN"/>
        </w:rPr>
        <w:t>上半年港股新股数量</w:t>
      </w:r>
      <w:r w:rsidR="00892989">
        <w:rPr>
          <w:rFonts w:ascii="华文楷体" w:eastAsia="华文楷体" w:hAnsi="华文楷体" w:hint="eastAsia"/>
          <w:lang w:eastAsia="zh-CN"/>
        </w:rPr>
        <w:t>为3</w:t>
      </w:r>
      <w:r w:rsidR="00892989">
        <w:rPr>
          <w:rFonts w:ascii="华文楷体" w:eastAsia="华文楷体" w:hAnsi="华文楷体"/>
          <w:lang w:eastAsia="zh-CN"/>
        </w:rPr>
        <w:t>1</w:t>
      </w:r>
      <w:r w:rsidR="00892989">
        <w:rPr>
          <w:rFonts w:ascii="华文楷体" w:eastAsia="华文楷体" w:hAnsi="华文楷体" w:hint="eastAsia"/>
          <w:lang w:eastAsia="zh-CN"/>
        </w:rPr>
        <w:t>只，</w:t>
      </w:r>
      <w:r>
        <w:rPr>
          <w:rFonts w:ascii="华文楷体" w:eastAsia="华文楷体" w:hAnsi="华文楷体" w:hint="eastAsia"/>
          <w:lang w:eastAsia="zh-CN"/>
        </w:rPr>
        <w:t>同比增长</w:t>
      </w:r>
      <w:r w:rsidR="00892989">
        <w:rPr>
          <w:rFonts w:ascii="华文楷体" w:eastAsia="华文楷体" w:hAnsi="华文楷体" w:hint="eastAsia"/>
          <w:lang w:eastAsia="zh-CN"/>
        </w:rPr>
        <w:t>2</w:t>
      </w:r>
      <w:r w:rsidR="00892989">
        <w:rPr>
          <w:rFonts w:ascii="华文楷体" w:eastAsia="华文楷体" w:hAnsi="华文楷体"/>
          <w:lang w:eastAsia="zh-CN"/>
        </w:rPr>
        <w:t>9</w:t>
      </w:r>
      <w:r w:rsidRPr="00B61CC1">
        <w:rPr>
          <w:rFonts w:ascii="华文楷体" w:eastAsia="华文楷体" w:hAnsi="华文楷体"/>
          <w:lang w:eastAsia="zh-CN"/>
        </w:rPr>
        <w:t>%</w:t>
      </w:r>
      <w:r w:rsidR="00892989">
        <w:rPr>
          <w:rFonts w:ascii="华文楷体" w:eastAsia="华文楷体" w:hAnsi="华文楷体" w:hint="eastAsia"/>
          <w:lang w:eastAsia="zh-CN"/>
        </w:rPr>
        <w:t>，但融资额仅录得</w:t>
      </w:r>
      <w:r w:rsidR="00892989">
        <w:rPr>
          <w:rFonts w:ascii="华文楷体" w:eastAsia="华文楷体" w:hAnsi="华文楷体"/>
          <w:lang w:eastAsia="zh-CN"/>
        </w:rPr>
        <w:t>178</w:t>
      </w:r>
      <w:r>
        <w:rPr>
          <w:rFonts w:ascii="华文楷体" w:eastAsia="华文楷体" w:hAnsi="华文楷体" w:hint="eastAsia"/>
          <w:lang w:eastAsia="zh-CN"/>
        </w:rPr>
        <w:t>亿港元，同比</w:t>
      </w:r>
      <w:r w:rsidR="00892989">
        <w:rPr>
          <w:rFonts w:ascii="华文楷体" w:eastAsia="华文楷体" w:hAnsi="华文楷体" w:hint="eastAsia"/>
          <w:lang w:eastAsia="zh-CN"/>
        </w:rPr>
        <w:t>微升</w:t>
      </w:r>
      <w:r w:rsidR="00892989">
        <w:rPr>
          <w:rFonts w:ascii="华文楷体" w:eastAsia="华文楷体" w:hAnsi="华文楷体"/>
          <w:lang w:eastAsia="zh-CN"/>
        </w:rPr>
        <w:t>1</w:t>
      </w:r>
      <w:r w:rsidRPr="00B61CC1">
        <w:rPr>
          <w:rFonts w:ascii="华文楷体" w:eastAsia="华文楷体" w:hAnsi="华文楷体"/>
          <w:lang w:eastAsia="zh-CN"/>
        </w:rPr>
        <w:t>%</w:t>
      </w:r>
      <w:r w:rsidRPr="00B61CC1">
        <w:rPr>
          <w:rFonts w:ascii="华文楷体" w:eastAsia="华文楷体" w:hAnsi="华文楷体" w:hint="eastAsia"/>
          <w:lang w:eastAsia="zh-CN"/>
        </w:rPr>
        <w:t>。</w:t>
      </w:r>
      <w:r w:rsidR="00892989">
        <w:rPr>
          <w:rFonts w:ascii="华文楷体" w:eastAsia="华文楷体" w:hAnsi="华文楷体" w:hint="eastAsia"/>
          <w:lang w:eastAsia="zh-CN"/>
        </w:rPr>
        <w:t>融资规模方面，</w:t>
      </w:r>
      <w:r w:rsidR="00825FAB">
        <w:rPr>
          <w:rFonts w:ascii="华文楷体" w:eastAsia="华文楷体" w:hAnsi="华文楷体" w:hint="eastAsia"/>
          <w:lang w:eastAsia="zh-CN"/>
        </w:rPr>
        <w:t>上半年香港主板未有极大规模（1</w:t>
      </w:r>
      <w:r w:rsidR="00825FAB">
        <w:rPr>
          <w:rFonts w:ascii="华文楷体" w:eastAsia="华文楷体" w:hAnsi="华文楷体"/>
          <w:lang w:eastAsia="zh-CN"/>
        </w:rPr>
        <w:t>0</w:t>
      </w:r>
      <w:r w:rsidR="00825FAB">
        <w:rPr>
          <w:rFonts w:ascii="华文楷体" w:eastAsia="华文楷体" w:hAnsi="华文楷体" w:hint="eastAsia"/>
          <w:lang w:eastAsia="zh-CN"/>
        </w:rPr>
        <w:t>亿美元或以上）新股上市，仅录得1</w:t>
      </w:r>
      <w:r w:rsidR="00892989">
        <w:rPr>
          <w:rFonts w:ascii="华文楷体" w:eastAsia="华文楷体" w:hAnsi="华文楷体" w:hint="eastAsia"/>
          <w:lang w:eastAsia="zh-CN"/>
        </w:rPr>
        <w:t>只大型</w:t>
      </w:r>
      <w:r w:rsidR="00825FAB">
        <w:rPr>
          <w:rFonts w:ascii="华文楷体" w:eastAsia="华文楷体" w:hAnsi="华文楷体" w:hint="eastAsia"/>
          <w:lang w:eastAsia="zh-CN"/>
        </w:rPr>
        <w:t>（5</w:t>
      </w:r>
      <w:r w:rsidR="00825FAB">
        <w:rPr>
          <w:rFonts w:ascii="华文楷体" w:eastAsia="华文楷体" w:hAnsi="华文楷体"/>
          <w:lang w:eastAsia="zh-CN"/>
        </w:rPr>
        <w:t>-10</w:t>
      </w:r>
      <w:r w:rsidR="00825FAB">
        <w:rPr>
          <w:rFonts w:ascii="华文楷体" w:eastAsia="华文楷体" w:hAnsi="华文楷体" w:hint="eastAsia"/>
          <w:lang w:eastAsia="zh-CN"/>
        </w:rPr>
        <w:t>亿美元）新股上市，其</w:t>
      </w:r>
      <w:r w:rsidR="00892989">
        <w:rPr>
          <w:rFonts w:ascii="华文楷体" w:eastAsia="华文楷体" w:hAnsi="华文楷体" w:hint="eastAsia"/>
          <w:lang w:eastAsia="zh-CN"/>
        </w:rPr>
        <w:t>融资规模约</w:t>
      </w:r>
      <w:r w:rsidR="00825FAB">
        <w:rPr>
          <w:rFonts w:ascii="华文楷体" w:eastAsia="华文楷体" w:hAnsi="华文楷体" w:hint="eastAsia"/>
          <w:lang w:eastAsia="zh-CN"/>
        </w:rPr>
        <w:t>5</w:t>
      </w:r>
      <w:r w:rsidR="00825FAB">
        <w:rPr>
          <w:rFonts w:ascii="华文楷体" w:eastAsia="华文楷体" w:hAnsi="华文楷体"/>
          <w:lang w:eastAsia="zh-CN"/>
        </w:rPr>
        <w:t>3</w:t>
      </w:r>
      <w:r w:rsidR="00825FAB">
        <w:rPr>
          <w:rFonts w:ascii="华文楷体" w:eastAsia="华文楷体" w:hAnsi="华文楷体" w:hint="eastAsia"/>
          <w:lang w:eastAsia="zh-CN"/>
        </w:rPr>
        <w:t>亿港元，系于2</w:t>
      </w:r>
      <w:r w:rsidR="00825FAB">
        <w:rPr>
          <w:rFonts w:ascii="华文楷体" w:eastAsia="华文楷体" w:hAnsi="华文楷体"/>
          <w:lang w:eastAsia="zh-CN"/>
        </w:rPr>
        <w:t>023</w:t>
      </w:r>
      <w:r w:rsidR="00825FAB">
        <w:rPr>
          <w:rFonts w:ascii="华文楷体" w:eastAsia="华文楷体" w:hAnsi="华文楷体" w:hint="eastAsia"/>
          <w:lang w:eastAsia="zh-CN"/>
        </w:rPr>
        <w:t>年4月2</w:t>
      </w:r>
      <w:r w:rsidR="00825FAB">
        <w:rPr>
          <w:rFonts w:ascii="华文楷体" w:eastAsia="华文楷体" w:hAnsi="华文楷体"/>
          <w:lang w:eastAsia="zh-CN"/>
        </w:rPr>
        <w:t>7</w:t>
      </w:r>
      <w:r w:rsidR="00825FAB">
        <w:rPr>
          <w:rFonts w:ascii="华文楷体" w:eastAsia="华文楷体" w:hAnsi="华文楷体" w:hint="eastAsia"/>
          <w:lang w:eastAsia="zh-CN"/>
        </w:rPr>
        <w:t>日挂牌交易的珍酒李渡（</w:t>
      </w:r>
      <w:r w:rsidR="00825FAB">
        <w:rPr>
          <w:rFonts w:ascii="华文楷体" w:eastAsia="华文楷体" w:hAnsi="华文楷体"/>
          <w:lang w:eastAsia="zh-CN"/>
        </w:rPr>
        <w:t>6979.</w:t>
      </w:r>
      <w:r w:rsidR="00825FAB">
        <w:rPr>
          <w:rFonts w:ascii="华文楷体" w:eastAsia="华文楷体" w:hAnsi="华文楷体" w:hint="eastAsia"/>
          <w:lang w:eastAsia="zh-CN"/>
        </w:rPr>
        <w:t>HK）</w:t>
      </w:r>
      <w:r w:rsidR="00DD32F9">
        <w:rPr>
          <w:rFonts w:ascii="华文楷体" w:eastAsia="华文楷体" w:hAnsi="华文楷体" w:hint="eastAsia"/>
          <w:lang w:eastAsia="zh-CN"/>
        </w:rPr>
        <w:t>，2亿美元以下</w:t>
      </w:r>
      <w:r w:rsidR="00892989">
        <w:rPr>
          <w:rFonts w:ascii="华文楷体" w:eastAsia="华文楷体" w:hAnsi="华文楷体" w:hint="eastAsia"/>
          <w:lang w:eastAsia="zh-CN"/>
        </w:rPr>
        <w:t>的小规模新股占比</w:t>
      </w:r>
      <w:r w:rsidR="00DD32F9">
        <w:rPr>
          <w:rFonts w:ascii="华文楷体" w:eastAsia="华文楷体" w:hAnsi="华文楷体" w:hint="eastAsia"/>
          <w:lang w:eastAsia="zh-CN"/>
        </w:rPr>
        <w:t>超过6</w:t>
      </w:r>
      <w:r w:rsidR="00DD32F9">
        <w:rPr>
          <w:rFonts w:ascii="华文楷体" w:eastAsia="华文楷体" w:hAnsi="华文楷体"/>
          <w:lang w:eastAsia="zh-CN"/>
        </w:rPr>
        <w:t>0%</w:t>
      </w:r>
      <w:r w:rsidR="00B202BA">
        <w:rPr>
          <w:rFonts w:ascii="华文楷体" w:eastAsia="华文楷体" w:hAnsi="华文楷体" w:hint="eastAsia"/>
          <w:lang w:eastAsia="zh-CN"/>
        </w:rPr>
        <w:t>。2</w:t>
      </w:r>
      <w:r w:rsidR="00B202BA">
        <w:rPr>
          <w:rFonts w:ascii="华文楷体" w:eastAsia="华文楷体" w:hAnsi="华文楷体"/>
          <w:lang w:eastAsia="zh-CN"/>
        </w:rPr>
        <w:t>023</w:t>
      </w:r>
      <w:r w:rsidR="00B202BA">
        <w:rPr>
          <w:rFonts w:ascii="华文楷体" w:eastAsia="华文楷体" w:hAnsi="华文楷体" w:hint="eastAsia"/>
          <w:lang w:eastAsia="zh-CN"/>
        </w:rPr>
        <w:t>年上半年香港IPO市场</w:t>
      </w:r>
      <w:r w:rsidR="00DD32F9">
        <w:rPr>
          <w:rFonts w:ascii="华文楷体" w:eastAsia="华文楷体" w:hAnsi="华文楷体" w:hint="eastAsia"/>
          <w:lang w:eastAsia="zh-CN"/>
        </w:rPr>
        <w:t>平均融资规模约</w:t>
      </w:r>
      <w:r w:rsidR="008B44AC">
        <w:rPr>
          <w:rFonts w:ascii="华文楷体" w:eastAsia="华文楷体" w:hAnsi="华文楷体"/>
          <w:lang w:eastAsia="zh-CN"/>
        </w:rPr>
        <w:t>5.7</w:t>
      </w:r>
      <w:r w:rsidR="00DD32F9">
        <w:rPr>
          <w:rFonts w:ascii="华文楷体" w:eastAsia="华文楷体" w:hAnsi="华文楷体" w:hint="eastAsia"/>
          <w:lang w:eastAsia="zh-CN"/>
        </w:rPr>
        <w:t>亿港元</w:t>
      </w:r>
      <w:r w:rsidR="00892989">
        <w:rPr>
          <w:rFonts w:ascii="华文楷体" w:eastAsia="华文楷体" w:hAnsi="华文楷体" w:hint="eastAsia"/>
          <w:lang w:eastAsia="zh-CN"/>
        </w:rPr>
        <w:t>，同比继续下滑</w:t>
      </w:r>
      <w:r w:rsidR="008B44AC">
        <w:rPr>
          <w:rFonts w:ascii="华文楷体" w:eastAsia="华文楷体" w:hAnsi="华文楷体"/>
          <w:lang w:eastAsia="zh-CN"/>
        </w:rPr>
        <w:t>22</w:t>
      </w:r>
      <w:r w:rsidR="00892989">
        <w:rPr>
          <w:rFonts w:ascii="华文楷体" w:eastAsia="华文楷体" w:hAnsi="华文楷体" w:hint="eastAsia"/>
          <w:lang w:eastAsia="zh-CN"/>
        </w:rPr>
        <w:t>%</w:t>
      </w:r>
      <w:r w:rsidR="008B44AC">
        <w:rPr>
          <w:rFonts w:ascii="华文楷体" w:eastAsia="华文楷体" w:hAnsi="华文楷体" w:hint="eastAsia"/>
          <w:lang w:eastAsia="zh-CN"/>
        </w:rPr>
        <w:t>，并</w:t>
      </w:r>
      <w:r w:rsidR="00892989">
        <w:rPr>
          <w:rFonts w:ascii="华文楷体" w:eastAsia="华文楷体" w:hAnsi="华文楷体" w:hint="eastAsia"/>
          <w:lang w:eastAsia="zh-CN"/>
        </w:rPr>
        <w:t>录得</w:t>
      </w:r>
      <w:r w:rsidR="00DD32F9">
        <w:rPr>
          <w:rFonts w:ascii="华文楷体" w:eastAsia="华文楷体" w:hAnsi="华文楷体" w:hint="eastAsia"/>
          <w:lang w:eastAsia="zh-CN"/>
        </w:rPr>
        <w:t>过去十年以来最低。</w:t>
      </w:r>
      <w:r w:rsidR="00B94864">
        <w:rPr>
          <w:rFonts w:ascii="华文楷体" w:eastAsia="华文楷体" w:hAnsi="华文楷体" w:hint="eastAsia"/>
          <w:lang w:eastAsia="zh-CN"/>
        </w:rPr>
        <w:t>GEM继续没有录得任何新股上市。</w:t>
      </w:r>
    </w:p>
    <w:p w:rsidR="00DD32F9" w:rsidRDefault="00DD32F9" w:rsidP="00B61CC1">
      <w:pPr>
        <w:rPr>
          <w:rFonts w:ascii="华文楷体" w:eastAsia="华文楷体" w:hAnsi="华文楷体"/>
          <w:lang w:eastAsia="zh-CN"/>
        </w:rPr>
      </w:pPr>
    </w:p>
    <w:p w:rsidR="007718B3" w:rsidRDefault="00892989" w:rsidP="00B61CC1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以</w:t>
      </w:r>
      <w:r w:rsidR="00DD32F9">
        <w:rPr>
          <w:rFonts w:ascii="华文楷体" w:eastAsia="华文楷体" w:hAnsi="华文楷体" w:hint="eastAsia"/>
          <w:lang w:eastAsia="zh-CN"/>
        </w:rPr>
        <w:t>新股发售价格来看，</w:t>
      </w:r>
      <w:r w:rsidR="00B202BA">
        <w:rPr>
          <w:rFonts w:ascii="华文楷体" w:eastAsia="华文楷体" w:hAnsi="华文楷体" w:hint="eastAsia"/>
          <w:lang w:eastAsia="zh-CN"/>
        </w:rPr>
        <w:t>上半年</w:t>
      </w:r>
      <w:r w:rsidR="00DD32F9">
        <w:rPr>
          <w:rFonts w:ascii="华文楷体" w:eastAsia="华文楷体" w:hAnsi="华文楷体" w:hint="eastAsia"/>
          <w:lang w:eastAsia="zh-CN"/>
        </w:rPr>
        <w:t>整体情况较</w:t>
      </w:r>
      <w:r w:rsidR="00DD32F9">
        <w:rPr>
          <w:rFonts w:ascii="华文楷体" w:eastAsia="华文楷体" w:hAnsi="华文楷体"/>
          <w:lang w:eastAsia="zh-CN"/>
        </w:rPr>
        <w:t>2022</w:t>
      </w:r>
      <w:r w:rsidR="00DD32F9">
        <w:rPr>
          <w:rFonts w:ascii="华文楷体" w:eastAsia="华文楷体" w:hAnsi="华文楷体" w:hint="eastAsia"/>
          <w:lang w:eastAsia="zh-CN"/>
        </w:rPr>
        <w:t>年</w:t>
      </w:r>
      <w:r w:rsidR="007718B3">
        <w:rPr>
          <w:rFonts w:ascii="华文楷体" w:eastAsia="华文楷体" w:hAnsi="华文楷体" w:hint="eastAsia"/>
          <w:lang w:eastAsia="zh-CN"/>
        </w:rPr>
        <w:t>同期</w:t>
      </w:r>
      <w:r w:rsidR="00DD32F9">
        <w:rPr>
          <w:rFonts w:ascii="华文楷体" w:eastAsia="华文楷体" w:hAnsi="华文楷体" w:hint="eastAsia"/>
          <w:lang w:eastAsia="zh-CN"/>
        </w:rPr>
        <w:t>有所改善，以发售价范围下限定价的新股比例较去年同期减少1</w:t>
      </w:r>
      <w:r w:rsidR="00DD32F9">
        <w:rPr>
          <w:rFonts w:ascii="华文楷体" w:eastAsia="华文楷体" w:hAnsi="华文楷体"/>
          <w:lang w:eastAsia="zh-CN"/>
        </w:rPr>
        <w:t>2</w:t>
      </w:r>
      <w:r w:rsidR="00DD32F9">
        <w:rPr>
          <w:rFonts w:ascii="华文楷体" w:eastAsia="华文楷体" w:hAnsi="华文楷体" w:hint="eastAsia"/>
          <w:lang w:eastAsia="zh-CN"/>
        </w:rPr>
        <w:t>个百分点，等于或高于发售价范围中间值定价的比例在今年达到2</w:t>
      </w:r>
      <w:r w:rsidR="00DD32F9">
        <w:rPr>
          <w:rFonts w:ascii="华文楷体" w:eastAsia="华文楷体" w:hAnsi="华文楷体"/>
          <w:lang w:eastAsia="zh-CN"/>
        </w:rPr>
        <w:t>1</w:t>
      </w:r>
      <w:r w:rsidR="00DD32F9">
        <w:rPr>
          <w:rFonts w:ascii="华文楷体" w:eastAsia="华文楷体" w:hAnsi="华文楷体" w:hint="eastAsia"/>
          <w:lang w:eastAsia="zh-CN"/>
        </w:rPr>
        <w:t>%，较去年同期提高1</w:t>
      </w:r>
      <w:r w:rsidR="00DD32F9">
        <w:rPr>
          <w:rFonts w:ascii="华文楷体" w:eastAsia="华文楷体" w:hAnsi="华文楷体"/>
          <w:lang w:eastAsia="zh-CN"/>
        </w:rPr>
        <w:t>0</w:t>
      </w:r>
      <w:r w:rsidR="00DD32F9">
        <w:rPr>
          <w:rFonts w:ascii="华文楷体" w:eastAsia="华文楷体" w:hAnsi="华文楷体" w:hint="eastAsia"/>
          <w:lang w:eastAsia="zh-CN"/>
        </w:rPr>
        <w:t>个百分点。</w:t>
      </w:r>
      <w:r w:rsidR="007718B3">
        <w:rPr>
          <w:rFonts w:ascii="华文楷体" w:eastAsia="华文楷体" w:hAnsi="华文楷体" w:hint="eastAsia"/>
          <w:lang w:eastAsia="zh-CN"/>
        </w:rPr>
        <w:t>IPO市场的行业偏好同样出现变化，从新股数量来看，今年上半年TMT、消费行业以3</w:t>
      </w:r>
      <w:r w:rsidR="007718B3">
        <w:rPr>
          <w:rFonts w:ascii="华文楷体" w:eastAsia="华文楷体" w:hAnsi="华文楷体"/>
          <w:lang w:eastAsia="zh-CN"/>
        </w:rPr>
        <w:t>2</w:t>
      </w:r>
      <w:r w:rsidR="007718B3">
        <w:rPr>
          <w:rFonts w:ascii="华文楷体" w:eastAsia="华文楷体" w:hAnsi="华文楷体" w:hint="eastAsia"/>
          <w:lang w:eastAsia="zh-CN"/>
        </w:rPr>
        <w:t>%、2</w:t>
      </w:r>
      <w:r w:rsidR="007718B3">
        <w:rPr>
          <w:rFonts w:ascii="华文楷体" w:eastAsia="华文楷体" w:hAnsi="华文楷体"/>
          <w:lang w:eastAsia="zh-CN"/>
        </w:rPr>
        <w:t>6</w:t>
      </w:r>
      <w:r w:rsidR="007718B3">
        <w:rPr>
          <w:rFonts w:ascii="华文楷体" w:eastAsia="华文楷体" w:hAnsi="华文楷体" w:hint="eastAsia"/>
          <w:lang w:eastAsia="zh-CN"/>
        </w:rPr>
        <w:t>%的比例成为IPO市场的双主导，而去年同期的两大热门行业分别是</w:t>
      </w:r>
      <w:r w:rsidR="00230021">
        <w:rPr>
          <w:rFonts w:ascii="华文楷体" w:eastAsia="华文楷体" w:hAnsi="华文楷体" w:hint="eastAsia"/>
          <w:lang w:eastAsia="zh-CN"/>
        </w:rPr>
        <w:t>TMT和</w:t>
      </w:r>
      <w:r w:rsidR="007718B3">
        <w:rPr>
          <w:rFonts w:ascii="华文楷体" w:eastAsia="华文楷体" w:hAnsi="华文楷体" w:hint="eastAsia"/>
          <w:lang w:eastAsia="zh-CN"/>
        </w:rPr>
        <w:t>医疗</w:t>
      </w:r>
      <w:r w:rsidR="00230021">
        <w:rPr>
          <w:rFonts w:ascii="华文楷体" w:eastAsia="华文楷体" w:hAnsi="华文楷体" w:hint="eastAsia"/>
          <w:lang w:eastAsia="zh-CN"/>
        </w:rPr>
        <w:t>医药行业</w:t>
      </w:r>
      <w:r w:rsidR="007718B3">
        <w:rPr>
          <w:rFonts w:ascii="华文楷体" w:eastAsia="华文楷体" w:hAnsi="华文楷体" w:hint="eastAsia"/>
          <w:lang w:eastAsia="zh-CN"/>
        </w:rPr>
        <w:t>，占比均为2</w:t>
      </w:r>
      <w:r w:rsidR="007718B3">
        <w:rPr>
          <w:rFonts w:ascii="华文楷体" w:eastAsia="华文楷体" w:hAnsi="华文楷体"/>
          <w:lang w:eastAsia="zh-CN"/>
        </w:rPr>
        <w:t>5</w:t>
      </w:r>
      <w:r w:rsidR="007718B3">
        <w:rPr>
          <w:rFonts w:ascii="华文楷体" w:eastAsia="华文楷体" w:hAnsi="华文楷体" w:hint="eastAsia"/>
          <w:lang w:eastAsia="zh-CN"/>
        </w:rPr>
        <w:t>%；从融资规模角度看，今年上半年由珍酒李渡主导的消费行业融资额一骑绝尘，占全部融资额的近6</w:t>
      </w:r>
      <w:r w:rsidR="007718B3">
        <w:rPr>
          <w:rFonts w:ascii="华文楷体" w:eastAsia="华文楷体" w:hAnsi="华文楷体"/>
          <w:lang w:eastAsia="zh-CN"/>
        </w:rPr>
        <w:t>0</w:t>
      </w:r>
      <w:r w:rsidR="007718B3">
        <w:rPr>
          <w:rFonts w:ascii="华文楷体" w:eastAsia="华文楷体" w:hAnsi="华文楷体" w:hint="eastAsia"/>
          <w:lang w:eastAsia="zh-CN"/>
        </w:rPr>
        <w:t>%，而去年同期则呈现TMT、制造业</w:t>
      </w:r>
      <w:r w:rsidR="00230021">
        <w:rPr>
          <w:rFonts w:ascii="华文楷体" w:eastAsia="华文楷体" w:hAnsi="华文楷体" w:hint="eastAsia"/>
          <w:lang w:eastAsia="zh-CN"/>
        </w:rPr>
        <w:t>、医疗</w:t>
      </w:r>
      <w:r w:rsidR="007718B3">
        <w:rPr>
          <w:rFonts w:ascii="华文楷体" w:eastAsia="华文楷体" w:hAnsi="华文楷体" w:hint="eastAsia"/>
          <w:lang w:eastAsia="zh-CN"/>
        </w:rPr>
        <w:t>医药行业三分天下的局面，其融资额分别占总融资额</w:t>
      </w:r>
      <w:r w:rsidR="00230021">
        <w:rPr>
          <w:rFonts w:ascii="华文楷体" w:eastAsia="华文楷体" w:hAnsi="华文楷体" w:hint="eastAsia"/>
          <w:lang w:eastAsia="zh-CN"/>
        </w:rPr>
        <w:t>的</w:t>
      </w:r>
      <w:r w:rsidR="007718B3">
        <w:rPr>
          <w:rFonts w:ascii="华文楷体" w:eastAsia="华文楷体" w:hAnsi="华文楷体" w:hint="eastAsia"/>
          <w:lang w:eastAsia="zh-CN"/>
        </w:rPr>
        <w:t>2</w:t>
      </w:r>
      <w:r w:rsidR="007718B3">
        <w:rPr>
          <w:rFonts w:ascii="华文楷体" w:eastAsia="华文楷体" w:hAnsi="华文楷体"/>
          <w:lang w:eastAsia="zh-CN"/>
        </w:rPr>
        <w:t>5</w:t>
      </w:r>
      <w:r w:rsidR="007718B3">
        <w:rPr>
          <w:rFonts w:ascii="华文楷体" w:eastAsia="华文楷体" w:hAnsi="华文楷体" w:hint="eastAsia"/>
          <w:lang w:eastAsia="zh-CN"/>
        </w:rPr>
        <w:t>%左右。</w:t>
      </w:r>
    </w:p>
    <w:p w:rsidR="008B44AC" w:rsidRDefault="00B94864" w:rsidP="00B94864">
      <w:pPr>
        <w:tabs>
          <w:tab w:val="left" w:pos="876"/>
        </w:tabs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/>
          <w:lang w:eastAsia="zh-CN"/>
        </w:rPr>
        <w:tab/>
      </w:r>
    </w:p>
    <w:p w:rsidR="008B44AC" w:rsidRDefault="00BE249C" w:rsidP="00B61CC1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截至2</w:t>
      </w:r>
      <w:r>
        <w:rPr>
          <w:rFonts w:ascii="华文楷体" w:eastAsia="华文楷体" w:hAnsi="华文楷体"/>
          <w:lang w:eastAsia="zh-CN"/>
        </w:rPr>
        <w:t>023</w:t>
      </w:r>
      <w:r>
        <w:rPr>
          <w:rFonts w:ascii="华文楷体" w:eastAsia="华文楷体" w:hAnsi="华文楷体" w:hint="eastAsia"/>
          <w:lang w:eastAsia="zh-CN"/>
        </w:rPr>
        <w:t>年6月3</w:t>
      </w:r>
      <w:r>
        <w:rPr>
          <w:rFonts w:ascii="华文楷体" w:eastAsia="华文楷体" w:hAnsi="华文楷体"/>
          <w:lang w:eastAsia="zh-CN"/>
        </w:rPr>
        <w:t>0</w:t>
      </w:r>
      <w:r>
        <w:rPr>
          <w:rFonts w:ascii="华文楷体" w:eastAsia="华文楷体" w:hAnsi="华文楷体" w:hint="eastAsia"/>
          <w:lang w:eastAsia="zh-CN"/>
        </w:rPr>
        <w:t>日，港交所处理中的IPO申请合共8</w:t>
      </w:r>
      <w:r>
        <w:rPr>
          <w:rFonts w:ascii="华文楷体" w:eastAsia="华文楷体" w:hAnsi="华文楷体"/>
          <w:lang w:eastAsia="zh-CN"/>
        </w:rPr>
        <w:t>3</w:t>
      </w:r>
      <w:r>
        <w:rPr>
          <w:rFonts w:ascii="华文楷体" w:eastAsia="华文楷体" w:hAnsi="华文楷体" w:hint="eastAsia"/>
          <w:lang w:eastAsia="zh-CN"/>
        </w:rPr>
        <w:t>单，其中仅有2单为GEM上市申请</w:t>
      </w:r>
      <w:r w:rsidR="006C0DD1">
        <w:rPr>
          <w:rFonts w:ascii="华文楷体" w:eastAsia="华文楷体" w:hAnsi="华文楷体" w:hint="eastAsia"/>
          <w:lang w:eastAsia="zh-CN"/>
        </w:rPr>
        <w:t>，</w:t>
      </w:r>
      <w:r>
        <w:rPr>
          <w:rFonts w:ascii="华文楷体" w:eastAsia="华文楷体" w:hAnsi="华文楷体" w:hint="eastAsia"/>
          <w:lang w:eastAsia="zh-CN"/>
        </w:rPr>
        <w:t>原则上已经批准但仍未上市的IPO申请有</w:t>
      </w:r>
      <w:r>
        <w:rPr>
          <w:rFonts w:ascii="华文楷体" w:eastAsia="华文楷体" w:hAnsi="华文楷体"/>
          <w:lang w:eastAsia="zh-CN"/>
        </w:rPr>
        <w:t>21</w:t>
      </w:r>
      <w:r w:rsidR="006C0DD1">
        <w:rPr>
          <w:rFonts w:ascii="华文楷体" w:eastAsia="华文楷体" w:hAnsi="华文楷体" w:hint="eastAsia"/>
          <w:lang w:eastAsia="zh-CN"/>
        </w:rPr>
        <w:t>只。申请数量及处理中个案与去年同期相比</w:t>
      </w:r>
      <w:r w:rsidR="005E1C84">
        <w:rPr>
          <w:rFonts w:ascii="华文楷体" w:eastAsia="华文楷体" w:hAnsi="华文楷体" w:hint="eastAsia"/>
          <w:lang w:eastAsia="zh-CN"/>
        </w:rPr>
        <w:t>均下降</w:t>
      </w:r>
      <w:r w:rsidR="006C0DD1">
        <w:rPr>
          <w:rFonts w:ascii="华文楷体" w:eastAsia="华文楷体" w:hAnsi="华文楷体" w:hint="eastAsia"/>
          <w:lang w:eastAsia="zh-CN"/>
        </w:rPr>
        <w:t>五成</w:t>
      </w:r>
      <w:r w:rsidR="005E1C84">
        <w:rPr>
          <w:rFonts w:ascii="华文楷体" w:eastAsia="华文楷体" w:hAnsi="华文楷体" w:hint="eastAsia"/>
          <w:lang w:eastAsia="zh-CN"/>
        </w:rPr>
        <w:t>左右</w:t>
      </w:r>
      <w:r w:rsidR="006C0DD1">
        <w:rPr>
          <w:rFonts w:ascii="华文楷体" w:eastAsia="华文楷体" w:hAnsi="华文楷体" w:hint="eastAsia"/>
          <w:lang w:eastAsia="zh-CN"/>
        </w:rPr>
        <w:t>，全年新股数目及融资金额</w:t>
      </w:r>
      <w:r w:rsidR="0060483F">
        <w:rPr>
          <w:rFonts w:ascii="华文楷体" w:eastAsia="华文楷体" w:hAnsi="华文楷体" w:hint="eastAsia"/>
          <w:lang w:eastAsia="zh-CN"/>
        </w:rPr>
        <w:t>表现</w:t>
      </w:r>
      <w:r w:rsidR="006C0DD1">
        <w:rPr>
          <w:rFonts w:ascii="华文楷体" w:eastAsia="华文楷体" w:hAnsi="华文楷体" w:hint="eastAsia"/>
          <w:lang w:eastAsia="zh-CN"/>
        </w:rPr>
        <w:t>继续承压。</w:t>
      </w:r>
    </w:p>
    <w:p w:rsidR="00113C9A" w:rsidRDefault="00113C9A">
      <w:pPr>
        <w:rPr>
          <w:rFonts w:ascii="华文楷体" w:eastAsia="华文楷体" w:hAnsi="华文楷体"/>
          <w:lang w:eastAsia="zh-CN"/>
        </w:rPr>
      </w:pPr>
    </w:p>
    <w:p w:rsidR="00F77A35" w:rsidRDefault="00E14B62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/>
          <w:lang w:eastAsia="zh-CN"/>
        </w:rPr>
        <w:t>2013</w:t>
      </w:r>
      <w:r w:rsidR="00F77A35">
        <w:rPr>
          <w:rFonts w:ascii="华文楷体" w:eastAsia="华文楷体" w:hAnsi="华文楷体"/>
          <w:lang w:eastAsia="zh-CN"/>
        </w:rPr>
        <w:t>-2023</w:t>
      </w:r>
      <w:r w:rsidR="00F77A35">
        <w:rPr>
          <w:rFonts w:ascii="华文楷体" w:eastAsia="华文楷体" w:hAnsi="华文楷体" w:hint="eastAsia"/>
          <w:lang w:eastAsia="zh-CN"/>
        </w:rPr>
        <w:t>H</w:t>
      </w:r>
      <w:r w:rsidR="00F77A35">
        <w:rPr>
          <w:rFonts w:ascii="华文楷体" w:eastAsia="华文楷体" w:hAnsi="华文楷体"/>
          <w:lang w:eastAsia="zh-CN"/>
        </w:rPr>
        <w:t xml:space="preserve">1 </w:t>
      </w:r>
      <w:r w:rsidR="00F77A35">
        <w:rPr>
          <w:rFonts w:ascii="华文楷体" w:eastAsia="华文楷体" w:hAnsi="华文楷体" w:hint="eastAsia"/>
          <w:lang w:eastAsia="zh-CN"/>
        </w:rPr>
        <w:t>IPO数目、募集资金</w:t>
      </w:r>
    </w:p>
    <w:p w:rsidR="00F677E7" w:rsidRDefault="008B44AC">
      <w:pPr>
        <w:rPr>
          <w:rFonts w:ascii="华文楷体" w:eastAsia="华文楷体" w:hAnsi="华文楷体"/>
          <w:lang w:eastAsia="zh-CN"/>
        </w:rPr>
      </w:pPr>
      <w:r w:rsidRPr="008B44AC">
        <w:rPr>
          <w:rFonts w:ascii="华文楷体" w:eastAsia="华文楷体" w:hAnsi="华文楷体"/>
          <w:noProof/>
          <w:lang w:eastAsia="zh-CN"/>
        </w:rPr>
        <w:lastRenderedPageBreak/>
        <w:drawing>
          <wp:inline distT="0" distB="0" distL="0" distR="0">
            <wp:extent cx="3006547" cy="158450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523" cy="159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D2B">
        <w:rPr>
          <w:rFonts w:ascii="华文楷体" w:eastAsia="华文楷体" w:hAnsi="华文楷体"/>
          <w:lang w:eastAsia="zh-CN"/>
        </w:rPr>
        <w:br w:type="textWrapping" w:clear="all"/>
      </w:r>
    </w:p>
    <w:p w:rsidR="00D63E6A" w:rsidRPr="00367F52" w:rsidRDefault="00D63E6A" w:rsidP="00D63E6A">
      <w:pPr>
        <w:rPr>
          <w:rFonts w:ascii="华文楷体" w:eastAsia="华文楷体" w:hAnsi="华文楷体"/>
          <w:b/>
          <w:color w:val="8496B0" w:themeColor="text2" w:themeTint="99"/>
          <w:lang w:eastAsia="zh-CN"/>
        </w:rPr>
      </w:pPr>
      <w:r w:rsidRPr="00367F52">
        <w:rPr>
          <w:rFonts w:ascii="华文楷体" w:eastAsia="华文楷体" w:hAnsi="华文楷体" w:hint="eastAsia"/>
          <w:b/>
          <w:color w:val="8496B0" w:themeColor="text2" w:themeTint="99"/>
          <w:lang w:eastAsia="zh-CN"/>
        </w:rPr>
        <w:t>市场持续低迷的原因分析</w:t>
      </w:r>
    </w:p>
    <w:p w:rsidR="005E1C84" w:rsidRDefault="005E1C84">
      <w:pPr>
        <w:rPr>
          <w:rFonts w:ascii="华文楷体" w:eastAsia="华文楷体" w:hAnsi="华文楷体"/>
          <w:lang w:eastAsia="zh-CN"/>
        </w:rPr>
      </w:pPr>
    </w:p>
    <w:p w:rsidR="00D63E6A" w:rsidRDefault="00D63E6A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IPO市场的发展与二级市场</w:t>
      </w:r>
      <w:r w:rsidR="00B51C4B">
        <w:rPr>
          <w:rFonts w:ascii="华文楷体" w:eastAsia="华文楷体" w:hAnsi="华文楷体" w:hint="eastAsia"/>
          <w:lang w:eastAsia="zh-CN"/>
        </w:rPr>
        <w:t>表现</w:t>
      </w:r>
      <w:r>
        <w:rPr>
          <w:rFonts w:ascii="华文楷体" w:eastAsia="华文楷体" w:hAnsi="华文楷体" w:hint="eastAsia"/>
          <w:lang w:eastAsia="zh-CN"/>
        </w:rPr>
        <w:t>和宏观因素</w:t>
      </w:r>
      <w:r w:rsidR="00B51C4B">
        <w:rPr>
          <w:rFonts w:ascii="华文楷体" w:eastAsia="华文楷体" w:hAnsi="华文楷体" w:hint="eastAsia"/>
          <w:lang w:eastAsia="zh-CN"/>
        </w:rPr>
        <w:t>密不可分。二级市场的收益率会极大影响市场情绪和公司估值，进而影响发行人对上市时间窗口的选择。</w:t>
      </w:r>
    </w:p>
    <w:p w:rsidR="005E1C84" w:rsidRDefault="005E1C84">
      <w:pPr>
        <w:rPr>
          <w:rFonts w:ascii="华文楷体" w:eastAsia="华文楷体" w:hAnsi="华文楷体"/>
          <w:lang w:eastAsia="zh-CN"/>
        </w:rPr>
      </w:pPr>
    </w:p>
    <w:p w:rsidR="004256C8" w:rsidRDefault="004256C8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过去十年恒生指数的走势与港股IPO市场规模呈现高</w:t>
      </w:r>
      <w:r w:rsidR="000266F9">
        <w:rPr>
          <w:rFonts w:ascii="华文楷体" w:eastAsia="华文楷体" w:hAnsi="华文楷体" w:hint="eastAsia"/>
          <w:lang w:eastAsia="zh-CN"/>
        </w:rPr>
        <w:t>相关性。恒生指数</w:t>
      </w:r>
      <w:r>
        <w:rPr>
          <w:rFonts w:ascii="华文楷体" w:eastAsia="华文楷体" w:hAnsi="华文楷体" w:hint="eastAsia"/>
          <w:lang w:eastAsia="zh-CN"/>
        </w:rPr>
        <w:t>同样在2</w:t>
      </w:r>
      <w:r>
        <w:rPr>
          <w:rFonts w:ascii="华文楷体" w:eastAsia="华文楷体" w:hAnsi="华文楷体"/>
          <w:lang w:eastAsia="zh-CN"/>
        </w:rPr>
        <w:t>018</w:t>
      </w:r>
      <w:r>
        <w:rPr>
          <w:rFonts w:ascii="华文楷体" w:eastAsia="华文楷体" w:hAnsi="华文楷体" w:hint="eastAsia"/>
          <w:lang w:eastAsia="zh-CN"/>
        </w:rPr>
        <w:t>年攀升至3</w:t>
      </w:r>
      <w:r>
        <w:rPr>
          <w:rFonts w:ascii="华文楷体" w:eastAsia="华文楷体" w:hAnsi="华文楷体"/>
          <w:lang w:eastAsia="zh-CN"/>
        </w:rPr>
        <w:t>3154</w:t>
      </w:r>
      <w:r>
        <w:rPr>
          <w:rFonts w:ascii="华文楷体" w:eastAsia="华文楷体" w:hAnsi="华文楷体" w:hint="eastAsia"/>
          <w:lang w:eastAsia="zh-CN"/>
        </w:rPr>
        <w:t>点的高位后一路震荡走弱，</w:t>
      </w:r>
      <w:r w:rsidR="00F768CF">
        <w:rPr>
          <w:rFonts w:ascii="华文楷体" w:eastAsia="华文楷体" w:hAnsi="华文楷体" w:hint="eastAsia"/>
          <w:lang w:eastAsia="zh-CN"/>
        </w:rPr>
        <w:t>至2</w:t>
      </w:r>
      <w:r w:rsidR="00F768CF">
        <w:rPr>
          <w:rFonts w:ascii="华文楷体" w:eastAsia="华文楷体" w:hAnsi="华文楷体"/>
          <w:lang w:eastAsia="zh-CN"/>
        </w:rPr>
        <w:t>022</w:t>
      </w:r>
      <w:r w:rsidR="00F768CF">
        <w:rPr>
          <w:rFonts w:ascii="华文楷体" w:eastAsia="华文楷体" w:hAnsi="华文楷体" w:hint="eastAsia"/>
          <w:lang w:eastAsia="zh-CN"/>
        </w:rPr>
        <w:t>年末来到十年最低点</w:t>
      </w:r>
      <w:r w:rsidR="000266F9">
        <w:rPr>
          <w:rFonts w:ascii="华文楷体" w:eastAsia="华文楷体" w:hAnsi="华文楷体" w:hint="eastAsia"/>
          <w:lang w:eastAsia="zh-CN"/>
        </w:rPr>
        <w:t>。这期间对港</w:t>
      </w:r>
      <w:r w:rsidR="005E1C84">
        <w:rPr>
          <w:rFonts w:ascii="华文楷体" w:eastAsia="华文楷体" w:hAnsi="华文楷体" w:hint="eastAsia"/>
          <w:lang w:eastAsia="zh-CN"/>
        </w:rPr>
        <w:t>股行情的主要影响因素包括但不限于疫情、加息等宏观因素，以及地缘政治和个别板块</w:t>
      </w:r>
      <w:r w:rsidR="000266F9">
        <w:rPr>
          <w:rFonts w:ascii="华文楷体" w:eastAsia="华文楷体" w:hAnsi="华文楷体" w:hint="eastAsia"/>
          <w:lang w:eastAsia="zh-CN"/>
        </w:rPr>
        <w:t>的黑天鹅事件。2</w:t>
      </w:r>
      <w:r w:rsidR="000266F9">
        <w:rPr>
          <w:rFonts w:ascii="华文楷体" w:eastAsia="华文楷体" w:hAnsi="华文楷体"/>
          <w:lang w:eastAsia="zh-CN"/>
        </w:rPr>
        <w:t>023</w:t>
      </w:r>
      <w:r w:rsidR="000266F9">
        <w:rPr>
          <w:rFonts w:ascii="华文楷体" w:eastAsia="华文楷体" w:hAnsi="华文楷体" w:hint="eastAsia"/>
          <w:lang w:eastAsia="zh-CN"/>
        </w:rPr>
        <w:t>年开年，受益于疫情防控政策的放松，港股迎来开门红，一路从2</w:t>
      </w:r>
      <w:r w:rsidR="000266F9">
        <w:rPr>
          <w:rFonts w:ascii="华文楷体" w:eastAsia="华文楷体" w:hAnsi="华文楷体"/>
          <w:lang w:eastAsia="zh-CN"/>
        </w:rPr>
        <w:t>022</w:t>
      </w:r>
      <w:r w:rsidR="000266F9">
        <w:rPr>
          <w:rFonts w:ascii="华文楷体" w:eastAsia="华文楷体" w:hAnsi="华文楷体" w:hint="eastAsia"/>
          <w:lang w:eastAsia="zh-CN"/>
        </w:rPr>
        <w:t>年底的最低点上升5</w:t>
      </w:r>
      <w:r w:rsidR="000266F9">
        <w:rPr>
          <w:rFonts w:ascii="华文楷体" w:eastAsia="华文楷体" w:hAnsi="华文楷体"/>
          <w:lang w:eastAsia="zh-CN"/>
        </w:rPr>
        <w:t>4%</w:t>
      </w:r>
      <w:r w:rsidR="000266F9">
        <w:rPr>
          <w:rFonts w:ascii="华文楷体" w:eastAsia="华文楷体" w:hAnsi="华文楷体" w:hint="eastAsia"/>
          <w:lang w:eastAsia="zh-CN"/>
        </w:rPr>
        <w:t>来到2</w:t>
      </w:r>
      <w:r w:rsidR="000266F9">
        <w:rPr>
          <w:rFonts w:ascii="华文楷体" w:eastAsia="华文楷体" w:hAnsi="华文楷体"/>
          <w:lang w:eastAsia="zh-CN"/>
        </w:rPr>
        <w:t>2000</w:t>
      </w:r>
      <w:r w:rsidR="000266F9">
        <w:rPr>
          <w:rFonts w:ascii="华文楷体" w:eastAsia="华文楷体" w:hAnsi="华文楷体" w:hint="eastAsia"/>
          <w:lang w:eastAsia="zh-CN"/>
        </w:rPr>
        <w:t>点附近，然而上涨行情并未持续</w:t>
      </w:r>
      <w:r w:rsidR="007E47ED">
        <w:rPr>
          <w:rFonts w:ascii="华文楷体" w:eastAsia="华文楷体" w:hAnsi="华文楷体" w:hint="eastAsia"/>
          <w:lang w:eastAsia="zh-CN"/>
        </w:rPr>
        <w:t>，至一季度末，恒生指数又回调到年初水平，此后维持在1</w:t>
      </w:r>
      <w:r w:rsidR="007E47ED">
        <w:rPr>
          <w:rFonts w:ascii="华文楷体" w:eastAsia="华文楷体" w:hAnsi="华文楷体"/>
          <w:lang w:eastAsia="zh-CN"/>
        </w:rPr>
        <w:t>9000</w:t>
      </w:r>
      <w:r w:rsidR="007E47ED">
        <w:rPr>
          <w:rFonts w:ascii="华文楷体" w:eastAsia="华文楷体" w:hAnsi="华文楷体" w:hint="eastAsia"/>
          <w:lang w:eastAsia="zh-CN"/>
        </w:rPr>
        <w:t>点附近波动。</w:t>
      </w:r>
    </w:p>
    <w:p w:rsidR="007175B2" w:rsidRDefault="007175B2">
      <w:pPr>
        <w:rPr>
          <w:rFonts w:ascii="华文楷体" w:eastAsia="华文楷体" w:hAnsi="华文楷体"/>
          <w:lang w:eastAsia="zh-CN"/>
        </w:rPr>
      </w:pPr>
    </w:p>
    <w:p w:rsidR="007175B2" w:rsidRDefault="00A16CED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加息</w:t>
      </w:r>
      <w:r w:rsidR="0085126E">
        <w:rPr>
          <w:rFonts w:ascii="华文楷体" w:eastAsia="华文楷体" w:hAnsi="华文楷体" w:hint="eastAsia"/>
          <w:lang w:eastAsia="zh-CN"/>
        </w:rPr>
        <w:t>是</w:t>
      </w:r>
      <w:r w:rsidR="004B4B1A">
        <w:rPr>
          <w:rFonts w:ascii="华文楷体" w:eastAsia="华文楷体" w:hAnsi="华文楷体" w:hint="eastAsia"/>
          <w:lang w:eastAsia="zh-CN"/>
        </w:rPr>
        <w:t>港股</w:t>
      </w:r>
      <w:r w:rsidR="0085126E">
        <w:rPr>
          <w:rFonts w:ascii="华文楷体" w:eastAsia="华文楷体" w:hAnsi="华文楷体" w:hint="eastAsia"/>
          <w:lang w:eastAsia="zh-CN"/>
        </w:rPr>
        <w:t>二级市场表现不佳的重要</w:t>
      </w:r>
      <w:r w:rsidR="004B4B1A">
        <w:rPr>
          <w:rFonts w:ascii="华文楷体" w:eastAsia="华文楷体" w:hAnsi="华文楷体" w:hint="eastAsia"/>
          <w:lang w:eastAsia="zh-CN"/>
        </w:rPr>
        <w:t>原因。</w:t>
      </w:r>
      <w:r>
        <w:rPr>
          <w:rFonts w:ascii="华文楷体" w:eastAsia="华文楷体" w:hAnsi="华文楷体" w:hint="eastAsia"/>
          <w:lang w:eastAsia="zh-CN"/>
        </w:rPr>
        <w:t>美联储自2</w:t>
      </w:r>
      <w:r>
        <w:rPr>
          <w:rFonts w:ascii="华文楷体" w:eastAsia="华文楷体" w:hAnsi="华文楷体"/>
          <w:lang w:eastAsia="zh-CN"/>
        </w:rPr>
        <w:t>022</w:t>
      </w:r>
      <w:r>
        <w:rPr>
          <w:rFonts w:ascii="华文楷体" w:eastAsia="华文楷体" w:hAnsi="华文楷体" w:hint="eastAsia"/>
          <w:lang w:eastAsia="zh-CN"/>
        </w:rPr>
        <w:t>年三月开启新一轮加息周期</w:t>
      </w:r>
      <w:r w:rsidR="00A411DB">
        <w:rPr>
          <w:rFonts w:ascii="华文楷体" w:eastAsia="华文楷体" w:hAnsi="华文楷体" w:hint="eastAsia"/>
          <w:lang w:eastAsia="zh-CN"/>
        </w:rPr>
        <w:t>，而</w:t>
      </w:r>
      <w:r>
        <w:rPr>
          <w:rFonts w:ascii="华文楷体" w:eastAsia="华文楷体" w:hAnsi="华文楷体" w:hint="eastAsia"/>
          <w:lang w:eastAsia="zh-CN"/>
        </w:rPr>
        <w:t>后连续加息</w:t>
      </w:r>
      <w:r>
        <w:rPr>
          <w:rFonts w:ascii="华文楷体" w:eastAsia="华文楷体" w:hAnsi="华文楷体"/>
          <w:lang w:eastAsia="zh-CN"/>
        </w:rPr>
        <w:t>10</w:t>
      </w:r>
      <w:r>
        <w:rPr>
          <w:rFonts w:ascii="华文楷体" w:eastAsia="华文楷体" w:hAnsi="华文楷体" w:hint="eastAsia"/>
          <w:lang w:eastAsia="zh-CN"/>
        </w:rPr>
        <w:t>轮共计</w:t>
      </w:r>
      <w:r>
        <w:rPr>
          <w:rFonts w:ascii="华文楷体" w:eastAsia="华文楷体" w:hAnsi="华文楷体"/>
          <w:lang w:eastAsia="zh-CN"/>
        </w:rPr>
        <w:t>500</w:t>
      </w:r>
      <w:r>
        <w:rPr>
          <w:rFonts w:ascii="华文楷体" w:eastAsia="华文楷体" w:hAnsi="华文楷体" w:hint="eastAsia"/>
          <w:lang w:eastAsia="zh-CN"/>
        </w:rPr>
        <w:t>个</w:t>
      </w:r>
      <w:r w:rsidR="00A411DB">
        <w:rPr>
          <w:rFonts w:ascii="华文楷体" w:eastAsia="华文楷体" w:hAnsi="华文楷体" w:hint="eastAsia"/>
          <w:lang w:eastAsia="zh-CN"/>
        </w:rPr>
        <w:t>基点</w:t>
      </w:r>
      <w:r w:rsidR="00D05385">
        <w:rPr>
          <w:rFonts w:ascii="华文楷体" w:eastAsia="华文楷体" w:hAnsi="华文楷体" w:hint="eastAsia"/>
          <w:lang w:eastAsia="zh-CN"/>
        </w:rPr>
        <w:t>以控制美国4</w:t>
      </w:r>
      <w:r w:rsidR="00D05385">
        <w:rPr>
          <w:rFonts w:ascii="华文楷体" w:eastAsia="华文楷体" w:hAnsi="华文楷体"/>
          <w:lang w:eastAsia="zh-CN"/>
        </w:rPr>
        <w:t>0</w:t>
      </w:r>
      <w:r w:rsidR="00D05385">
        <w:rPr>
          <w:rFonts w:ascii="华文楷体" w:eastAsia="华文楷体" w:hAnsi="华文楷体" w:hint="eastAsia"/>
          <w:lang w:eastAsia="zh-CN"/>
        </w:rPr>
        <w:t>年来最严重的通货膨胀。由于香港实行联系汇率制度，为稳定外汇市场，金管局不得不跟随美联储</w:t>
      </w:r>
      <w:r w:rsidR="00A411DB">
        <w:rPr>
          <w:rFonts w:ascii="华文楷体" w:eastAsia="华文楷体" w:hAnsi="华文楷体" w:hint="eastAsia"/>
          <w:lang w:eastAsia="zh-CN"/>
        </w:rPr>
        <w:t>的</w:t>
      </w:r>
      <w:r w:rsidR="00D05385">
        <w:rPr>
          <w:rFonts w:ascii="华文楷体" w:eastAsia="华文楷体" w:hAnsi="华文楷体" w:hint="eastAsia"/>
          <w:lang w:eastAsia="zh-CN"/>
        </w:rPr>
        <w:t>加息步伐，</w:t>
      </w:r>
      <w:r w:rsidR="00A411DB">
        <w:rPr>
          <w:rFonts w:ascii="华文楷体" w:eastAsia="华文楷体" w:hAnsi="华文楷体" w:hint="eastAsia"/>
          <w:lang w:eastAsia="zh-CN"/>
        </w:rPr>
        <w:t>香港1</w:t>
      </w:r>
      <w:r w:rsidR="00A411DB">
        <w:rPr>
          <w:rFonts w:ascii="华文楷体" w:eastAsia="华文楷体" w:hAnsi="华文楷体"/>
          <w:lang w:eastAsia="zh-CN"/>
        </w:rPr>
        <w:t>2</w:t>
      </w:r>
      <w:r w:rsidR="00A411DB">
        <w:rPr>
          <w:rFonts w:ascii="华文楷体" w:eastAsia="华文楷体" w:hAnsi="华文楷体" w:hint="eastAsia"/>
          <w:lang w:eastAsia="zh-CN"/>
        </w:rPr>
        <w:t>月期银行间拆借利率（1</w:t>
      </w:r>
      <w:r w:rsidR="00A411DB">
        <w:rPr>
          <w:rFonts w:ascii="华文楷体" w:eastAsia="华文楷体" w:hAnsi="华文楷体"/>
          <w:lang w:eastAsia="zh-CN"/>
        </w:rPr>
        <w:t>2</w:t>
      </w:r>
      <w:r w:rsidR="00A411DB">
        <w:rPr>
          <w:rFonts w:ascii="华文楷体" w:eastAsia="华文楷体" w:hAnsi="华文楷体" w:hint="eastAsia"/>
          <w:lang w:eastAsia="zh-CN"/>
        </w:rPr>
        <w:t>M</w:t>
      </w:r>
      <w:r w:rsidR="00A411DB">
        <w:rPr>
          <w:rFonts w:ascii="华文楷体" w:eastAsia="华文楷体" w:hAnsi="华文楷体"/>
          <w:lang w:eastAsia="zh-CN"/>
        </w:rPr>
        <w:t xml:space="preserve"> </w:t>
      </w:r>
      <w:r w:rsidR="00A411DB">
        <w:rPr>
          <w:rFonts w:ascii="华文楷体" w:eastAsia="华文楷体" w:hAnsi="华文楷体" w:hint="eastAsia"/>
          <w:lang w:eastAsia="zh-CN"/>
        </w:rPr>
        <w:t>HI</w:t>
      </w:r>
      <w:r w:rsidR="00A411DB">
        <w:rPr>
          <w:rFonts w:ascii="华文楷体" w:eastAsia="华文楷体" w:hAnsi="华文楷体"/>
          <w:lang w:eastAsia="zh-CN"/>
        </w:rPr>
        <w:t>BOR）</w:t>
      </w:r>
      <w:r w:rsidR="00A411DB">
        <w:rPr>
          <w:rFonts w:ascii="华文楷体" w:eastAsia="华文楷体" w:hAnsi="华文楷体" w:hint="eastAsia"/>
          <w:lang w:eastAsia="zh-CN"/>
        </w:rPr>
        <w:t>与美国一年期国债收益率同步攀升至5</w:t>
      </w:r>
      <w:r w:rsidR="00A411DB">
        <w:rPr>
          <w:rFonts w:ascii="华文楷体" w:eastAsia="华文楷体" w:hAnsi="华文楷体"/>
          <w:lang w:eastAsia="zh-CN"/>
        </w:rPr>
        <w:t>.2-5.4%</w:t>
      </w:r>
      <w:r w:rsidR="00A411DB">
        <w:rPr>
          <w:rFonts w:ascii="华文楷体" w:eastAsia="华文楷体" w:hAnsi="华文楷体" w:hint="eastAsia"/>
          <w:lang w:eastAsia="zh-CN"/>
        </w:rPr>
        <w:t>区间。高利率不仅影响上市公司的利润水平，同时令高股息率的稳健型标的吸引力下降，叠加加息周期中美元的虹吸作用，共同导致2</w:t>
      </w:r>
      <w:r w:rsidR="00A411DB">
        <w:rPr>
          <w:rFonts w:ascii="华文楷体" w:eastAsia="华文楷体" w:hAnsi="华文楷体"/>
          <w:lang w:eastAsia="zh-CN"/>
        </w:rPr>
        <w:t>022</w:t>
      </w:r>
      <w:r w:rsidR="00A411DB">
        <w:rPr>
          <w:rFonts w:ascii="华文楷体" w:eastAsia="华文楷体" w:hAnsi="华文楷体" w:hint="eastAsia"/>
          <w:lang w:eastAsia="zh-CN"/>
        </w:rPr>
        <w:t>年港股的疲软</w:t>
      </w:r>
      <w:r w:rsidR="005E76E9">
        <w:rPr>
          <w:rFonts w:ascii="华文楷体" w:eastAsia="华文楷体" w:hAnsi="华文楷体" w:hint="eastAsia"/>
          <w:lang w:eastAsia="zh-CN"/>
        </w:rPr>
        <w:t>表现</w:t>
      </w:r>
      <w:r w:rsidR="00A411DB">
        <w:rPr>
          <w:rFonts w:ascii="华文楷体" w:eastAsia="华文楷体" w:hAnsi="华文楷体" w:hint="eastAsia"/>
          <w:lang w:eastAsia="zh-CN"/>
        </w:rPr>
        <w:t>。</w:t>
      </w:r>
    </w:p>
    <w:p w:rsidR="00273727" w:rsidRDefault="00273727">
      <w:pPr>
        <w:rPr>
          <w:rFonts w:ascii="华文楷体" w:eastAsia="华文楷体" w:hAnsi="华文楷体"/>
          <w:lang w:eastAsia="zh-CN"/>
        </w:rPr>
      </w:pPr>
    </w:p>
    <w:p w:rsidR="00273727" w:rsidRDefault="00336312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估值方面，</w:t>
      </w:r>
      <w:r w:rsidR="00273727">
        <w:rPr>
          <w:rFonts w:ascii="华文楷体" w:eastAsia="华文楷体" w:hAnsi="华文楷体" w:hint="eastAsia"/>
          <w:lang w:eastAsia="zh-CN"/>
        </w:rPr>
        <w:t>沪深港股通AH股溢价指数由2</w:t>
      </w:r>
      <w:r w:rsidR="00273727">
        <w:rPr>
          <w:rFonts w:ascii="华文楷体" w:eastAsia="华文楷体" w:hAnsi="华文楷体"/>
          <w:lang w:eastAsia="zh-CN"/>
        </w:rPr>
        <w:t>018</w:t>
      </w:r>
      <w:r w:rsidR="00273727">
        <w:rPr>
          <w:rFonts w:ascii="华文楷体" w:eastAsia="华文楷体" w:hAnsi="华文楷体" w:hint="eastAsia"/>
          <w:lang w:eastAsia="zh-CN"/>
        </w:rPr>
        <w:t>年的1</w:t>
      </w:r>
      <w:r w:rsidR="00273727">
        <w:rPr>
          <w:rFonts w:ascii="华文楷体" w:eastAsia="华文楷体" w:hAnsi="华文楷体"/>
          <w:lang w:eastAsia="zh-CN"/>
        </w:rPr>
        <w:t>20</w:t>
      </w:r>
      <w:r w:rsidR="00273727">
        <w:rPr>
          <w:rFonts w:ascii="华文楷体" w:eastAsia="华文楷体" w:hAnsi="华文楷体" w:hint="eastAsia"/>
          <w:lang w:eastAsia="zh-CN"/>
        </w:rPr>
        <w:t>点左右提高到</w:t>
      </w:r>
      <w:r w:rsidR="00273727">
        <w:rPr>
          <w:rFonts w:ascii="华文楷体" w:eastAsia="华文楷体" w:hAnsi="华文楷体"/>
          <w:lang w:eastAsia="zh-CN"/>
        </w:rPr>
        <w:t>140-150</w:t>
      </w:r>
      <w:r w:rsidR="00273727">
        <w:rPr>
          <w:rFonts w:ascii="华文楷体" w:eastAsia="华文楷体" w:hAnsi="华文楷体" w:hint="eastAsia"/>
          <w:lang w:eastAsia="zh-CN"/>
        </w:rPr>
        <w:t>点，且仍保持上升势头，这意味着A股</w:t>
      </w:r>
      <w:r>
        <w:rPr>
          <w:rFonts w:ascii="华文楷体" w:eastAsia="华文楷体" w:hAnsi="华文楷体" w:hint="eastAsia"/>
          <w:lang w:eastAsia="zh-CN"/>
        </w:rPr>
        <w:t>投资者</w:t>
      </w:r>
      <w:r w:rsidR="00273727">
        <w:rPr>
          <w:rFonts w:ascii="华文楷体" w:eastAsia="华文楷体" w:hAnsi="华文楷体" w:hint="eastAsia"/>
          <w:lang w:eastAsia="zh-CN"/>
        </w:rPr>
        <w:t>给予</w:t>
      </w:r>
      <w:r w:rsidR="00C07C11">
        <w:rPr>
          <w:rFonts w:ascii="华文楷体" w:eastAsia="华文楷体" w:hAnsi="华文楷体" w:hint="eastAsia"/>
          <w:lang w:eastAsia="zh-CN"/>
        </w:rPr>
        <w:t>同类型</w:t>
      </w:r>
      <w:r w:rsidR="00273727">
        <w:rPr>
          <w:rFonts w:ascii="华文楷体" w:eastAsia="华文楷体" w:hAnsi="华文楷体" w:hint="eastAsia"/>
          <w:lang w:eastAsia="zh-CN"/>
        </w:rPr>
        <w:t>上市公司更高的估值，</w:t>
      </w:r>
      <w:r w:rsidR="00C07C11">
        <w:rPr>
          <w:rFonts w:ascii="华文楷体" w:eastAsia="华文楷体" w:hAnsi="华文楷体" w:hint="eastAsia"/>
          <w:lang w:eastAsia="zh-CN"/>
        </w:rPr>
        <w:t>也暗示着A股二级市场的流动性更佳。反映到一级市场中，发行人</w:t>
      </w:r>
      <w:r w:rsidR="00273727">
        <w:rPr>
          <w:rFonts w:ascii="华文楷体" w:eastAsia="华文楷体" w:hAnsi="华文楷体" w:hint="eastAsia"/>
          <w:lang w:eastAsia="zh-CN"/>
        </w:rPr>
        <w:t>稀释同等比例的股权，在A股</w:t>
      </w:r>
      <w:r w:rsidR="00C07C11">
        <w:rPr>
          <w:rFonts w:ascii="华文楷体" w:eastAsia="华文楷体" w:hAnsi="华文楷体" w:hint="eastAsia"/>
          <w:lang w:eastAsia="zh-CN"/>
        </w:rPr>
        <w:t>可以融到更多资金，在二级市场交易时对股价的影响也会更小，因此估值和市场情绪</w:t>
      </w:r>
      <w:r w:rsidR="00BC336B">
        <w:rPr>
          <w:rFonts w:ascii="华文楷体" w:eastAsia="华文楷体" w:hAnsi="华文楷体" w:hint="eastAsia"/>
          <w:lang w:eastAsia="zh-CN"/>
        </w:rPr>
        <w:t>同样是近年来</w:t>
      </w:r>
      <w:r w:rsidR="00C07C11">
        <w:rPr>
          <w:rFonts w:ascii="华文楷体" w:eastAsia="华文楷体" w:hAnsi="华文楷体" w:hint="eastAsia"/>
          <w:lang w:eastAsia="zh-CN"/>
        </w:rPr>
        <w:t>港股IPO市场</w:t>
      </w:r>
      <w:r w:rsidR="00BC336B">
        <w:rPr>
          <w:rFonts w:ascii="华文楷体" w:eastAsia="华文楷体" w:hAnsi="华文楷体" w:hint="eastAsia"/>
          <w:lang w:eastAsia="zh-CN"/>
        </w:rPr>
        <w:t>低迷的</w:t>
      </w:r>
      <w:r w:rsidR="00C07C11">
        <w:rPr>
          <w:rFonts w:ascii="华文楷体" w:eastAsia="华文楷体" w:hAnsi="华文楷体" w:hint="eastAsia"/>
          <w:lang w:eastAsia="zh-CN"/>
        </w:rPr>
        <w:t>重要</w:t>
      </w:r>
      <w:r w:rsidR="00BC336B">
        <w:rPr>
          <w:rFonts w:ascii="华文楷体" w:eastAsia="华文楷体" w:hAnsi="华文楷体" w:hint="eastAsia"/>
          <w:lang w:eastAsia="zh-CN"/>
        </w:rPr>
        <w:t>原因</w:t>
      </w:r>
      <w:r w:rsidR="00C07C11">
        <w:rPr>
          <w:rFonts w:ascii="华文楷体" w:eastAsia="华文楷体" w:hAnsi="华文楷体" w:hint="eastAsia"/>
          <w:lang w:eastAsia="zh-CN"/>
        </w:rPr>
        <w:t>。</w:t>
      </w:r>
    </w:p>
    <w:p w:rsidR="00D63E6A" w:rsidRPr="00F677E7" w:rsidRDefault="007E47ED" w:rsidP="007E47ED">
      <w:pPr>
        <w:tabs>
          <w:tab w:val="left" w:pos="6866"/>
        </w:tabs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/>
          <w:lang w:eastAsia="zh-CN"/>
        </w:rPr>
        <w:tab/>
      </w:r>
    </w:p>
    <w:p w:rsidR="00F77A35" w:rsidRDefault="004B4B1A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恒生指数</w:t>
      </w:r>
    </w:p>
    <w:p w:rsidR="00B65D2B" w:rsidRDefault="00F677E7">
      <w:pPr>
        <w:rPr>
          <w:rFonts w:ascii="华文楷体" w:eastAsia="华文楷体" w:hAnsi="华文楷体"/>
          <w:lang w:eastAsia="zh-CN"/>
        </w:rPr>
      </w:pPr>
      <w:r w:rsidRPr="00F677E7">
        <w:rPr>
          <w:rFonts w:ascii="华文楷体" w:eastAsia="华文楷体" w:hAnsi="华文楷体"/>
          <w:noProof/>
          <w:lang w:eastAsia="zh-CN"/>
        </w:rPr>
        <w:lastRenderedPageBreak/>
        <w:drawing>
          <wp:inline distT="0" distB="0" distL="0" distR="0" wp14:anchorId="633AB7D1" wp14:editId="5EAACA47">
            <wp:extent cx="2640787" cy="138729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90" cy="14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BF" w:rsidRDefault="00586FBF" w:rsidP="00586FBF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美国vs中国</w:t>
      </w:r>
      <w:r>
        <w:rPr>
          <w:rFonts w:ascii="华文楷体" w:eastAsia="华文楷体" w:hAnsi="华文楷体"/>
          <w:lang w:eastAsia="zh-CN"/>
        </w:rPr>
        <w:t>1</w:t>
      </w:r>
      <w:r>
        <w:rPr>
          <w:rFonts w:ascii="华文楷体" w:eastAsia="华文楷体" w:hAnsi="华文楷体" w:hint="eastAsia"/>
          <w:lang w:eastAsia="zh-CN"/>
        </w:rPr>
        <w:t>年期国债利率</w:t>
      </w:r>
    </w:p>
    <w:p w:rsidR="00586FBF" w:rsidRDefault="00586FBF">
      <w:pPr>
        <w:rPr>
          <w:rFonts w:ascii="华文楷体" w:eastAsia="华文楷体" w:hAnsi="华文楷体"/>
          <w:lang w:eastAsia="zh-CN"/>
        </w:rPr>
      </w:pPr>
      <w:r w:rsidRPr="003356BA">
        <w:rPr>
          <w:rFonts w:ascii="华文楷体" w:eastAsia="华文楷体" w:hAnsi="华文楷体"/>
          <w:noProof/>
          <w:lang w:eastAsia="zh-CN"/>
        </w:rPr>
        <w:drawing>
          <wp:inline distT="0" distB="0" distL="0" distR="0" wp14:anchorId="6D424B1A" wp14:editId="23482181">
            <wp:extent cx="2592125" cy="1361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46" cy="136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D2B" w:rsidRDefault="007175B2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恒生沪深港通AH股溢价指数</w:t>
      </w:r>
    </w:p>
    <w:p w:rsidR="00E14B62" w:rsidRDefault="00B65D2B" w:rsidP="00B65D2B">
      <w:pPr>
        <w:rPr>
          <w:rFonts w:ascii="华文楷体" w:eastAsia="华文楷体" w:hAnsi="华文楷体"/>
          <w:lang w:eastAsia="zh-CN"/>
        </w:rPr>
      </w:pPr>
      <w:r w:rsidRPr="00B65D2B">
        <w:rPr>
          <w:rFonts w:ascii="华文楷体" w:eastAsia="华文楷体" w:hAnsi="华文楷体"/>
          <w:noProof/>
          <w:lang w:eastAsia="zh-CN"/>
        </w:rPr>
        <w:drawing>
          <wp:inline distT="0" distB="0" distL="0" distR="0">
            <wp:extent cx="2691994" cy="14143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7" cy="142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057" w:rsidRDefault="007A6057" w:rsidP="00586FBF">
      <w:pPr>
        <w:tabs>
          <w:tab w:val="left" w:pos="2921"/>
        </w:tabs>
        <w:rPr>
          <w:rFonts w:ascii="华文楷体" w:eastAsia="华文楷体" w:hAnsi="华文楷体"/>
          <w:lang w:eastAsia="zh-CN"/>
        </w:rPr>
      </w:pPr>
    </w:p>
    <w:p w:rsidR="00586FBF" w:rsidRPr="00367F52" w:rsidRDefault="00586FBF" w:rsidP="00586FBF">
      <w:pPr>
        <w:tabs>
          <w:tab w:val="left" w:pos="2921"/>
        </w:tabs>
        <w:rPr>
          <w:rFonts w:ascii="华文楷体" w:eastAsia="华文楷体" w:hAnsi="华文楷体"/>
          <w:b/>
          <w:color w:val="8496B0" w:themeColor="text2" w:themeTint="99"/>
          <w:lang w:eastAsia="zh-CN"/>
        </w:rPr>
      </w:pPr>
      <w:r w:rsidRPr="00367F52">
        <w:rPr>
          <w:rFonts w:ascii="华文楷体" w:eastAsia="华文楷体" w:hAnsi="华文楷体" w:hint="eastAsia"/>
          <w:b/>
          <w:color w:val="8496B0" w:themeColor="text2" w:themeTint="99"/>
          <w:lang w:eastAsia="zh-CN"/>
        </w:rPr>
        <w:t>中资机构在港股IPO市场</w:t>
      </w:r>
      <w:r w:rsidR="005879BE" w:rsidRPr="00367F52">
        <w:rPr>
          <w:rFonts w:ascii="华文楷体" w:eastAsia="华文楷体" w:hAnsi="华文楷体" w:hint="eastAsia"/>
          <w:b/>
          <w:color w:val="8496B0" w:themeColor="text2" w:themeTint="99"/>
          <w:lang w:eastAsia="zh-CN"/>
        </w:rPr>
        <w:t>中的表现</w:t>
      </w:r>
      <w:r w:rsidR="009E2BAB" w:rsidRPr="00367F52">
        <w:rPr>
          <w:rFonts w:ascii="华文楷体" w:eastAsia="华文楷体" w:hAnsi="华文楷体" w:hint="eastAsia"/>
          <w:b/>
          <w:color w:val="8496B0" w:themeColor="text2" w:themeTint="99"/>
          <w:lang w:eastAsia="zh-CN"/>
        </w:rPr>
        <w:t>与未来发展态势</w:t>
      </w:r>
    </w:p>
    <w:p w:rsidR="00367F52" w:rsidRDefault="00367F52" w:rsidP="00586FBF">
      <w:pPr>
        <w:tabs>
          <w:tab w:val="left" w:pos="2921"/>
        </w:tabs>
        <w:rPr>
          <w:rFonts w:ascii="华文楷体" w:eastAsia="华文楷体" w:hAnsi="华文楷体"/>
          <w:lang w:eastAsia="zh-CN"/>
        </w:rPr>
      </w:pPr>
    </w:p>
    <w:p w:rsidR="00586FBF" w:rsidRDefault="00C4767A" w:rsidP="00586FBF">
      <w:pPr>
        <w:tabs>
          <w:tab w:val="left" w:pos="2921"/>
        </w:tabs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香港IPO市场中内资</w:t>
      </w:r>
      <w:r w:rsidR="00F06303">
        <w:rPr>
          <w:rFonts w:ascii="华文楷体" w:eastAsia="华文楷体" w:hAnsi="华文楷体" w:hint="eastAsia"/>
          <w:lang w:eastAsia="zh-CN"/>
        </w:rPr>
        <w:t>背景公司占比不断提升，新股数量占比由</w:t>
      </w:r>
      <w:r>
        <w:rPr>
          <w:rFonts w:ascii="华文楷体" w:eastAsia="华文楷体" w:hAnsi="华文楷体" w:hint="eastAsia"/>
          <w:lang w:eastAsia="zh-CN"/>
        </w:rPr>
        <w:t>2</w:t>
      </w:r>
      <w:r>
        <w:rPr>
          <w:rFonts w:ascii="华文楷体" w:eastAsia="华文楷体" w:hAnsi="华文楷体"/>
          <w:lang w:eastAsia="zh-CN"/>
        </w:rPr>
        <w:t>017</w:t>
      </w:r>
      <w:r>
        <w:rPr>
          <w:rFonts w:ascii="华文楷体" w:eastAsia="华文楷体" w:hAnsi="华文楷体" w:hint="eastAsia"/>
          <w:lang w:eastAsia="zh-CN"/>
        </w:rPr>
        <w:t>年的8</w:t>
      </w:r>
      <w:r>
        <w:rPr>
          <w:rFonts w:ascii="华文楷体" w:eastAsia="华文楷体" w:hAnsi="华文楷体"/>
          <w:lang w:eastAsia="zh-CN"/>
        </w:rPr>
        <w:t>1%</w:t>
      </w:r>
      <w:r>
        <w:rPr>
          <w:rFonts w:ascii="华文楷体" w:eastAsia="华文楷体" w:hAnsi="华文楷体" w:hint="eastAsia"/>
          <w:lang w:eastAsia="zh-CN"/>
        </w:rPr>
        <w:t>提高到近几年的9</w:t>
      </w:r>
      <w:r>
        <w:rPr>
          <w:rFonts w:ascii="华文楷体" w:eastAsia="华文楷体" w:hAnsi="华文楷体"/>
          <w:lang w:eastAsia="zh-CN"/>
        </w:rPr>
        <w:t>5%</w:t>
      </w:r>
      <w:r>
        <w:rPr>
          <w:rFonts w:ascii="华文楷体" w:eastAsia="华文楷体" w:hAnsi="华文楷体" w:hint="eastAsia"/>
          <w:lang w:eastAsia="zh-CN"/>
        </w:rPr>
        <w:t>左右。得益于内资企业上市推动和中概股返港，中资券商股票承销市占率</w:t>
      </w:r>
      <w:r w:rsidR="00E875C9">
        <w:rPr>
          <w:rFonts w:ascii="华文楷体" w:eastAsia="华文楷体" w:hAnsi="华文楷体" w:hint="eastAsia"/>
          <w:lang w:eastAsia="zh-CN"/>
        </w:rPr>
        <w:t>稳步上升，在2</w:t>
      </w:r>
      <w:r w:rsidR="00E875C9">
        <w:rPr>
          <w:rFonts w:ascii="华文楷体" w:eastAsia="华文楷体" w:hAnsi="华文楷体"/>
          <w:lang w:eastAsia="zh-CN"/>
        </w:rPr>
        <w:t>018</w:t>
      </w:r>
      <w:r w:rsidR="00E875C9">
        <w:rPr>
          <w:rFonts w:ascii="华文楷体" w:eastAsia="华文楷体" w:hAnsi="华文楷体" w:hint="eastAsia"/>
          <w:lang w:eastAsia="zh-CN"/>
        </w:rPr>
        <w:t>年后基本保持在4</w:t>
      </w:r>
      <w:r w:rsidR="00E875C9">
        <w:rPr>
          <w:rFonts w:ascii="华文楷体" w:eastAsia="华文楷体" w:hAnsi="华文楷体"/>
          <w:lang w:eastAsia="zh-CN"/>
        </w:rPr>
        <w:t>5%</w:t>
      </w:r>
      <w:r w:rsidR="00E875C9">
        <w:rPr>
          <w:rFonts w:ascii="华文楷体" w:eastAsia="华文楷体" w:hAnsi="华文楷体" w:hint="eastAsia"/>
          <w:lang w:eastAsia="zh-CN"/>
        </w:rPr>
        <w:t>以上，并在2</w:t>
      </w:r>
      <w:r w:rsidR="00E875C9">
        <w:rPr>
          <w:rFonts w:ascii="华文楷体" w:eastAsia="华文楷体" w:hAnsi="华文楷体"/>
          <w:lang w:eastAsia="zh-CN"/>
        </w:rPr>
        <w:t>022</w:t>
      </w:r>
      <w:r w:rsidR="00E875C9">
        <w:rPr>
          <w:rFonts w:ascii="华文楷体" w:eastAsia="华文楷体" w:hAnsi="华文楷体" w:hint="eastAsia"/>
          <w:lang w:eastAsia="zh-CN"/>
        </w:rPr>
        <w:t>年大幅上升至6</w:t>
      </w:r>
      <w:r w:rsidR="00E875C9">
        <w:rPr>
          <w:rFonts w:ascii="华文楷体" w:eastAsia="华文楷体" w:hAnsi="华文楷体"/>
          <w:lang w:eastAsia="zh-CN"/>
        </w:rPr>
        <w:t>6%</w:t>
      </w:r>
      <w:r w:rsidR="00E875C9">
        <w:rPr>
          <w:rFonts w:ascii="华文楷体" w:eastAsia="华文楷体" w:hAnsi="华文楷体" w:hint="eastAsia"/>
          <w:lang w:eastAsia="zh-CN"/>
        </w:rPr>
        <w:t>，</w:t>
      </w:r>
      <w:r w:rsidR="00CB4F33">
        <w:rPr>
          <w:rFonts w:ascii="华文楷体" w:eastAsia="华文楷体" w:hAnsi="华文楷体" w:hint="eastAsia"/>
          <w:lang w:eastAsia="zh-CN"/>
        </w:rPr>
        <w:t>首次</w:t>
      </w:r>
      <w:r w:rsidR="00E875C9">
        <w:rPr>
          <w:rFonts w:ascii="华文楷体" w:eastAsia="华文楷体" w:hAnsi="华文楷体" w:hint="eastAsia"/>
          <w:lang w:eastAsia="zh-CN"/>
        </w:rPr>
        <w:t>超过外资投行</w:t>
      </w:r>
      <w:r w:rsidR="00F06303">
        <w:rPr>
          <w:rFonts w:ascii="华文楷体" w:eastAsia="华文楷体" w:hAnsi="华文楷体" w:hint="eastAsia"/>
          <w:lang w:eastAsia="zh-CN"/>
        </w:rPr>
        <w:t>。</w:t>
      </w:r>
    </w:p>
    <w:p w:rsidR="00F06303" w:rsidRDefault="00F06303" w:rsidP="00586FBF">
      <w:pPr>
        <w:tabs>
          <w:tab w:val="left" w:pos="2921"/>
        </w:tabs>
        <w:rPr>
          <w:rFonts w:ascii="华文楷体" w:eastAsia="华文楷体" w:hAnsi="华文楷体"/>
          <w:lang w:eastAsia="zh-CN"/>
        </w:rPr>
      </w:pPr>
    </w:p>
    <w:p w:rsidR="00F06303" w:rsidRDefault="00F06303" w:rsidP="00586FBF">
      <w:pPr>
        <w:tabs>
          <w:tab w:val="left" w:pos="2921"/>
        </w:tabs>
        <w:rPr>
          <w:rFonts w:ascii="华文楷体" w:eastAsia="华文楷体" w:hAnsi="华文楷体" w:hint="eastAsia"/>
          <w:lang w:eastAsia="zh-CN"/>
        </w:rPr>
      </w:pPr>
      <w:r w:rsidRPr="00F06303">
        <w:rPr>
          <w:rFonts w:ascii="华文楷体" w:eastAsia="华文楷体" w:hAnsi="华文楷体" w:hint="eastAsia"/>
          <w:lang w:eastAsia="zh-CN"/>
        </w:rPr>
        <w:t>头部中</w:t>
      </w:r>
      <w:r>
        <w:rPr>
          <w:rFonts w:ascii="华文楷体" w:eastAsia="华文楷体" w:hAnsi="华文楷体" w:hint="eastAsia"/>
          <w:lang w:eastAsia="zh-CN"/>
        </w:rPr>
        <w:t>资券商发挥品牌效应，</w:t>
      </w:r>
      <w:r w:rsidR="009E2BAB">
        <w:rPr>
          <w:rFonts w:ascii="华文楷体" w:eastAsia="华文楷体" w:hAnsi="华文楷体" w:hint="eastAsia"/>
          <w:lang w:eastAsia="zh-CN"/>
        </w:rPr>
        <w:t>股承排名前五的券商集中度不断提高，CR</w:t>
      </w:r>
      <w:r w:rsidR="009E2BAB">
        <w:rPr>
          <w:rFonts w:ascii="华文楷体" w:eastAsia="华文楷体" w:hAnsi="华文楷体"/>
          <w:lang w:eastAsia="zh-CN"/>
        </w:rPr>
        <w:t>5</w:t>
      </w:r>
      <w:r w:rsidR="009E2BAB">
        <w:rPr>
          <w:rFonts w:ascii="华文楷体" w:eastAsia="华文楷体" w:hAnsi="华文楷体" w:hint="eastAsia"/>
          <w:lang w:eastAsia="zh-CN"/>
        </w:rPr>
        <w:t>在2</w:t>
      </w:r>
      <w:r w:rsidR="009E2BAB">
        <w:rPr>
          <w:rFonts w:ascii="华文楷体" w:eastAsia="华文楷体" w:hAnsi="华文楷体"/>
          <w:lang w:eastAsia="zh-CN"/>
        </w:rPr>
        <w:t>022</w:t>
      </w:r>
      <w:r w:rsidR="009E2BAB">
        <w:rPr>
          <w:rFonts w:ascii="华文楷体" w:eastAsia="华文楷体" w:hAnsi="华文楷体" w:hint="eastAsia"/>
          <w:lang w:eastAsia="zh-CN"/>
        </w:rPr>
        <w:t>年达到7</w:t>
      </w:r>
      <w:r w:rsidR="009E2BAB">
        <w:rPr>
          <w:rFonts w:ascii="华文楷体" w:eastAsia="华文楷体" w:hAnsi="华文楷体"/>
          <w:lang w:eastAsia="zh-CN"/>
        </w:rPr>
        <w:t>8%</w:t>
      </w:r>
      <w:r w:rsidR="009E2BAB">
        <w:rPr>
          <w:rFonts w:ascii="华文楷体" w:eastAsia="华文楷体" w:hAnsi="华文楷体" w:hint="eastAsia"/>
          <w:lang w:eastAsia="zh-CN"/>
        </w:rPr>
        <w:t>左右</w:t>
      </w:r>
      <w:r>
        <w:rPr>
          <w:rFonts w:ascii="华文楷体" w:eastAsia="华文楷体" w:hAnsi="华文楷体" w:hint="eastAsia"/>
          <w:lang w:eastAsia="zh-CN"/>
        </w:rPr>
        <w:t>。</w:t>
      </w:r>
      <w:r w:rsidRPr="00F06303">
        <w:rPr>
          <w:rFonts w:ascii="华文楷体" w:eastAsia="华文楷体" w:hAnsi="华文楷体"/>
          <w:lang w:eastAsia="zh-CN"/>
        </w:rPr>
        <w:t>2018</w:t>
      </w:r>
      <w:r w:rsidRPr="00F06303">
        <w:rPr>
          <w:rFonts w:ascii="华文楷体" w:eastAsia="华文楷体" w:hAnsi="华文楷体" w:hint="eastAsia"/>
          <w:lang w:eastAsia="zh-CN"/>
        </w:rPr>
        <w:t>年港交所修订有关于第二上市的规则，容许已在境外上市的大中华区创新企业到香港地区作二次上市，中资企业赴港首次募资额占比自</w:t>
      </w:r>
      <w:r w:rsidRPr="00F06303">
        <w:rPr>
          <w:rFonts w:ascii="华文楷体" w:eastAsia="华文楷体" w:hAnsi="华文楷体"/>
          <w:lang w:eastAsia="zh-CN"/>
        </w:rPr>
        <w:t>2018</w:t>
      </w:r>
      <w:r w:rsidRPr="00F06303">
        <w:rPr>
          <w:rFonts w:ascii="华文楷体" w:eastAsia="华文楷体" w:hAnsi="华文楷体" w:hint="eastAsia"/>
          <w:lang w:eastAsia="zh-CN"/>
        </w:rPr>
        <w:t>年有所提升，头部在港中资券商排名亦自</w:t>
      </w:r>
      <w:r w:rsidRPr="00F06303">
        <w:rPr>
          <w:rFonts w:ascii="华文楷体" w:eastAsia="华文楷体" w:hAnsi="华文楷体"/>
          <w:lang w:eastAsia="zh-CN"/>
        </w:rPr>
        <w:t>2018</w:t>
      </w:r>
      <w:r w:rsidRPr="00F06303">
        <w:rPr>
          <w:rFonts w:ascii="华文楷体" w:eastAsia="华文楷体" w:hAnsi="华文楷体" w:hint="eastAsia"/>
          <w:lang w:eastAsia="zh-CN"/>
        </w:rPr>
        <w:t>年显著上扬。</w:t>
      </w:r>
    </w:p>
    <w:p w:rsidR="00CA59A1" w:rsidRDefault="00C4767A" w:rsidP="00C4767A">
      <w:pPr>
        <w:tabs>
          <w:tab w:val="left" w:pos="2921"/>
        </w:tabs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/>
          <w:lang w:eastAsia="zh-CN"/>
        </w:rPr>
        <w:tab/>
      </w:r>
    </w:p>
    <w:p w:rsidR="00CA59A1" w:rsidRDefault="00FA5E90" w:rsidP="00586FBF">
      <w:pPr>
        <w:tabs>
          <w:tab w:val="left" w:pos="2921"/>
        </w:tabs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展望未来，中资机构在港发展空间较大。</w:t>
      </w:r>
      <w:r w:rsidR="005E1C84">
        <w:rPr>
          <w:rFonts w:ascii="华文楷体" w:eastAsia="华文楷体" w:hAnsi="华文楷体" w:hint="eastAsia"/>
          <w:lang w:eastAsia="zh-CN"/>
        </w:rPr>
        <w:t>行业格局方面，</w:t>
      </w:r>
      <w:r w:rsidR="002B0F0B">
        <w:rPr>
          <w:rFonts w:ascii="华文楷体" w:eastAsia="华文楷体" w:hAnsi="华文楷体" w:hint="eastAsia"/>
          <w:lang w:eastAsia="zh-CN"/>
        </w:rPr>
        <w:t>新冠疫情以及</w:t>
      </w:r>
      <w:r w:rsidR="002B0F0B" w:rsidRPr="002B0F0B">
        <w:rPr>
          <w:rFonts w:ascii="华文楷体" w:eastAsia="华文楷体" w:hAnsi="华文楷体" w:hint="eastAsia"/>
          <w:lang w:eastAsia="zh-CN"/>
        </w:rPr>
        <w:t>加息</w:t>
      </w:r>
      <w:r w:rsidR="002B0F0B">
        <w:rPr>
          <w:rFonts w:ascii="华文楷体" w:eastAsia="华文楷体" w:hAnsi="华文楷体" w:hint="eastAsia"/>
          <w:lang w:eastAsia="zh-CN"/>
        </w:rPr>
        <w:t>等宏观因素</w:t>
      </w:r>
      <w:r w:rsidR="002B0F0B" w:rsidRPr="002B0F0B">
        <w:rPr>
          <w:rFonts w:ascii="华文楷体" w:eastAsia="华文楷体" w:hAnsi="华文楷体" w:hint="eastAsia"/>
          <w:lang w:eastAsia="zh-CN"/>
        </w:rPr>
        <w:t>导致</w:t>
      </w:r>
      <w:r w:rsidR="002B0F0B">
        <w:rPr>
          <w:rFonts w:ascii="华文楷体" w:eastAsia="华文楷体" w:hAnsi="华文楷体" w:hint="eastAsia"/>
          <w:lang w:eastAsia="zh-CN"/>
        </w:rPr>
        <w:t>近年香港</w:t>
      </w:r>
      <w:r w:rsidR="002B0F0B" w:rsidRPr="002B0F0B">
        <w:rPr>
          <w:rFonts w:ascii="华文楷体" w:eastAsia="华文楷体" w:hAnsi="华文楷体"/>
          <w:lang w:eastAsia="zh-CN"/>
        </w:rPr>
        <w:t>IPO</w:t>
      </w:r>
      <w:r w:rsidR="002B0F0B" w:rsidRPr="002B0F0B">
        <w:rPr>
          <w:rFonts w:ascii="华文楷体" w:eastAsia="华文楷体" w:hAnsi="华文楷体" w:hint="eastAsia"/>
          <w:lang w:eastAsia="zh-CN"/>
        </w:rPr>
        <w:t>市场不景气，</w:t>
      </w:r>
      <w:r>
        <w:rPr>
          <w:rFonts w:ascii="华文楷体" w:eastAsia="华文楷体" w:hAnsi="华文楷体" w:hint="eastAsia"/>
          <w:lang w:eastAsia="zh-CN"/>
        </w:rPr>
        <w:t>地缘政治一定程度上也拖累外资投行在港</w:t>
      </w:r>
      <w:r w:rsidR="002B0F0B" w:rsidRPr="002B0F0B">
        <w:rPr>
          <w:rFonts w:ascii="华文楷体" w:eastAsia="华文楷体" w:hAnsi="华文楷体"/>
          <w:lang w:eastAsia="zh-CN"/>
        </w:rPr>
        <w:t>IPO</w:t>
      </w:r>
      <w:r w:rsidR="002B0F0B" w:rsidRPr="002B0F0B">
        <w:rPr>
          <w:rFonts w:ascii="华文楷体" w:eastAsia="华文楷体" w:hAnsi="华文楷体" w:hint="eastAsia"/>
          <w:lang w:eastAsia="zh-CN"/>
        </w:rPr>
        <w:t>项目。反观中资投行，</w:t>
      </w:r>
      <w:r w:rsidR="002B0F0B">
        <w:rPr>
          <w:rFonts w:ascii="华文楷体" w:eastAsia="华文楷体" w:hAnsi="华文楷体" w:hint="eastAsia"/>
          <w:lang w:eastAsia="zh-CN"/>
        </w:rPr>
        <w:t>股承市占持续上升，资产规模逐年</w:t>
      </w:r>
      <w:r w:rsidR="002B0F0B" w:rsidRPr="002B0F0B">
        <w:rPr>
          <w:rFonts w:ascii="华文楷体" w:eastAsia="华文楷体" w:hAnsi="华文楷体" w:hint="eastAsia"/>
          <w:lang w:eastAsia="zh-CN"/>
        </w:rPr>
        <w:t>扩大。</w:t>
      </w:r>
      <w:r w:rsidR="002B0F0B">
        <w:rPr>
          <w:rFonts w:ascii="华文楷体" w:eastAsia="华文楷体" w:hAnsi="华文楷体" w:hint="eastAsia"/>
          <w:lang w:eastAsia="zh-CN"/>
        </w:rPr>
        <w:t>人力</w:t>
      </w:r>
      <w:r w:rsidR="002B0F0B">
        <w:rPr>
          <w:rFonts w:ascii="华文楷体" w:eastAsia="华文楷体" w:hAnsi="华文楷体" w:hint="eastAsia"/>
          <w:lang w:eastAsia="zh-CN"/>
        </w:rPr>
        <w:lastRenderedPageBreak/>
        <w:t>资源是投行</w:t>
      </w:r>
      <w:r w:rsidR="005E1C84">
        <w:rPr>
          <w:rFonts w:ascii="华文楷体" w:eastAsia="华文楷体" w:hAnsi="华文楷体" w:hint="eastAsia"/>
          <w:lang w:eastAsia="zh-CN"/>
        </w:rPr>
        <w:t>业务最重要的资源和竞争壁垒，受环境影响</w:t>
      </w:r>
      <w:r w:rsidR="002B0F0B" w:rsidRPr="002B0F0B">
        <w:rPr>
          <w:rFonts w:ascii="华文楷体" w:eastAsia="华文楷体" w:hAnsi="华文楷体" w:hint="eastAsia"/>
          <w:lang w:eastAsia="zh-CN"/>
        </w:rPr>
        <w:t>自外资跳槽而来的国际投行人才</w:t>
      </w:r>
      <w:r w:rsidR="002B0F0B">
        <w:rPr>
          <w:rFonts w:ascii="华文楷体" w:eastAsia="华文楷体" w:hAnsi="华文楷体" w:hint="eastAsia"/>
          <w:lang w:eastAsia="zh-CN"/>
        </w:rPr>
        <w:t>有望带来成熟的投行业务运营经验，是中资券商投行业务发展的重要机遇</w:t>
      </w:r>
      <w:r w:rsidR="002B0F0B" w:rsidRPr="002B0F0B">
        <w:rPr>
          <w:rFonts w:ascii="华文楷体" w:eastAsia="华文楷体" w:hAnsi="华文楷体" w:hint="eastAsia"/>
          <w:lang w:eastAsia="zh-CN"/>
        </w:rPr>
        <w:t>。</w:t>
      </w:r>
    </w:p>
    <w:p w:rsidR="00FA5E90" w:rsidRDefault="00FA5E90" w:rsidP="00391D04">
      <w:pPr>
        <w:tabs>
          <w:tab w:val="left" w:pos="2921"/>
        </w:tabs>
        <w:rPr>
          <w:rFonts w:ascii="华文楷体" w:eastAsia="华文楷体" w:hAnsi="华文楷体"/>
          <w:lang w:eastAsia="zh-CN"/>
        </w:rPr>
      </w:pPr>
    </w:p>
    <w:p w:rsidR="00391D04" w:rsidRDefault="00FA5E90" w:rsidP="00391D04">
      <w:pPr>
        <w:tabs>
          <w:tab w:val="left" w:pos="2921"/>
        </w:tabs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资金方面，</w:t>
      </w:r>
      <w:r w:rsidR="00391D04" w:rsidRPr="00391D04">
        <w:rPr>
          <w:rFonts w:ascii="华文楷体" w:eastAsia="华文楷体" w:hAnsi="华文楷体" w:hint="eastAsia"/>
          <w:lang w:eastAsia="zh-CN"/>
        </w:rPr>
        <w:t>中国投资者海外配置需求与日俱增，作为中国最大的离岸交易市场，香港是内地资本与海外连接的重要通道。根据国家外汇管理局披露的数据，</w:t>
      </w:r>
      <w:r w:rsidR="00391D04" w:rsidRPr="00391D04">
        <w:rPr>
          <w:rFonts w:ascii="华文楷体" w:eastAsia="华文楷体" w:hAnsi="华文楷体"/>
          <w:lang w:eastAsia="zh-CN"/>
        </w:rPr>
        <w:t>2017</w:t>
      </w:r>
      <w:r w:rsidR="00391D04" w:rsidRPr="00391D04">
        <w:rPr>
          <w:rFonts w:ascii="华文楷体" w:eastAsia="华文楷体" w:hAnsi="华文楷体" w:hint="eastAsia"/>
          <w:lang w:eastAsia="zh-CN"/>
        </w:rPr>
        <w:t>年至</w:t>
      </w:r>
      <w:r w:rsidR="00391D04" w:rsidRPr="00391D04">
        <w:rPr>
          <w:rFonts w:ascii="华文楷体" w:eastAsia="华文楷体" w:hAnsi="华文楷体"/>
          <w:lang w:eastAsia="zh-CN"/>
        </w:rPr>
        <w:t>2022</w:t>
      </w:r>
      <w:r w:rsidR="00391D04" w:rsidRPr="00391D04">
        <w:rPr>
          <w:rFonts w:ascii="华文楷体" w:eastAsia="华文楷体" w:hAnsi="华文楷体" w:hint="eastAsia"/>
          <w:lang w:eastAsia="zh-CN"/>
        </w:rPr>
        <w:t>年，中国离岸证券投资中流向香港地区的投资占比持续上升，从</w:t>
      </w:r>
      <w:r w:rsidR="00391D04" w:rsidRPr="00391D04">
        <w:rPr>
          <w:rFonts w:ascii="华文楷体" w:eastAsia="华文楷体" w:hAnsi="华文楷体"/>
          <w:lang w:eastAsia="zh-CN"/>
        </w:rPr>
        <w:t>2017</w:t>
      </w:r>
      <w:r w:rsidR="00391D04" w:rsidRPr="00391D04">
        <w:rPr>
          <w:rFonts w:ascii="华文楷体" w:eastAsia="华文楷体" w:hAnsi="华文楷体" w:hint="eastAsia"/>
          <w:lang w:eastAsia="zh-CN"/>
        </w:rPr>
        <w:t>年末的</w:t>
      </w:r>
      <w:r w:rsidR="00391D04" w:rsidRPr="00391D04">
        <w:rPr>
          <w:rFonts w:ascii="华文楷体" w:eastAsia="华文楷体" w:hAnsi="华文楷体"/>
          <w:lang w:eastAsia="zh-CN"/>
        </w:rPr>
        <w:t>31%</w:t>
      </w:r>
      <w:r w:rsidR="00391D04" w:rsidRPr="00391D04">
        <w:rPr>
          <w:rFonts w:ascii="华文楷体" w:eastAsia="华文楷体" w:hAnsi="华文楷体" w:hint="eastAsia"/>
          <w:lang w:eastAsia="zh-CN"/>
        </w:rPr>
        <w:t>上升至</w:t>
      </w:r>
      <w:r w:rsidR="00391D04" w:rsidRPr="00391D04">
        <w:rPr>
          <w:rFonts w:ascii="华文楷体" w:eastAsia="华文楷体" w:hAnsi="华文楷体"/>
          <w:lang w:eastAsia="zh-CN"/>
        </w:rPr>
        <w:t>2022</w:t>
      </w:r>
      <w:r w:rsidR="00391D04" w:rsidRPr="00391D04">
        <w:rPr>
          <w:rFonts w:ascii="华文楷体" w:eastAsia="华文楷体" w:hAnsi="华文楷体" w:hint="eastAsia"/>
          <w:lang w:eastAsia="zh-CN"/>
        </w:rPr>
        <w:t>年末的</w:t>
      </w:r>
      <w:r w:rsidR="00391D04" w:rsidRPr="00391D04">
        <w:rPr>
          <w:rFonts w:ascii="华文楷体" w:eastAsia="华文楷体" w:hAnsi="华文楷体"/>
          <w:lang w:eastAsia="zh-CN"/>
        </w:rPr>
        <w:t>41%</w:t>
      </w:r>
      <w:r w:rsidR="00391D04">
        <w:rPr>
          <w:rFonts w:ascii="华文楷体" w:eastAsia="华文楷体" w:hAnsi="华文楷体" w:hint="eastAsia"/>
          <w:lang w:eastAsia="zh-CN"/>
        </w:rPr>
        <w:t>，投向香港地区市场的资金</w:t>
      </w:r>
      <w:r w:rsidR="00391D04" w:rsidRPr="00391D04">
        <w:rPr>
          <w:rFonts w:ascii="华文楷体" w:eastAsia="华文楷体" w:hAnsi="华文楷体" w:hint="eastAsia"/>
          <w:lang w:eastAsia="zh-CN"/>
        </w:rPr>
        <w:t>平均年复合增长率近</w:t>
      </w:r>
      <w:r w:rsidR="00391D04" w:rsidRPr="00391D04">
        <w:rPr>
          <w:rFonts w:ascii="华文楷体" w:eastAsia="华文楷体" w:hAnsi="华文楷体"/>
          <w:lang w:eastAsia="zh-CN"/>
        </w:rPr>
        <w:t>22%</w:t>
      </w:r>
      <w:r w:rsidR="00391D04" w:rsidRPr="00391D04">
        <w:rPr>
          <w:rFonts w:ascii="华文楷体" w:eastAsia="华文楷体" w:hAnsi="华文楷体" w:hint="eastAsia"/>
          <w:lang w:eastAsia="zh-CN"/>
        </w:rPr>
        <w:t>，显示了内地投资</w:t>
      </w:r>
      <w:r>
        <w:rPr>
          <w:rFonts w:ascii="华文楷体" w:eastAsia="华文楷体" w:hAnsi="华文楷体" w:hint="eastAsia"/>
          <w:lang w:eastAsia="zh-CN"/>
        </w:rPr>
        <w:t>者对香港地区证券资产的强劲需求</w:t>
      </w:r>
      <w:r w:rsidR="00391D04" w:rsidRPr="00391D04">
        <w:rPr>
          <w:rFonts w:ascii="华文楷体" w:eastAsia="华文楷体" w:hAnsi="华文楷体" w:hint="eastAsia"/>
          <w:lang w:eastAsia="zh-CN"/>
        </w:rPr>
        <w:t>。</w:t>
      </w:r>
    </w:p>
    <w:p w:rsidR="00FA5E90" w:rsidRDefault="00FA5E90" w:rsidP="00391D04">
      <w:pPr>
        <w:tabs>
          <w:tab w:val="left" w:pos="2921"/>
        </w:tabs>
        <w:rPr>
          <w:rFonts w:ascii="华文楷体" w:eastAsia="华文楷体" w:hAnsi="华文楷体"/>
          <w:lang w:eastAsia="zh-CN"/>
        </w:rPr>
      </w:pPr>
    </w:p>
    <w:p w:rsidR="00FA5E90" w:rsidRDefault="00FA5E90" w:rsidP="00391D04">
      <w:pPr>
        <w:tabs>
          <w:tab w:val="left" w:pos="2921"/>
        </w:tabs>
        <w:rPr>
          <w:rFonts w:ascii="华文楷体" w:eastAsia="华文楷体" w:hAnsi="华文楷体" w:hint="eastAsia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政策方面，港交所修改上市规则，自</w:t>
      </w:r>
      <w:r w:rsidRPr="00FA5E90">
        <w:rPr>
          <w:rFonts w:ascii="华文楷体" w:eastAsia="华文楷体" w:hAnsi="华文楷体"/>
          <w:lang w:eastAsia="zh-CN"/>
        </w:rPr>
        <w:t>2023</w:t>
      </w:r>
      <w:r>
        <w:rPr>
          <w:rFonts w:ascii="华文楷体" w:eastAsia="华文楷体" w:hAnsi="华文楷体" w:hint="eastAsia"/>
          <w:lang w:eastAsia="zh-CN"/>
        </w:rPr>
        <w:t>年第一季度为</w:t>
      </w:r>
      <w:r w:rsidRPr="00FA5E90">
        <w:rPr>
          <w:rFonts w:ascii="华文楷体" w:eastAsia="华文楷体" w:hAnsi="华文楷体" w:hint="eastAsia"/>
          <w:lang w:eastAsia="zh-CN"/>
        </w:rPr>
        <w:t>特专科技公司来港上市开辟新规</w:t>
      </w:r>
      <w:r>
        <w:rPr>
          <w:rFonts w:ascii="华文楷体" w:eastAsia="华文楷体" w:hAnsi="华文楷体" w:hint="eastAsia"/>
          <w:lang w:eastAsia="zh-CN"/>
        </w:rPr>
        <w:t>，此举</w:t>
      </w:r>
      <w:r w:rsidRPr="00FA5E90">
        <w:rPr>
          <w:rFonts w:ascii="华文楷体" w:eastAsia="华文楷体" w:hAnsi="华文楷体" w:hint="eastAsia"/>
          <w:lang w:eastAsia="zh-CN"/>
        </w:rPr>
        <w:t>不仅提高了来自中国内地的资金流动，而且有效促进了港股市场的规模和深度的发展</w:t>
      </w:r>
      <w:r>
        <w:rPr>
          <w:rFonts w:ascii="华文楷体" w:eastAsia="华文楷体" w:hAnsi="华文楷体" w:hint="eastAsia"/>
          <w:lang w:eastAsia="zh-CN"/>
        </w:rPr>
        <w:t>。</w:t>
      </w:r>
      <w:r w:rsidR="005E1C84">
        <w:rPr>
          <w:rFonts w:ascii="华文楷体" w:eastAsia="华文楷体" w:hAnsi="华文楷体" w:hint="eastAsia"/>
          <w:lang w:eastAsia="zh-CN"/>
        </w:rPr>
        <w:t>基于内地母公司已建立起的客户关系，在港中资券商较外资及本土券商公司更有可能从</w:t>
      </w:r>
      <w:r w:rsidRPr="00FA5E90">
        <w:rPr>
          <w:rFonts w:ascii="华文楷体" w:eastAsia="华文楷体" w:hAnsi="华文楷体" w:hint="eastAsia"/>
          <w:lang w:eastAsia="zh-CN"/>
        </w:rPr>
        <w:t>新上市规则中受益。</w:t>
      </w:r>
    </w:p>
    <w:p w:rsidR="00586FBF" w:rsidRDefault="00586FBF" w:rsidP="00586FBF">
      <w:pPr>
        <w:tabs>
          <w:tab w:val="left" w:pos="2921"/>
        </w:tabs>
        <w:rPr>
          <w:rFonts w:ascii="华文楷体" w:eastAsia="华文楷体" w:hAnsi="华文楷体"/>
          <w:lang w:eastAsia="zh-CN"/>
        </w:rPr>
      </w:pPr>
    </w:p>
    <w:p w:rsidR="00020D0C" w:rsidRPr="00020D0C" w:rsidRDefault="00E14B62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/>
          <w:lang w:eastAsia="zh-CN"/>
        </w:rPr>
        <w:t>2013</w:t>
      </w:r>
      <w:r w:rsidR="00F77A35">
        <w:rPr>
          <w:rFonts w:ascii="华文楷体" w:eastAsia="华文楷体" w:hAnsi="华文楷体"/>
          <w:lang w:eastAsia="zh-CN"/>
        </w:rPr>
        <w:t>-2023</w:t>
      </w:r>
      <w:r w:rsidR="00F77A35">
        <w:rPr>
          <w:rFonts w:ascii="华文楷体" w:eastAsia="华文楷体" w:hAnsi="华文楷体" w:hint="eastAsia"/>
          <w:lang w:eastAsia="zh-CN"/>
        </w:rPr>
        <w:t>H</w:t>
      </w:r>
      <w:r>
        <w:rPr>
          <w:rFonts w:ascii="华文楷体" w:eastAsia="华文楷体" w:hAnsi="华文楷体"/>
          <w:lang w:eastAsia="zh-CN"/>
        </w:rPr>
        <w:t xml:space="preserve">1 </w:t>
      </w:r>
      <w:r w:rsidR="00020D0C">
        <w:rPr>
          <w:rFonts w:ascii="华文楷体" w:eastAsia="华文楷体" w:hAnsi="华文楷体" w:hint="eastAsia"/>
          <w:lang w:eastAsia="zh-CN"/>
        </w:rPr>
        <w:t>中国公司赴港上市数目、募集资金占比</w:t>
      </w:r>
    </w:p>
    <w:p w:rsidR="00E14B62" w:rsidRDefault="008B44AC">
      <w:pPr>
        <w:rPr>
          <w:rFonts w:ascii="华文楷体" w:eastAsia="华文楷体" w:hAnsi="华文楷体"/>
          <w:lang w:eastAsia="zh-CN"/>
        </w:rPr>
      </w:pPr>
      <w:r w:rsidRPr="008B44AC">
        <w:rPr>
          <w:rFonts w:ascii="华文楷体" w:eastAsia="华文楷体" w:hAnsi="华文楷体"/>
          <w:noProof/>
          <w:lang w:eastAsia="zh-CN"/>
        </w:rPr>
        <w:drawing>
          <wp:inline distT="0" distB="0" distL="0" distR="0">
            <wp:extent cx="3490622" cy="18337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31" cy="185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057" w:rsidRDefault="007A6057" w:rsidP="007A6057">
      <w:pPr>
        <w:rPr>
          <w:rFonts w:ascii="华文楷体" w:eastAsia="华文楷体" w:hAnsi="华文楷体"/>
          <w:lang w:eastAsia="zh-CN"/>
        </w:rPr>
      </w:pPr>
    </w:p>
    <w:p w:rsidR="00AC20DD" w:rsidRDefault="00AC20DD" w:rsidP="00AC20DD">
      <w:pPr>
        <w:tabs>
          <w:tab w:val="center" w:pos="4153"/>
        </w:tabs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/>
          <w:lang w:eastAsia="zh-CN"/>
        </w:rPr>
        <w:t xml:space="preserve">2013-2023H1 </w:t>
      </w:r>
      <w:r>
        <w:rPr>
          <w:rFonts w:ascii="华文楷体" w:eastAsia="华文楷体" w:hAnsi="华文楷体" w:hint="eastAsia"/>
          <w:lang w:eastAsia="zh-CN"/>
        </w:rPr>
        <w:t>中资机构承销市占率、头部集中度</w:t>
      </w:r>
    </w:p>
    <w:p w:rsidR="00AC20DD" w:rsidRDefault="00AC20DD" w:rsidP="00AC20DD">
      <w:pPr>
        <w:rPr>
          <w:rFonts w:ascii="华文楷体" w:eastAsia="华文楷体" w:hAnsi="华文楷体"/>
          <w:lang w:eastAsia="zh-CN"/>
        </w:rPr>
      </w:pPr>
      <w:r w:rsidRPr="009A4F64">
        <w:rPr>
          <w:noProof/>
          <w:lang w:eastAsia="zh-CN"/>
        </w:rPr>
        <w:drawing>
          <wp:inline distT="0" distB="0" distL="0" distR="0" wp14:anchorId="1A642A05" wp14:editId="0FACB765">
            <wp:extent cx="4249650" cy="143918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146" cy="144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0DD" w:rsidRDefault="00AC20DD" w:rsidP="007A6057">
      <w:pPr>
        <w:rPr>
          <w:rFonts w:ascii="华文楷体" w:eastAsia="华文楷体" w:hAnsi="华文楷体"/>
          <w:lang w:eastAsia="zh-CN"/>
        </w:rPr>
      </w:pPr>
    </w:p>
    <w:p w:rsidR="00AC20DD" w:rsidRDefault="00AC20DD" w:rsidP="007A6057">
      <w:pPr>
        <w:rPr>
          <w:rFonts w:ascii="华文楷体" w:eastAsia="华文楷体" w:hAnsi="华文楷体"/>
          <w:lang w:eastAsia="zh-CN"/>
        </w:rPr>
      </w:pPr>
    </w:p>
    <w:p w:rsidR="00E14B62" w:rsidRPr="007A6057" w:rsidRDefault="00B65D2B" w:rsidP="007A6057">
      <w:pPr>
        <w:rPr>
          <w:rFonts w:ascii="华文楷体" w:eastAsia="华文楷体" w:hAnsi="华文楷体"/>
          <w:lang w:eastAsia="zh-CN"/>
        </w:rPr>
      </w:pPr>
      <w:r w:rsidRPr="007A6057">
        <w:rPr>
          <w:rFonts w:ascii="华文楷体" w:eastAsia="华文楷体" w:hAnsi="华文楷体" w:hint="eastAsia"/>
          <w:lang w:eastAsia="zh-CN"/>
        </w:rPr>
        <w:t>2</w:t>
      </w:r>
      <w:r w:rsidRPr="007A6057">
        <w:rPr>
          <w:rFonts w:ascii="华文楷体" w:eastAsia="华文楷体" w:hAnsi="华文楷体"/>
          <w:lang w:eastAsia="zh-CN"/>
        </w:rPr>
        <w:t>021-23H1</w:t>
      </w:r>
      <w:r w:rsidR="007A6057">
        <w:rPr>
          <w:rFonts w:ascii="华文楷体" w:eastAsia="华文楷体" w:hAnsi="华文楷体" w:hint="eastAsia"/>
          <w:lang w:eastAsia="zh-CN"/>
        </w:rPr>
        <w:t>中资机构承销</w:t>
      </w:r>
      <w:r w:rsidR="00E14B62" w:rsidRPr="007A6057">
        <w:rPr>
          <w:rFonts w:ascii="华文楷体" w:eastAsia="华文楷体" w:hAnsi="华文楷体" w:hint="eastAsia"/>
          <w:lang w:eastAsia="zh-CN"/>
        </w:rPr>
        <w:t>金额排名（分IPO、FO</w:t>
      </w:r>
      <w:r w:rsidR="00E14B62" w:rsidRPr="007A6057">
        <w:rPr>
          <w:rFonts w:ascii="华文楷体" w:eastAsia="华文楷体" w:hAnsi="华文楷体"/>
          <w:lang w:eastAsia="zh-CN"/>
        </w:rPr>
        <w:t>）</w:t>
      </w:r>
    </w:p>
    <w:p w:rsidR="00F77A35" w:rsidRDefault="009A4F64">
      <w:pPr>
        <w:rPr>
          <w:rFonts w:ascii="华文楷体" w:eastAsia="华文楷体" w:hAnsi="华文楷体"/>
          <w:lang w:eastAsia="zh-CN"/>
        </w:rPr>
      </w:pPr>
      <w:bookmarkStart w:id="0" w:name="_GoBack"/>
      <w:r w:rsidRPr="009A4F64">
        <w:rPr>
          <w:noProof/>
          <w:lang w:eastAsia="zh-CN"/>
        </w:rPr>
        <w:lastRenderedPageBreak/>
        <w:drawing>
          <wp:inline distT="0" distB="0" distL="0" distR="0">
            <wp:extent cx="5629523" cy="37045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615" cy="370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6057" w:rsidRDefault="007A6057">
      <w:pPr>
        <w:rPr>
          <w:rFonts w:ascii="华文楷体" w:eastAsia="华文楷体" w:hAnsi="华文楷体"/>
          <w:lang w:eastAsia="zh-CN"/>
        </w:rPr>
      </w:pPr>
    </w:p>
    <w:p w:rsidR="00F77A35" w:rsidRDefault="00F77A35">
      <w:pPr>
        <w:rPr>
          <w:rFonts w:ascii="华文楷体" w:eastAsia="华文楷体" w:hAnsi="华文楷体"/>
          <w:lang w:eastAsia="zh-CN"/>
        </w:rPr>
      </w:pPr>
    </w:p>
    <w:p w:rsidR="00F77A35" w:rsidRDefault="00391D04">
      <w:pPr>
        <w:rPr>
          <w:rFonts w:ascii="华文楷体" w:eastAsia="华文楷体" w:hAnsi="华文楷体"/>
          <w:lang w:eastAsia="zh-CN"/>
        </w:rPr>
      </w:pPr>
      <w:r>
        <w:rPr>
          <w:rFonts w:ascii="华文楷体" w:eastAsia="华文楷体" w:hAnsi="华文楷体" w:hint="eastAsia"/>
          <w:lang w:eastAsia="zh-CN"/>
        </w:rPr>
        <w:t>对外证券投资资产：香港</w:t>
      </w:r>
    </w:p>
    <w:p w:rsidR="00E443A7" w:rsidRDefault="00E443A7">
      <w:pPr>
        <w:rPr>
          <w:rFonts w:ascii="华文楷体" w:eastAsia="华文楷体" w:hAnsi="华文楷体"/>
          <w:lang w:eastAsia="zh-CN"/>
        </w:rPr>
      </w:pPr>
    </w:p>
    <w:p w:rsidR="00E443A7" w:rsidRPr="00B64700" w:rsidRDefault="00E443A7">
      <w:pPr>
        <w:rPr>
          <w:rFonts w:ascii="华文楷体" w:eastAsia="华文楷体" w:hAnsi="华文楷体"/>
          <w:lang w:eastAsia="zh-CN"/>
        </w:rPr>
      </w:pPr>
    </w:p>
    <w:sectPr w:rsidR="00E443A7" w:rsidRPr="00B64700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038" w:rsidRDefault="00F12038" w:rsidP="00B65D2B">
      <w:r>
        <w:separator/>
      </w:r>
    </w:p>
  </w:endnote>
  <w:endnote w:type="continuationSeparator" w:id="0">
    <w:p w:rsidR="00F12038" w:rsidRDefault="00F12038" w:rsidP="00B6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038" w:rsidRDefault="00F12038" w:rsidP="00B65D2B">
      <w:r>
        <w:separator/>
      </w:r>
    </w:p>
  </w:footnote>
  <w:footnote w:type="continuationSeparator" w:id="0">
    <w:p w:rsidR="00F12038" w:rsidRDefault="00F12038" w:rsidP="00B65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E4"/>
    <w:rsid w:val="00020D0C"/>
    <w:rsid w:val="000266F9"/>
    <w:rsid w:val="00113C9A"/>
    <w:rsid w:val="00150BD9"/>
    <w:rsid w:val="00230021"/>
    <w:rsid w:val="00273727"/>
    <w:rsid w:val="002B0F0B"/>
    <w:rsid w:val="003017E3"/>
    <w:rsid w:val="003356BA"/>
    <w:rsid w:val="00336312"/>
    <w:rsid w:val="003648F3"/>
    <w:rsid w:val="00367F52"/>
    <w:rsid w:val="00391D04"/>
    <w:rsid w:val="003A1271"/>
    <w:rsid w:val="00402920"/>
    <w:rsid w:val="004256C8"/>
    <w:rsid w:val="00443A0D"/>
    <w:rsid w:val="004B4B1A"/>
    <w:rsid w:val="004F12BA"/>
    <w:rsid w:val="004F63E9"/>
    <w:rsid w:val="00571E1C"/>
    <w:rsid w:val="00577C91"/>
    <w:rsid w:val="00586FBF"/>
    <w:rsid w:val="005879BE"/>
    <w:rsid w:val="005E1C84"/>
    <w:rsid w:val="005E76E9"/>
    <w:rsid w:val="0060483F"/>
    <w:rsid w:val="006675FB"/>
    <w:rsid w:val="006A3CAB"/>
    <w:rsid w:val="006C0DD1"/>
    <w:rsid w:val="006D0727"/>
    <w:rsid w:val="007175B2"/>
    <w:rsid w:val="007718B3"/>
    <w:rsid w:val="00792C50"/>
    <w:rsid w:val="007A6057"/>
    <w:rsid w:val="007B7EC0"/>
    <w:rsid w:val="007E47ED"/>
    <w:rsid w:val="008120E4"/>
    <w:rsid w:val="00825FAB"/>
    <w:rsid w:val="0085126E"/>
    <w:rsid w:val="00892989"/>
    <w:rsid w:val="008B44AC"/>
    <w:rsid w:val="00923B69"/>
    <w:rsid w:val="00937271"/>
    <w:rsid w:val="0099490D"/>
    <w:rsid w:val="009A4F64"/>
    <w:rsid w:val="009C7DAC"/>
    <w:rsid w:val="009E2BAB"/>
    <w:rsid w:val="009E5C44"/>
    <w:rsid w:val="00A16CED"/>
    <w:rsid w:val="00A411DB"/>
    <w:rsid w:val="00A45E77"/>
    <w:rsid w:val="00AB5512"/>
    <w:rsid w:val="00AC20DD"/>
    <w:rsid w:val="00B202BA"/>
    <w:rsid w:val="00B51C4B"/>
    <w:rsid w:val="00B61CC1"/>
    <w:rsid w:val="00B64700"/>
    <w:rsid w:val="00B65D2B"/>
    <w:rsid w:val="00B94864"/>
    <w:rsid w:val="00BC336B"/>
    <w:rsid w:val="00BE249C"/>
    <w:rsid w:val="00C07C11"/>
    <w:rsid w:val="00C4767A"/>
    <w:rsid w:val="00CA59A1"/>
    <w:rsid w:val="00CB0176"/>
    <w:rsid w:val="00CB4F33"/>
    <w:rsid w:val="00CD502D"/>
    <w:rsid w:val="00D05385"/>
    <w:rsid w:val="00D63E6A"/>
    <w:rsid w:val="00DD32F9"/>
    <w:rsid w:val="00E14B62"/>
    <w:rsid w:val="00E443A7"/>
    <w:rsid w:val="00E875C9"/>
    <w:rsid w:val="00F06303"/>
    <w:rsid w:val="00F12038"/>
    <w:rsid w:val="00F16D79"/>
    <w:rsid w:val="00F677E7"/>
    <w:rsid w:val="00F768CF"/>
    <w:rsid w:val="00F76F43"/>
    <w:rsid w:val="00F77A35"/>
    <w:rsid w:val="00F953B8"/>
    <w:rsid w:val="00FA0D9B"/>
    <w:rsid w:val="00FA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2D4A"/>
  <w15:chartTrackingRefBased/>
  <w15:docId w15:val="{A0A483D3-2BDD-4AB4-8D6B-A8C101A9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D2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D2B"/>
  </w:style>
  <w:style w:type="paragraph" w:styleId="Footer">
    <w:name w:val="footer"/>
    <w:basedOn w:val="Normal"/>
    <w:link w:val="FooterChar"/>
    <w:uiPriority w:val="99"/>
    <w:unhideWhenUsed/>
    <w:rsid w:val="00B65D2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D2B"/>
  </w:style>
  <w:style w:type="paragraph" w:styleId="Title">
    <w:name w:val="Title"/>
    <w:basedOn w:val="Normal"/>
    <w:next w:val="Normal"/>
    <w:link w:val="TitleChar"/>
    <w:uiPriority w:val="10"/>
    <w:qFormat/>
    <w:rsid w:val="00020D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D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BOCI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XL Geng/STR/HK/BOCI</dc:creator>
  <cp:keywords/>
  <dc:description/>
  <cp:lastModifiedBy>Lynn XL Geng/STR/HK/BOCI</cp:lastModifiedBy>
  <cp:revision>48</cp:revision>
  <dcterms:created xsi:type="dcterms:W3CDTF">2023-07-10T01:06:00Z</dcterms:created>
  <dcterms:modified xsi:type="dcterms:W3CDTF">2023-07-23T05:29:00Z</dcterms:modified>
</cp:coreProperties>
</file>