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of competing interest</w:t>
      </w:r>
    </w:p>
    <w:p>
      <w:r>
        <w:rPr>
          <w:b/>
        </w:rPr>
        <w:t xml:space="preserve">Article  </w:t>
      </w:r>
      <w:r>
        <w:t>Executable Evidence for Testing Differentiable Numerical Components: Strategy Increments and External Defect Cases</w:t>
      </w:r>
    </w:p>
    <w:p>
      <w:r>
        <w:rPr>
          <w:b/>
        </w:rPr>
        <w:t xml:space="preserve">Corresponding author  </w:t>
      </w:r>
      <w:r>
        <w:t>Ning Hu, huning@hdu.edu.cn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Date  5 September 2026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