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基于 OpenClaw 的多智能体金融交易系统实现报告</w:t>
      </w:r>
    </w:p>
    <w:p/>
    <w:p>
      <w:pPr>
        <w:pStyle w:val="Heading2"/>
      </w:pPr>
      <w:r>
        <w:t>1. 项目说明</w:t>
      </w:r>
    </w:p>
    <w:p/>
    <w:p>
      <w:r>
        <w:t>本次实习任务要求围绕 OpenClaw 搭建一个多智能体金融交易系统。我在实现时没有直接去做实盘交易，而是先完成一个可运行、可检查的本地原型系统。这样做主要是出于两点考虑：一是金融交易涉及真实资金，系统在没有充分回测和人工确认前不应该直接下单；二是实习阶段更重要的是验证多智能体协作、数据处理、策略生成和风控拦截这一整条流程是否能跑通。</w:t>
      </w:r>
    </w:p>
    <w:p/>
    <w:p>
      <w:r>
        <w:t>当前项目实现的是 simulation-only 版本。系统可以自动生成行情样例或读取 CSV 数据，计算常用技术指标，组织多空观点辩论，输出结构化交易信号，再交给独立风控模块审查。对于 BUY 或 SELL 这类非 HOLD 信号，系统会生成 HITL 人工审批卡片，并保持 execution_released=false，也就是不会释放真实执行权限。</w:t>
      </w:r>
    </w:p>
    <w:p/>
    <w:p>
      <w:pPr>
        <w:pStyle w:val="Heading2"/>
      </w:pPr>
      <w:r>
        <w:t>2. 项目目录</w:t>
      </w:r>
    </w:p>
    <w:p/>
    <w:p>
      <w:r>
        <w:t>项目主体目录为 openclaw-finance-system，主要结构如下：</w:t>
      </w:r>
    </w:p>
    <w:p/>
    <w:tbl>
      <w:tblPr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rPr>
                <w:b/>
              </w:rPr>
              <w:t>目录或文件</w:t>
            </w:r>
          </w:p>
        </w:tc>
        <w:tc>
          <w:tcPr>
            <w:tcW w:w="4500" w:type="dxa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4500" w:type="dxa"/>
          </w:tcPr>
          <w:p>
            <w:r>
              <w:t>agents/</w:t>
            </w:r>
          </w:p>
        </w:tc>
        <w:tc>
          <w:tcPr>
            <w:tcW w:w="4500" w:type="dxa"/>
          </w:tcPr>
          <w:p>
            <w:r>
              <w:t>四类智能体的角色设定和工具边界</w:t>
            </w:r>
          </w:p>
        </w:tc>
      </w:tr>
      <w:tr>
        <w:tc>
          <w:tcPr>
            <w:tcW w:w="4500" w:type="dxa"/>
          </w:tcPr>
          <w:p>
            <w:r>
              <w:t>config/</w:t>
            </w:r>
          </w:p>
        </w:tc>
        <w:tc>
          <w:tcPr>
            <w:tcW w:w="4500" w:type="dxa"/>
          </w:tcPr>
          <w:p>
            <w:r>
              <w:t>智能体配置、定时任务、消息网关和新闻源配置样例</w:t>
            </w:r>
          </w:p>
        </w:tc>
      </w:tr>
      <w:tr>
        <w:tc>
          <w:tcPr>
            <w:tcW w:w="4500" w:type="dxa"/>
          </w:tcPr>
          <w:p>
            <w:r>
              <w:t>src/finance_agents/</w:t>
            </w:r>
          </w:p>
        </w:tc>
        <w:tc>
          <w:tcPr>
            <w:tcW w:w="4500" w:type="dxa"/>
          </w:tcPr>
          <w:p>
            <w:r>
              <w:t>行情、指标、辩论、策略、风控、HITL、回测等核心代码</w:t>
            </w:r>
          </w:p>
        </w:tc>
      </w:tr>
      <w:tr>
        <w:tc>
          <w:tcPr>
            <w:tcW w:w="4500" w:type="dxa"/>
          </w:tcPr>
          <w:p>
            <w:r>
              <w:t>schemas/</w:t>
            </w:r>
          </w:p>
        </w:tc>
        <w:tc>
          <w:tcPr>
            <w:tcW w:w="4500" w:type="dxa"/>
          </w:tcPr>
          <w:p>
            <w:r>
              <w:t>交易信号 JSON Schema</w:t>
            </w:r>
          </w:p>
        </w:tc>
      </w:tr>
      <w:tr>
        <w:tc>
          <w:tcPr>
            <w:tcW w:w="4500" w:type="dxa"/>
          </w:tcPr>
          <w:p>
            <w:r>
              <w:t>memory/</w:t>
            </w:r>
          </w:p>
        </w:tc>
        <w:tc>
          <w:tcPr>
            <w:tcW w:w="4500" w:type="dxa"/>
          </w:tcPr>
          <w:p>
            <w:r>
              <w:t>共享市场事件和人工决策记录</w:t>
            </w:r>
          </w:p>
        </w:tc>
      </w:tr>
      <w:tr>
        <w:tc>
          <w:tcPr>
            <w:tcW w:w="4500" w:type="dxa"/>
          </w:tcPr>
          <w:p>
            <w:r>
              <w:t>reports/</w:t>
            </w:r>
          </w:p>
        </w:tc>
        <w:tc>
          <w:tcPr>
            <w:tcW w:w="4500" w:type="dxa"/>
          </w:tcPr>
          <w:p>
            <w:r>
              <w:t>系统运行后自动生成的报告，本地生成，不作为固定源码提交</w:t>
            </w:r>
          </w:p>
        </w:tc>
      </w:tr>
      <w:tr>
        <w:tc>
          <w:tcPr>
            <w:tcW w:w="4500" w:type="dxa"/>
          </w:tcPr>
          <w:p>
            <w:r>
              <w:t>docs/</w:t>
            </w:r>
          </w:p>
        </w:tc>
        <w:tc>
          <w:tcPr>
            <w:tcW w:w="4500" w:type="dxa"/>
          </w:tcPr>
          <w:p>
            <w:r>
              <w:t>架构说明、运行手册、分析报告和本报告</w:t>
            </w:r>
          </w:p>
        </w:tc>
      </w:tr>
      <w:tr>
        <w:tc>
          <w:tcPr>
            <w:tcW w:w="4500" w:type="dxa"/>
          </w:tcPr>
          <w:p>
            <w:r>
              <w:t>dashboard.html</w:t>
            </w:r>
          </w:p>
        </w:tc>
        <w:tc>
          <w:tcPr>
            <w:tcW w:w="4500" w:type="dxa"/>
          </w:tcPr>
          <w:p>
            <w:r>
              <w:t>本地可视化验收页面</w:t>
            </w:r>
          </w:p>
        </w:tc>
      </w:tr>
      <w:tr>
        <w:tc>
          <w:tcPr>
            <w:tcW w:w="4500" w:type="dxa"/>
          </w:tcPr>
          <w:p>
            <w:r>
              <w:t>open_dashboard.bat</w:t>
            </w:r>
          </w:p>
        </w:tc>
        <w:tc>
          <w:tcPr>
            <w:tcW w:w="4500" w:type="dxa"/>
          </w:tcPr>
          <w:p>
            <w:r>
              <w:t>一键运行和展示脚本</w:t>
            </w:r>
          </w:p>
        </w:tc>
      </w:tr>
    </w:tbl>
    <w:p/>
    <w:p/>
    <w:p>
      <w:r>
        <w:t>整体流程可以概括为：</w:t>
      </w:r>
    </w:p>
    <w:p/>
    <w:p>
      <w:pPr>
        <w:pStyle w:val="Code"/>
      </w:pPr>
      <w:r>
        <w:t>行情数据 -&gt; 指标计算 -&gt; 多空辩论 -&gt; 交易建议 -&gt; 风控审查 -&gt; 人工审批 -&gt; 回测和报告</w:t>
      </w:r>
    </w:p>
    <w:p/>
    <w:p>
      <w:pPr>
        <w:pStyle w:val="Heading2"/>
      </w:pPr>
      <w:r>
        <w:t>3. 智能体分工</w:t>
      </w:r>
    </w:p>
    <w:p/>
    <w:p>
      <w:r>
        <w:t>系统中一共设计了四类角色，每个角色都单独放置了 SOUL.md 和 TOOLS.md，用于说明它的职责、限制和可使用工具。</w:t>
      </w:r>
    </w:p>
    <w:p/>
    <w:p>
      <w:pPr>
        <w:pStyle w:val="Heading3"/>
      </w:pPr>
      <w:r>
        <w:t>3.1 协调员 / 投资总监</w:t>
      </w:r>
    </w:p>
    <w:p/>
    <w:p>
      <w:r>
        <w:t>协调员主要负责把一次分析任务串起来。它不直接做交易，而是负责调用分析、交易和风控相关环节，把不同模块的结果汇总成一份可审计的结论。为了降低误操作风险，协调员被限制为不能调用真实券商接口，也不能绕过风控。</w:t>
      </w:r>
    </w:p>
    <w:p/>
    <w:p>
      <w:pPr>
        <w:pStyle w:val="Heading3"/>
      </w:pPr>
      <w:r>
        <w:t>3.2 研究员 / 分析师</w:t>
      </w:r>
    </w:p>
    <w:p/>
    <w:p>
      <w:r>
        <w:t>分析师负责读取行情数据和共享市场上下文，并计算 RSI、MACD、均线、波动率、VaR、CVaR、最大回撤等指标。它的输出不是简单给出“买”或“卖”，而是要同时整理多头和空头理由，便于后续辩论。</w:t>
      </w:r>
    </w:p>
    <w:p/>
    <w:p>
      <w:pPr>
        <w:pStyle w:val="Heading3"/>
      </w:pPr>
      <w:r>
        <w:t>3.3 交易员 / 执行员</w:t>
      </w:r>
    </w:p>
    <w:p/>
    <w:p>
      <w:r>
        <w:t>交易员在当前版本里只负责生成模拟订单草稿。订单草稿中包含动作、数量、订单类型、限价、止损、止盈和有效期。由于本项目是安全演示版本，交易员不会连接真实账户，也不会真实下单。</w:t>
      </w:r>
    </w:p>
    <w:p/>
    <w:p>
      <w:pPr>
        <w:pStyle w:val="Heading3"/>
      </w:pPr>
      <w:r>
        <w:t>3.4 风控经理</w:t>
      </w:r>
    </w:p>
    <w:p/>
    <w:p>
      <w:r>
        <w:t>风控经理独立于策略模块，负责检查交易信号格式、仓位暴露、VaR、CVaR 和最大回撤。如果风险超限，风控模块可以直接拒绝交易提案。即使风险检查通过，只要信号是 BUY 或 SELL，也必须进入人工审批。</w:t>
      </w:r>
    </w:p>
    <w:p/>
    <w:p>
      <w:pPr>
        <w:pStyle w:val="Heading2"/>
      </w:pPr>
      <w:r>
        <w:t>4. 数据处理</w:t>
      </w:r>
    </w:p>
    <w:p/>
    <w:p>
      <w:r>
        <w:t>为了让项目可以在没有第三方数据源的情况下稳定验收，我在数据层做了两种输入方式。</w:t>
      </w:r>
    </w:p>
    <w:p/>
    <w:p>
      <w:r>
        <w:t>第一种是 CSV 输入。只要在 data/ 目录下放入 &lt;SYMBOL&gt;_bars.csv，并提供 date,open,high,low,close,volume 六个字段，系统就会优先使用这个文件。</w:t>
      </w:r>
    </w:p>
    <w:p/>
    <w:p>
      <w:r>
        <w:t>第二种是确定性样例数据。如果没有 CSV 文件，系统会根据标的名称生成一组可复现的模拟行情。这样每次验收时都能得到一致结果，方便检查系统链路，而不会因为外部数据接口不可用导致演示失败。</w:t>
      </w:r>
    </w:p>
    <w:p/>
    <w:p>
      <w:r>
        <w:t>共享市场信息放在 memory/market_events.md 中。当前版本没有真正接入浏览器新闻抓取，但在 config/news_sources.example.json 中保留了后续接入 OpenClaw 浏览器自动化的配置入口。</w:t>
      </w:r>
    </w:p>
    <w:p/>
    <w:p>
      <w:pPr>
        <w:pStyle w:val="Heading2"/>
      </w:pPr>
      <w:r>
        <w:t>5. 策略逻辑</w:t>
      </w:r>
    </w:p>
    <w:p/>
    <w:p>
      <w:r>
        <w:t>策略模块并不是直接依赖一句自然语言判断，而是先由本地代码计算硬指标，再结合多空辩论结果生成交易信号。当前使用的主要指标包括：</w:t>
      </w:r>
    </w:p>
    <w:p/>
    <w:p>
      <w:pPr>
        <w:pStyle w:val="ListParagraph"/>
      </w:pPr>
      <w:r>
        <w:t>? RSI14</w:t>
      </w:r>
    </w:p>
    <w:p>
      <w:pPr>
        <w:pStyle w:val="ListParagraph"/>
      </w:pPr>
      <w:r>
        <w:t>? MACD 和 MACD histogram</w:t>
      </w:r>
    </w:p>
    <w:p>
      <w:pPr>
        <w:pStyle w:val="ListParagraph"/>
      </w:pPr>
      <w:r>
        <w:t>? MA20、MA50</w:t>
      </w:r>
    </w:p>
    <w:p>
      <w:pPr>
        <w:pStyle w:val="ListParagraph"/>
      </w:pPr>
      <w:r>
        <w:t>? 1 日收益率和 5 日收益率</w:t>
      </w:r>
    </w:p>
    <w:p>
      <w:pPr>
        <w:pStyle w:val="ListParagraph"/>
      </w:pPr>
      <w:r>
        <w:t>? 20 日年化波动率</w:t>
      </w:r>
    </w:p>
    <w:p>
      <w:pPr>
        <w:pStyle w:val="ListParagraph"/>
      </w:pPr>
      <w:r>
        <w:t>? 60 日最大回撤</w:t>
      </w:r>
    </w:p>
    <w:p>
      <w:pPr>
        <w:pStyle w:val="ListParagraph"/>
      </w:pPr>
      <w:r>
        <w:t>? VaR95 和 CVaR95</w:t>
      </w:r>
    </w:p>
    <w:p/>
    <w:p>
      <w:r>
        <w:t>交易信号会写入 reports/latest_signal.json。信号格式受 schemas/trade_signal.schema.json 约束，主要包含标的、周期、建议动作、置信度、理由、指标快照、订单草稿、风险参数和是否需要人工审批。策略阈值、风控阈值和仓位参数集中放在 config/trading_policy.json 中，避免在多个函数里分散硬编码。这样做的好处是后续模块不需要从一段自由文本中猜测含义，也方便后续替换为回测调参结果。</w:t>
      </w:r>
    </w:p>
    <w:p/>
    <w:p>
      <w:pPr>
        <w:pStyle w:val="Heading2"/>
      </w:pPr>
      <w:r>
        <w:t>6. 多空辩论机制</w:t>
      </w:r>
    </w:p>
    <w:p/>
    <w:p>
      <w:r>
        <w:t>文档要求实现“立论 - 交叉质证 - 终极答辩”的三轮对抗性辩论。我在 src/finance_agents/debate.py 中实现了这个流程。</w:t>
      </w:r>
    </w:p>
    <w:p/>
    <w:p>
      <w:r>
        <w:t>第一轮是立论。系统会根据趋势、动量、RSI、收益率和尾部风险分别整理多头理由与空头理由。</w:t>
      </w:r>
    </w:p>
    <w:p/>
    <w:p>
      <w:r>
        <w:t>第二轮是交叉质证。多头会质疑风险是否已经反映在价格中，空头则会质疑信号是否过度依赖近期走势、是否忽略尾部亏损。</w:t>
      </w:r>
    </w:p>
    <w:p/>
    <w:p>
      <w:r>
        <w:t>第三轮是终极答辩。双方会给出更谨慎的最终表述，例如只有在风控通过和仓位受控的前提下才考虑交易。</w:t>
      </w:r>
    </w:p>
    <w:p/>
    <w:p>
      <w:r>
        <w:t>辩论结果会保存到 reports/latest_debate.md，同时给策略模块提供一个 net score。这样可以避免只看单一指标，也让最终建议有更清楚的解释来源。</w:t>
      </w:r>
    </w:p>
    <w:p/>
    <w:p>
      <w:pPr>
        <w:pStyle w:val="Heading2"/>
      </w:pPr>
      <w:r>
        <w:t>7. 风控与 HITL</w:t>
      </w:r>
    </w:p>
    <w:p/>
    <w:p>
      <w:r>
        <w:t>风控部分是本项目比较重要的一块。系统不允许策略模块自己决定是否放行交易，而是把交易信号交给 risk.py 单独审查。</w:t>
      </w:r>
    </w:p>
    <w:p/>
    <w:p>
      <w:r>
        <w:t>当前风控检查包括：</w:t>
      </w:r>
    </w:p>
    <w:p/>
    <w:p>
      <w:pPr>
        <w:pStyle w:val="ListParagraph"/>
      </w:pPr>
      <w:r>
        <w:t>? 仓位暴露是否超过上限；</w:t>
      </w:r>
    </w:p>
    <w:p>
      <w:pPr>
        <w:pStyle w:val="ListParagraph"/>
      </w:pPr>
      <w:r>
        <w:t>? VaR95 是否超过阈值；</w:t>
      </w:r>
    </w:p>
    <w:p>
      <w:pPr>
        <w:pStyle w:val="ListParagraph"/>
      </w:pPr>
      <w:r>
        <w:t>? CVaR95 是否超过阈值；</w:t>
      </w:r>
    </w:p>
    <w:p>
      <w:pPr>
        <w:pStyle w:val="ListParagraph"/>
      </w:pPr>
      <w:r>
        <w:t>? 60 日最大回撤是否超过阈值；</w:t>
      </w:r>
    </w:p>
    <w:p>
      <w:pPr>
        <w:pStyle w:val="ListParagraph"/>
      </w:pPr>
      <w:r>
        <w:t>? 交易信号是否符合 Schema；</w:t>
      </w:r>
    </w:p>
    <w:p>
      <w:pPr>
        <w:pStyle w:val="ListParagraph"/>
      </w:pPr>
      <w:r>
        <w:t>? 非 HOLD 信号是否需要人工审批。</w:t>
      </w:r>
    </w:p>
    <w:p/>
    <w:p>
      <w:r>
        <w:t>HITL 部分由 hitl.py 负责。系统会生成人工审批卡片和模拟订单草稿，文件包括：</w:t>
      </w:r>
    </w:p>
    <w:p/>
    <w:p>
      <w:pPr>
        <w:pStyle w:val="Code"/>
      </w:pPr>
      <w:r>
        <w:t>reports/latest_human_approval_card.json</w:t>
      </w:r>
    </w:p>
    <w:p>
      <w:pPr>
        <w:pStyle w:val="Code"/>
      </w:pPr>
      <w:r>
        <w:t>reports/latest_human_approval_card.md</w:t>
      </w:r>
    </w:p>
    <w:p>
      <w:pPr>
        <w:pStyle w:val="Code"/>
      </w:pPr>
      <w:r>
        <w:t>reports/latest_simulated_order_draft.json</w:t>
      </w:r>
    </w:p>
    <w:p/>
    <w:p>
      <w:r>
        <w:t>在当前实现中，只要是非 HOLD 操作，审批状态就会保持为 AWAITING_HUMAN，执行权限保持为 false。这说明系统最多给出建议和订单草稿，不会自动把交易发送到真实市场。</w:t>
      </w:r>
    </w:p>
    <w:p/>
    <w:p>
      <w:pPr>
        <w:pStyle w:val="Heading2"/>
      </w:pPr>
      <w:r>
        <w:t>8. 运行与验证</w:t>
      </w:r>
    </w:p>
    <w:p/>
    <w:p>
      <w:r>
        <w:t>为了方便验收，我添加了一个一键脚本：</w:t>
      </w:r>
    </w:p>
    <w:p/>
    <w:p>
      <w:pPr>
        <w:pStyle w:val="Code"/>
      </w:pPr>
      <w:r>
        <w:t>open_dashboard.bat</w:t>
      </w:r>
    </w:p>
    <w:p/>
    <w:p>
      <w:r>
        <w:t>双击后会自动执行以下操作：</w:t>
      </w:r>
    </w:p>
    <w:p/>
    <w:p>
      <w:pPr>
        <w:pStyle w:val="Code"/>
      </w:pPr>
      <w:r>
        <w:t>python -B .\scripts\run_mvp.py --symbol TEST --mode backtest</w:t>
      </w:r>
    </w:p>
    <w:p>
      <w:pPr>
        <w:pStyle w:val="Code"/>
      </w:pPr>
      <w:r>
        <w:t>python -B -m unittest discover -s tests</w:t>
      </w:r>
    </w:p>
    <w:p/>
    <w:p>
      <w:r>
        <w:t>脚本随后会启动本地展示页面。页面上可以看到交易标的、交易建议、风控结论、HITL 状态、核心指标、多空三轮辩论和回测结果。</w:t>
      </w:r>
    </w:p>
    <w:p/>
    <w:p>
      <w:r>
        <w:t>最近一次测试结果为：</w:t>
      </w:r>
    </w:p>
    <w:p/>
    <w:p>
      <w:pPr>
        <w:pStyle w:val="Code"/>
      </w:pPr>
      <w:r>
        <w:t>Ran 3 tests</w:t>
      </w:r>
    </w:p>
    <w:p>
      <w:pPr>
        <w:pStyle w:val="Code"/>
      </w:pPr>
      <w:r>
        <w:t>OK</w:t>
      </w:r>
    </w:p>
    <w:p/>
    <w:p>
      <w:r>
        <w:t>这说明核心流程的自动化测试已经通过。</w:t>
      </w:r>
    </w:p>
    <w:p/>
    <w:p>
      <w:pPr>
        <w:pStyle w:val="Heading2"/>
      </w:pPr>
      <w:r>
        <w:t>9. 本次样例结果</w:t>
      </w:r>
    </w:p>
    <w:p/>
    <w:p>
      <w:r>
        <w:t>本次验收使用的是 TEST 标的和 deterministic sample 行情数据，运行日期为 2026-05-24。</w:t>
      </w:r>
    </w:p>
    <w:p/>
    <w:p>
      <w:pPr>
        <w:pStyle w:val="Heading3"/>
      </w:pPr>
      <w:r>
        <w:t>9.1 交易信号</w:t>
      </w:r>
    </w:p>
    <w:p/>
    <w:tbl>
      <w:tblPr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rPr>
                <w:b/>
              </w:rPr>
              <w:t>项目</w:t>
            </w:r>
          </w:p>
        </w:tc>
        <w:tc>
          <w:tcPr>
            <w:tcW w:w="4500" w:type="dxa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w="4500" w:type="dxa"/>
          </w:tcPr>
          <w:p>
            <w:r>
              <w:t>Symbol</w:t>
            </w:r>
          </w:p>
        </w:tc>
        <w:tc>
          <w:tcPr>
            <w:tcW w:w="4500" w:type="dxa"/>
          </w:tcPr>
          <w:p>
            <w:r>
              <w:t>TEST</w:t>
            </w:r>
          </w:p>
        </w:tc>
      </w:tr>
      <w:tr>
        <w:tc>
          <w:tcPr>
            <w:tcW w:w="4500" w:type="dxa"/>
          </w:tcPr>
          <w:p>
            <w:r>
              <w:t>Recommendation</w:t>
            </w:r>
          </w:p>
        </w:tc>
        <w:tc>
          <w:tcPr>
            <w:tcW w:w="4500" w:type="dxa"/>
          </w:tcPr>
          <w:p>
            <w:r>
              <w:t>SELL</w:t>
            </w:r>
          </w:p>
        </w:tc>
      </w:tr>
      <w:tr>
        <w:tc>
          <w:tcPr>
            <w:tcW w:w="4500" w:type="dxa"/>
          </w:tcPr>
          <w:p>
            <w:r>
              <w:t>Confidence</w:t>
            </w:r>
          </w:p>
        </w:tc>
        <w:tc>
          <w:tcPr>
            <w:tcW w:w="4500" w:type="dxa"/>
          </w:tcPr>
          <w:p>
            <w:r>
              <w:t>0.9000</w:t>
            </w:r>
          </w:p>
        </w:tc>
      </w:tr>
      <w:tr>
        <w:tc>
          <w:tcPr>
            <w:tcW w:w="4500" w:type="dxa"/>
          </w:tcPr>
          <w:p>
            <w:r>
              <w:t>Horizon</w:t>
            </w:r>
          </w:p>
        </w:tc>
        <w:tc>
          <w:tcPr>
            <w:tcW w:w="4500" w:type="dxa"/>
          </w:tcPr>
          <w:p>
            <w:r>
              <w:t>1-5 trading days</w:t>
            </w:r>
          </w:p>
        </w:tc>
      </w:tr>
      <w:tr>
        <w:tc>
          <w:tcPr>
            <w:tcW w:w="4500" w:type="dxa"/>
          </w:tcPr>
          <w:p>
            <w:r>
              <w:t>Quantity</w:t>
            </w:r>
          </w:p>
        </w:tc>
        <w:tc>
          <w:tcPr>
            <w:tcW w:w="4500" w:type="dxa"/>
          </w:tcPr>
          <w:p>
            <w:r>
              <w:t>92</w:t>
            </w:r>
          </w:p>
        </w:tc>
      </w:tr>
      <w:tr>
        <w:tc>
          <w:tcPr>
            <w:tcW w:w="4500" w:type="dxa"/>
          </w:tcPr>
          <w:p>
            <w:r>
              <w:t>Order Type</w:t>
            </w:r>
          </w:p>
        </w:tc>
        <w:tc>
          <w:tcPr>
            <w:tcW w:w="4500" w:type="dxa"/>
          </w:tcPr>
          <w:p>
            <w:r>
              <w:t>LIMIT</w:t>
            </w:r>
          </w:p>
        </w:tc>
      </w:tr>
      <w:tr>
        <w:tc>
          <w:tcPr>
            <w:tcW w:w="4500" w:type="dxa"/>
          </w:tcPr>
          <w:p>
            <w:r>
              <w:t>Limit Price</w:t>
            </w:r>
          </w:p>
        </w:tc>
        <w:tc>
          <w:tcPr>
            <w:tcW w:w="4500" w:type="dxa"/>
          </w:tcPr>
          <w:p>
            <w:r>
              <w:t>107.3259</w:t>
            </w:r>
          </w:p>
        </w:tc>
      </w:tr>
      <w:tr>
        <w:tc>
          <w:tcPr>
            <w:tcW w:w="4500" w:type="dxa"/>
          </w:tcPr>
          <w:p>
            <w:r>
              <w:t>Stop Loss</w:t>
            </w:r>
          </w:p>
        </w:tc>
        <w:tc>
          <w:tcPr>
            <w:tcW w:w="4500" w:type="dxa"/>
          </w:tcPr>
          <w:p>
            <w:r>
              <w:t>109.6918</w:t>
            </w:r>
          </w:p>
        </w:tc>
      </w:tr>
      <w:tr>
        <w:tc>
          <w:tcPr>
            <w:tcW w:w="4500" w:type="dxa"/>
          </w:tcPr>
          <w:p>
            <w:r>
              <w:t>Take Profit</w:t>
            </w:r>
          </w:p>
        </w:tc>
        <w:tc>
          <w:tcPr>
            <w:tcW w:w="4500" w:type="dxa"/>
          </w:tcPr>
          <w:p>
            <w:r>
              <w:t>103.2394</w:t>
            </w:r>
          </w:p>
        </w:tc>
      </w:tr>
    </w:tbl>
    <w:p/>
    <w:p/>
    <w:p>
      <w:pPr>
        <w:pStyle w:val="Heading3"/>
      </w:pPr>
      <w:r>
        <w:t>9.2 风控结果</w:t>
      </w:r>
    </w:p>
    <w:p/>
    <w:tbl>
      <w:tblPr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rPr>
                <w:b/>
              </w:rPr>
              <w:t>项目</w:t>
            </w:r>
          </w:p>
        </w:tc>
        <w:tc>
          <w:tcPr>
            <w:tcW w:w="4500" w:type="dxa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w="4500" w:type="dxa"/>
          </w:tcPr>
          <w:p>
            <w:r>
              <w:t>Risk Decision</w:t>
            </w:r>
          </w:p>
        </w:tc>
        <w:tc>
          <w:tcPr>
            <w:tcW w:w="4500" w:type="dxa"/>
          </w:tcPr>
          <w:p>
            <w:r>
              <w:t>APPROVE_WITH_HUMAN_CONFIRMATION</w:t>
            </w:r>
          </w:p>
        </w:tc>
      </w:tr>
      <w:tr>
        <w:tc>
          <w:tcPr>
            <w:tcW w:w="4500" w:type="dxa"/>
          </w:tcPr>
          <w:p>
            <w:r>
              <w:t>Notional</w:t>
            </w:r>
          </w:p>
        </w:tc>
        <w:tc>
          <w:tcPr>
            <w:tcW w:w="4500" w:type="dxa"/>
          </w:tcPr>
          <w:p>
            <w:r>
              <w:t>9893.772</w:t>
            </w:r>
          </w:p>
        </w:tc>
      </w:tr>
      <w:tr>
        <w:tc>
          <w:tcPr>
            <w:tcW w:w="4500" w:type="dxa"/>
          </w:tcPr>
          <w:p>
            <w:r>
              <w:t>Exposure</w:t>
            </w:r>
          </w:p>
        </w:tc>
        <w:tc>
          <w:tcPr>
            <w:tcW w:w="4500" w:type="dxa"/>
          </w:tcPr>
          <w:p>
            <w:r>
              <w:t>9.8938%</w:t>
            </w:r>
          </w:p>
        </w:tc>
      </w:tr>
      <w:tr>
        <w:tc>
          <w:tcPr>
            <w:tcW w:w="4500" w:type="dxa"/>
          </w:tcPr>
          <w:p>
            <w:r>
              <w:t>VaR95</w:t>
            </w:r>
          </w:p>
        </w:tc>
        <w:tc>
          <w:tcPr>
            <w:tcW w:w="4500" w:type="dxa"/>
          </w:tcPr>
          <w:p>
            <w:r>
              <w:t>1.5662%</w:t>
            </w:r>
          </w:p>
        </w:tc>
      </w:tr>
      <w:tr>
        <w:tc>
          <w:tcPr>
            <w:tcW w:w="4500" w:type="dxa"/>
          </w:tcPr>
          <w:p>
            <w:r>
              <w:t>CVaR95</w:t>
            </w:r>
          </w:p>
        </w:tc>
        <w:tc>
          <w:tcPr>
            <w:tcW w:w="4500" w:type="dxa"/>
          </w:tcPr>
          <w:p>
            <w:r>
              <w:t>1.6523%</w:t>
            </w:r>
          </w:p>
        </w:tc>
      </w:tr>
      <w:tr>
        <w:tc>
          <w:tcPr>
            <w:tcW w:w="4500" w:type="dxa"/>
          </w:tcPr>
          <w:p>
            <w:r>
              <w:t>Max Drawdown 60</w:t>
            </w:r>
          </w:p>
        </w:tc>
        <w:tc>
          <w:tcPr>
            <w:tcW w:w="4500" w:type="dxa"/>
          </w:tcPr>
          <w:p>
            <w:r>
              <w:t>17.4073%</w:t>
            </w:r>
          </w:p>
        </w:tc>
      </w:tr>
      <w:tr>
        <w:tc>
          <w:tcPr>
            <w:tcW w:w="4500" w:type="dxa"/>
          </w:tcPr>
          <w:p>
            <w:r>
              <w:t>HITL Status</w:t>
            </w:r>
          </w:p>
        </w:tc>
        <w:tc>
          <w:tcPr>
            <w:tcW w:w="4500" w:type="dxa"/>
          </w:tcPr>
          <w:p>
            <w:r>
              <w:t>PENDING_HUMAN_APPROVAL</w:t>
            </w:r>
          </w:p>
        </w:tc>
      </w:tr>
      <w:tr>
        <w:tc>
          <w:tcPr>
            <w:tcW w:w="4500" w:type="dxa"/>
          </w:tcPr>
          <w:p>
            <w:r>
              <w:t>Execution Released</w:t>
            </w:r>
          </w:p>
        </w:tc>
        <w:tc>
          <w:tcPr>
            <w:tcW w:w="4500" w:type="dxa"/>
          </w:tcPr>
          <w:p>
            <w:r>
              <w:t>false</w:t>
            </w:r>
          </w:p>
        </w:tc>
      </w:tr>
    </w:tbl>
    <w:p/>
    <w:p/>
    <w:p>
      <w:r>
        <w:t>这个结果表示：风险检查通过，但由于交易动作是 SELL，系统仍然要求人工确认。</w:t>
      </w:r>
    </w:p>
    <w:p/>
    <w:p>
      <w:pPr>
        <w:pStyle w:val="Heading3"/>
      </w:pPr>
      <w:r>
        <w:t>9.3 回测结果</w:t>
      </w:r>
    </w:p>
    <w:p/>
    <w:tbl>
      <w:tblPr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rPr>
                <w:b/>
              </w:rPr>
              <w:t>项目</w:t>
            </w:r>
          </w:p>
        </w:tc>
        <w:tc>
          <w:tcPr>
            <w:tcW w:w="4500" w:type="dxa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w="4500" w:type="dxa"/>
          </w:tcPr>
          <w:p>
            <w:r>
              <w:t>Initial Cash</w:t>
            </w:r>
          </w:p>
        </w:tc>
        <w:tc>
          <w:tcPr>
            <w:tcW w:w="4500" w:type="dxa"/>
          </w:tcPr>
          <w:p>
            <w:r>
              <w:t>100000.00</w:t>
            </w:r>
          </w:p>
        </w:tc>
      </w:tr>
      <w:tr>
        <w:tc>
          <w:tcPr>
            <w:tcW w:w="4500" w:type="dxa"/>
          </w:tcPr>
          <w:p>
            <w:r>
              <w:t>Final Equity</w:t>
            </w:r>
          </w:p>
        </w:tc>
        <w:tc>
          <w:tcPr>
            <w:tcW w:w="4500" w:type="dxa"/>
          </w:tcPr>
          <w:p>
            <w:r>
              <w:t>102427.23</w:t>
            </w:r>
          </w:p>
        </w:tc>
      </w:tr>
      <w:tr>
        <w:tc>
          <w:tcPr>
            <w:tcW w:w="4500" w:type="dxa"/>
          </w:tcPr>
          <w:p>
            <w:r>
              <w:t>Total Return</w:t>
            </w:r>
          </w:p>
        </w:tc>
        <w:tc>
          <w:tcPr>
            <w:tcW w:w="4500" w:type="dxa"/>
          </w:tcPr>
          <w:p>
            <w:r>
              <w:t>2.4272%</w:t>
            </w:r>
          </w:p>
        </w:tc>
      </w:tr>
      <w:tr>
        <w:tc>
          <w:tcPr>
            <w:tcW w:w="4500" w:type="dxa"/>
          </w:tcPr>
          <w:p>
            <w:r>
              <w:t>Sharpe-like</w:t>
            </w:r>
          </w:p>
        </w:tc>
        <w:tc>
          <w:tcPr>
            <w:tcW w:w="4500" w:type="dxa"/>
          </w:tcPr>
          <w:p>
            <w:r>
              <w:t>3.7674</w:t>
            </w:r>
          </w:p>
        </w:tc>
      </w:tr>
      <w:tr>
        <w:tc>
          <w:tcPr>
            <w:tcW w:w="4500" w:type="dxa"/>
          </w:tcPr>
          <w:p>
            <w:r>
              <w:t>Max Drawdown</w:t>
            </w:r>
          </w:p>
        </w:tc>
        <w:tc>
          <w:tcPr>
            <w:tcW w:w="4500" w:type="dxa"/>
          </w:tcPr>
          <w:p>
            <w:r>
              <w:t>0.5531%</w:t>
            </w:r>
          </w:p>
        </w:tc>
      </w:tr>
      <w:tr>
        <w:tc>
          <w:tcPr>
            <w:tcW w:w="4500" w:type="dxa"/>
          </w:tcPr>
          <w:p>
            <w:r>
              <w:t>Trade Count</w:t>
            </w:r>
          </w:p>
        </w:tc>
        <w:tc>
          <w:tcPr>
            <w:tcW w:w="4500" w:type="dxa"/>
          </w:tcPr>
          <w:p>
            <w:r>
              <w:t>4</w:t>
            </w:r>
          </w:p>
        </w:tc>
      </w:tr>
    </w:tbl>
    <w:p/>
    <w:p/>
    <w:p>
      <w:r>
        <w:t>以上回测只用于说明系统具备回测能力，不代表策略在真实市场中一定有效。</w:t>
      </w:r>
    </w:p>
    <w:p/>
    <w:p>
      <w:pPr>
        <w:pStyle w:val="Heading2"/>
      </w:pPr>
      <w:r>
        <w:t>10. 实现中的问题和取舍</w:t>
      </w:r>
    </w:p>
    <w:p/>
    <w:p>
      <w:r>
        <w:t>在实现过程中，有几处地方没有直接做成完整生产版本，而是先采用了更适合实习验收的处理方式。</w:t>
      </w:r>
    </w:p>
    <w:p/>
    <w:p>
      <w:r>
        <w:t>第一，行情数据没有直接依赖外部 API。因为不同数据源需要账号、Token 或网络环境支持，验收时不一定稳定，所以当前系统优先支持 CSV 文件；如果没有 CSV，则使用 deterministic sample 生成可复现的样例行情。这样可以保证展示和测试结果稳定，但缺点是它不能代表真实市场的实时变化。</w:t>
      </w:r>
    </w:p>
    <w:p/>
    <w:p>
      <w:r>
        <w:t>第二，非结构化新闻抓取目前只保留了配置入口。项目中提供了 config/news_sources.example.json，也通过 memory/market_events.md 作为共享上下文入口，但还没有真正接入 OpenClaw 浏览器自动化去定时抓取财经新闻。当前报告里会明确提示外部新闻自动化尚未连接。</w:t>
      </w:r>
    </w:p>
    <w:p/>
    <w:p>
      <w:r>
        <w:t>第三，HITL 人工审批目前是本地文件形式。系统会生成审批卡片和模拟订单草稿，但没有真正发送到 Slack、Telegram 或企业微信。这是出于安全和配置成本考虑，因为真实消息网关需要额外的机器人 Token 和目标频道配置。当前版本的重点是验证“非 HOLD 信号必须等待人工确认”这个安全逻辑。</w:t>
      </w:r>
    </w:p>
    <w:p/>
    <w:p>
      <w:r>
        <w:t>第四，回测部分还比较简化。当前回测可以展示初始资金、最终权益、收益率、最大回撤和交易次数，但还没有加入手续费、滑点、停牌、流动性约束等真实交易成本，也没有和买入持有、传统多因子策略做完整横向对比。现有阈值应理解为原型配置，而不是已经经过充分调参的生产参数。</w:t>
      </w:r>
    </w:p>
    <w:p/>
    <w:p>
      <w:r>
        <w:t>这些问题不影响本项目作为原型系统展示完整链路，但如果后续继续完善，需要优先接入真实行情源、新闻自动化、消息网关和更严格的回测基准。</w:t>
      </w:r>
    </w:p>
    <w:p/>
    <w:p>
      <w:pPr>
        <w:pStyle w:val="Heading2"/>
      </w:pPr>
      <w:r>
        <w:t>11. 总结</w:t>
      </w:r>
    </w:p>
    <w:p/>
    <w:p>
      <w:r>
        <w:t>本项目完成了一个从数据输入到交易建议、风控审查、人工审批和回测展示的多智能体金融交易系统原型。和单脚本策略相比，这个项目更强调分工和安全边界：分析模块负责证据，策略模块负责生成信号，风控模块负责审查，HITL 模块负责阻断真实执行。</w:t>
      </w:r>
    </w:p>
    <w:p/>
    <w:p>
      <w:r>
        <w:t>目前系统仍有一些可以继续完善的地方。例如，真实行情接口还没有正式接入，新闻抓取和消息网关也只是配置样例；回测方面还可以加入更多基准策略，例如买入持有、传统多因子策略和单模型决策策略。后续如果继续扩展，可以先接入 YFinance、AKShare 或 Tushare，再把 OpenClaw 浏览器自动化用于市场新闻抓取，最后再考虑纸面交易环境。</w:t>
      </w:r>
    </w:p>
    <w:p/>
    <w:p>
      <w:r>
        <w:t>总体来看，本项目已经覆盖实习任务要求中的智能体配置、数据流水线、对抗性辩论、风控拦截、HITL 人工审批、自动化调度样例和回测报告。当前版本适合作为教学和研究型原型，不作为真实投资建议。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32"/>
    </w:rPr>
  </w:style>
  <w:style w:type="paragraph" w:styleId="Heading2">
    <w:name w:val="heading 2"/>
    <w:basedOn w:val="Normal"/>
    <w:next w:val="Normal"/>
    <w:qFormat/>
    <w:pPr>
      <w:spacing w:before="220" w:after="100"/>
    </w:pPr>
    <w:rPr>
      <w:b/>
      <w:sz w:val="28"/>
    </w:rPr>
  </w:style>
  <w:style w:type="paragraph" w:styleId="Heading3">
    <w:name w:val="heading 3"/>
    <w:basedOn w:val="Normal"/>
    <w:next w:val="Normal"/>
    <w:qFormat/>
    <w:pPr>
      <w:spacing w:before="180" w:after="80"/>
    </w:pPr>
    <w:rPr>
      <w:b/>
      <w:sz w:val="24"/>
    </w:rPr>
  </w:style>
  <w:style w:type="paragraph" w:styleId="ListParagraph">
    <w:name w:val="List Paragraph"/>
    <w:basedOn w:val="Normal"/>
    <w:pPr>
      <w:ind w:left="360"/>
    </w:pPr>
  </w:style>
  <w:style w:type="paragraph" w:styleId="Code">
    <w:name w:val="Code"/>
    <w:basedOn w:val="Normal"/>
    <w:rPr>
      <w:rFonts w:ascii="Consolas" w:hAnsi="Consolas"/>
      <w:sz w:val="20"/>
    </w:rPr>
  </w:style>
</w:styles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 OpenClaw ???????????????</dc:title>
  <dc:creator>Student</dc:creator>
</cp:coreProperties>
</file>