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72" w:rsidRDefault="00B64672" w:rsidP="00B64672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 w:rsidRPr="00687DED">
        <w:rPr>
          <w:rFonts w:ascii="Times New Roman" w:hAnsi="Times New Roman" w:cs="Times New Roman"/>
          <w:sz w:val="24"/>
          <w:szCs w:val="24"/>
          <w:lang w:val="en-US"/>
        </w:rPr>
        <w:t xml:space="preserve">Supplementary Table </w:t>
      </w:r>
      <w:r w:rsidR="00831A4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B64672" w:rsidRDefault="00B64672" w:rsidP="00B646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4A670C" w:rsidTr="00AE5205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2000" w:type="pct"/>
            <w:gridSpan w:val="2"/>
            <w:tcBorders>
              <w:bottom w:val="single" w:sz="4" w:space="0" w:color="auto"/>
            </w:tcBorders>
            <w:vAlign w:val="center"/>
          </w:tcPr>
          <w:p w:rsidR="004A670C" w:rsidRPr="00D67C96" w:rsidRDefault="004A670C" w:rsidP="008A7ED3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 w:rsidRPr="00D67C96"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  <w:t>H3N2</w:t>
            </w:r>
          </w:p>
        </w:tc>
        <w:tc>
          <w:tcPr>
            <w:tcW w:w="2000" w:type="pct"/>
            <w:gridSpan w:val="2"/>
            <w:tcBorders>
              <w:bottom w:val="single" w:sz="4" w:space="0" w:color="auto"/>
            </w:tcBorders>
            <w:vAlign w:val="center"/>
          </w:tcPr>
          <w:p w:rsidR="004A670C" w:rsidRPr="00D67C96" w:rsidRDefault="004A670C" w:rsidP="008A7ED3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 w:rsidRPr="00D67C96"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  <w:t>pH1N1</w:t>
            </w:r>
          </w:p>
        </w:tc>
      </w:tr>
      <w:tr w:rsidR="004D151D" w:rsidTr="00AE5205">
        <w:trPr>
          <w:trHeight w:val="397"/>
        </w:trPr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4D151D" w:rsidRPr="00D67C96" w:rsidRDefault="004D151D" w:rsidP="008A7ED3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51D" w:rsidRPr="00D67C96" w:rsidRDefault="004D151D" w:rsidP="008A7ED3">
            <w:pPr>
              <w:jc w:val="center"/>
              <w:rPr>
                <w:rFonts w:cstheme="minorHAnsi"/>
                <w:b/>
                <w:color w:val="000000"/>
                <w:sz w:val="28"/>
              </w:rPr>
            </w:pPr>
            <w:r w:rsidRPr="00D67C96">
              <w:rPr>
                <w:rFonts w:cstheme="minorHAnsi"/>
                <w:b/>
                <w:color w:val="000000"/>
                <w:sz w:val="28"/>
              </w:rPr>
              <w:t>dN/dS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51D" w:rsidRPr="00D67C96" w:rsidRDefault="004D151D" w:rsidP="008A7ED3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 w:rsidRPr="00D67C96"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  <w:t>HyPhy SCLAC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51D" w:rsidRPr="00D67C96" w:rsidRDefault="004D151D" w:rsidP="008A7ED3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 w:rsidRPr="00D67C96">
              <w:rPr>
                <w:rFonts w:cstheme="minorHAnsi"/>
                <w:b/>
                <w:color w:val="000000"/>
                <w:sz w:val="28"/>
              </w:rPr>
              <w:t>dN/dS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51D" w:rsidRPr="00D67C96" w:rsidRDefault="004D151D" w:rsidP="008A7ED3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</w:pPr>
            <w:r w:rsidRPr="00D67C96">
              <w:rPr>
                <w:rFonts w:eastAsia="Times New Roman" w:cstheme="minorHAnsi"/>
                <w:b/>
                <w:color w:val="000000"/>
                <w:sz w:val="28"/>
                <w:lang w:val="en-US" w:eastAsia="de-DE"/>
              </w:rPr>
              <w:t>HyPhy SCLAC</w:t>
            </w:r>
          </w:p>
        </w:tc>
      </w:tr>
      <w:tr w:rsidR="004A670C" w:rsidRPr="00C478AD" w:rsidTr="00AE5205">
        <w:trPr>
          <w:trHeight w:val="397"/>
        </w:trPr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4A670C" w:rsidRPr="00D67C96" w:rsidRDefault="004A670C" w:rsidP="008A7ED3">
            <w:pPr>
              <w:jc w:val="center"/>
              <w:rPr>
                <w:rFonts w:cstheme="minorHAnsi"/>
                <w:color w:val="000000"/>
                <w:sz w:val="28"/>
              </w:rPr>
            </w:pPr>
            <w:r w:rsidRPr="00D67C96">
              <w:rPr>
                <w:b/>
                <w:sz w:val="28"/>
                <w:lang w:val="en-US"/>
              </w:rPr>
              <w:t>PB2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0.223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0.283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4A670C" w:rsidRPr="00B60B11" w:rsidRDefault="00A65CDD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0.260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4A670C" w:rsidRPr="00B60B11" w:rsidRDefault="003470D3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0.480</m:t>
                </m:r>
              </m:oMath>
            </m:oMathPara>
          </w:p>
        </w:tc>
      </w:tr>
      <w:tr w:rsidR="004A670C" w:rsidRPr="00C478AD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PB1</w:t>
            </w:r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0.096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0.204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A65CDD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0.119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3470D3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0.220</m:t>
                </m:r>
              </m:oMath>
            </m:oMathPara>
          </w:p>
        </w:tc>
      </w:tr>
      <w:tr w:rsidR="004A670C" w:rsidRPr="00C478AD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PA</w:t>
            </w:r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0.142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0.212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0,277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3470D3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0.455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rFonts w:cstheme="minorHAnsi"/>
                <w:color w:val="000000"/>
                <w:sz w:val="28"/>
              </w:rPr>
            </w:pPr>
            <w:r w:rsidRPr="00D67C96">
              <w:rPr>
                <w:b/>
                <w:sz w:val="28"/>
                <w:lang w:val="en-US"/>
              </w:rPr>
              <w:t>HA1</w:t>
            </w:r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0.298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0.522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4A670C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0,344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RDefault="00FD27A2" w:rsidP="008A7ED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0.506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HA2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0.148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0.206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0.127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FD27A2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0.231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NP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0,089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0.127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0,162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0.269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NA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0,778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0.688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0,520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0.950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M1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0,100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0.208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0,232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0.350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M2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0.589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1.812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0,472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1.242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NS1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0.429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0.589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0,488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0.977</m:t>
                </m:r>
              </m:oMath>
            </m:oMathPara>
          </w:p>
        </w:tc>
      </w:tr>
      <w:tr w:rsidR="004A670C" w:rsidTr="008A7ED3">
        <w:trPr>
          <w:trHeight w:val="397"/>
        </w:trPr>
        <w:tc>
          <w:tcPr>
            <w:tcW w:w="1000" w:type="pct"/>
            <w:vAlign w:val="center"/>
          </w:tcPr>
          <w:p w:rsidR="004A670C" w:rsidRPr="00D67C96" w:rsidRDefault="004A670C" w:rsidP="008A7ED3">
            <w:pPr>
              <w:jc w:val="center"/>
              <w:rPr>
                <w:b/>
                <w:sz w:val="28"/>
                <w:lang w:val="en-US"/>
              </w:rPr>
            </w:pPr>
            <w:r w:rsidRPr="00D67C96">
              <w:rPr>
                <w:b/>
                <w:sz w:val="28"/>
                <w:lang w:val="en-US"/>
              </w:rPr>
              <w:t>NS2</w:t>
            </w:r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0.327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A65CDD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0.774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4A670C" w:rsidP="008A7ED3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0,420</m:t>
                </m:r>
              </m:oMath>
            </m:oMathPara>
          </w:p>
        </w:tc>
        <w:tc>
          <w:tcPr>
            <w:tcW w:w="1000" w:type="pct"/>
            <w:vAlign w:val="center"/>
          </w:tcPr>
          <w:p w:rsidR="004A670C" w:rsidRPr="00B60B11" w:rsidDel="00DB4CE9" w:rsidRDefault="003470D3" w:rsidP="008A7ED3">
            <w:pPr>
              <w:jc w:val="center"/>
              <w:rPr>
                <w:rFonts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0.611</m:t>
                </m:r>
              </m:oMath>
            </m:oMathPara>
          </w:p>
        </w:tc>
      </w:tr>
    </w:tbl>
    <w:p w:rsidR="00B64672" w:rsidRDefault="00B64672" w:rsidP="00B64672">
      <w:pPr>
        <w:rPr>
          <w:lang w:val="en-US"/>
        </w:rPr>
      </w:pPr>
    </w:p>
    <w:p w:rsidR="00B64672" w:rsidRPr="00321CC2" w:rsidRDefault="00B64672" w:rsidP="00B64672">
      <w:pPr>
        <w:autoSpaceDE w:val="0"/>
        <w:autoSpaceDN w:val="0"/>
        <w:adjustRightInd w:val="0"/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1CC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Table S</w:t>
      </w:r>
      <w:r w:rsidR="00831A43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3</w:t>
      </w:r>
      <w:r w:rsidRPr="00321CC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33DE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Comparison of mean</w:t>
      </w:r>
      <w:bookmarkStart w:id="0" w:name="_GoBack"/>
      <w:bookmarkEnd w:id="0"/>
      <m:oMath>
        <m:r>
          <w:rPr>
            <w:rStyle w:val="Heading3Char"/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Style w:val="Heading3Char"/>
            <w:rFonts w:ascii="Cambria Math" w:hAnsi="Cambria Math" w:cs="Times New Roman"/>
            <w:sz w:val="24"/>
            <w:szCs w:val="24"/>
            <w:lang w:val="en-US"/>
          </w:rPr>
          <m:t>dN</m:t>
        </m:r>
        <m:r>
          <w:rPr>
            <w:rStyle w:val="Heading3Char"/>
            <w:rFonts w:ascii="Cambria Math" w:hAnsi="Cambria Math" w:cs="Times New Roman"/>
            <w:sz w:val="24"/>
            <w:szCs w:val="24"/>
            <w:lang w:val="en-US"/>
          </w:rPr>
          <m:t>/</m:t>
        </m:r>
        <m:r>
          <m:rPr>
            <m:sty m:val="bi"/>
          </m:rPr>
          <w:rPr>
            <w:rStyle w:val="Heading3Char"/>
            <w:rFonts w:ascii="Cambria Math" w:hAnsi="Cambria Math" w:cs="Times New Roman"/>
            <w:sz w:val="24"/>
            <w:szCs w:val="24"/>
            <w:lang w:val="en-US"/>
          </w:rPr>
          <m:t>dS</m:t>
        </m:r>
      </m:oMath>
      <w:r w:rsidR="004733DE">
        <w:rPr>
          <w:rStyle w:val="Heading3Char"/>
          <w:rFonts w:ascii="Times New Roman" w:hAnsi="Times New Roman" w:cs="Times New Roman"/>
          <w:bCs w:val="0"/>
          <w:sz w:val="24"/>
          <w:szCs w:val="24"/>
          <w:lang w:val="en-US"/>
        </w:rPr>
        <w:t>.</w:t>
      </w:r>
    </w:p>
    <w:p w:rsidR="00372BFA" w:rsidRPr="007B7D5B" w:rsidRDefault="007B7D5B" w:rsidP="007B7D5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 sanity check, we compared our results with the mean</w:t>
      </w:r>
      <m:oMath>
        <m:r>
          <w:rPr>
            <w:rFonts w:ascii="Cambria Math" w:hAnsi="Cambria Math" w:cs="Times New Roman"/>
            <w:lang w:val="en-US"/>
          </w:rPr>
          <m:t xml:space="preserve"> dN/dS </m:t>
        </m:r>
      </m:oMath>
      <w:r>
        <w:rPr>
          <w:rFonts w:ascii="Times New Roman" w:hAnsi="Times New Roman" w:cs="Times New Roman"/>
          <w:lang w:val="en-US"/>
        </w:rPr>
        <w:t xml:space="preserve">value from </w:t>
      </w:r>
      <w:r>
        <w:rPr>
          <w:rFonts w:ascii="Times New Roman" w:hAnsi="Times New Roman" w:cs="Times New Roman"/>
        </w:rPr>
        <w:t xml:space="preserve">the </w:t>
      </w:r>
      <w:r w:rsidRPr="00C1052A">
        <w:rPr>
          <w:rFonts w:ascii="Times New Roman" w:hAnsi="Times New Roman" w:cs="Times New Roman"/>
        </w:rPr>
        <w:t>Suzuki-Gojobori counting approach</w:t>
      </w:r>
      <w:r>
        <w:rPr>
          <w:rFonts w:ascii="Times New Roman" w:hAnsi="Times New Roman" w:cs="Times New Roman"/>
        </w:rPr>
        <w:t xml:space="preserve"> implemented in </w:t>
      </w:r>
      <w:r w:rsidRPr="00C1052A">
        <w:rPr>
          <w:rFonts w:ascii="Times New Roman" w:hAnsi="Times New Roman" w:cs="Times New Roman"/>
        </w:rPr>
        <w:t>HyPhy SLAC</w:t>
      </w:r>
      <w:r>
        <w:rPr>
          <w:rFonts w:ascii="Times New Roman" w:hAnsi="Times New Roman" w:cs="Times New Roman"/>
        </w:rPr>
        <w:t xml:space="preserve"> for all proteins.</w:t>
      </w:r>
    </w:p>
    <w:sectPr w:rsidR="00372BFA" w:rsidRPr="007B7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26"/>
    <w:rsid w:val="00235426"/>
    <w:rsid w:val="003470D3"/>
    <w:rsid w:val="00372BFA"/>
    <w:rsid w:val="004733DE"/>
    <w:rsid w:val="004A670C"/>
    <w:rsid w:val="004D151D"/>
    <w:rsid w:val="0074559C"/>
    <w:rsid w:val="007B7D5B"/>
    <w:rsid w:val="00831A43"/>
    <w:rsid w:val="0083587E"/>
    <w:rsid w:val="00881B3B"/>
    <w:rsid w:val="008A7ED3"/>
    <w:rsid w:val="00971773"/>
    <w:rsid w:val="00A13DEB"/>
    <w:rsid w:val="00A65CDD"/>
    <w:rsid w:val="00AB747F"/>
    <w:rsid w:val="00AE5205"/>
    <w:rsid w:val="00B50F7E"/>
    <w:rsid w:val="00B60B11"/>
    <w:rsid w:val="00B64672"/>
    <w:rsid w:val="00D67C96"/>
    <w:rsid w:val="00F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672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B6467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74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672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B6467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7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18</cp:revision>
  <cp:lastPrinted>2018-04-24T08:46:00Z</cp:lastPrinted>
  <dcterms:created xsi:type="dcterms:W3CDTF">2018-03-27T11:42:00Z</dcterms:created>
  <dcterms:modified xsi:type="dcterms:W3CDTF">2018-04-24T08:50:00Z</dcterms:modified>
</cp:coreProperties>
</file>