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6BD" w:rsidRDefault="008F6DA3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Supplementary Table </w:t>
      </w:r>
      <w:r w:rsidR="00432834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3F56BD" w:rsidRDefault="003F56BD">
      <w:pPr>
        <w:rPr>
          <w:lang w:val="en-US"/>
        </w:rPr>
      </w:pPr>
    </w:p>
    <w:tbl>
      <w:tblPr>
        <w:tblStyle w:val="TableGrid"/>
        <w:tblW w:w="59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984"/>
        <w:gridCol w:w="1985"/>
      </w:tblGrid>
      <w:tr w:rsidR="003F56BD" w:rsidTr="00FE31AB">
        <w:trPr>
          <w:trHeight w:val="397"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3F56BD" w:rsidRDefault="00EC7F30" w:rsidP="00FE31AB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protein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8"/>
              </w:rPr>
            </w:pPr>
            <w:r>
              <w:rPr>
                <w:rFonts w:cstheme="minorHAnsi"/>
                <w:b/>
                <w:color w:val="000000"/>
                <w:sz w:val="28"/>
              </w:rPr>
              <w:t>H3N2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8"/>
                <w:lang w:val="en-US" w:eastAsia="de-DE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lang w:val="en-US" w:eastAsia="de-DE"/>
              </w:rPr>
              <w:t>pH1N1</w:t>
            </w:r>
          </w:p>
        </w:tc>
      </w:tr>
      <w:tr w:rsidR="003F56BD" w:rsidTr="00FE31AB">
        <w:trPr>
          <w:trHeight w:val="397"/>
        </w:trPr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PB2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2.503 %</m:t>
                </m:r>
              </m:oMath>
            </m:oMathPara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5.270 %</m:t>
                </m:r>
              </m:oMath>
            </m:oMathPara>
          </w:p>
        </w:tc>
      </w:tr>
      <w:tr w:rsidR="003F56BD" w:rsidTr="00FE31AB">
        <w:trPr>
          <w:trHeight w:val="397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PB1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1.453 %</m:t>
                </m:r>
              </m:oMath>
            </m:oMathPara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2.113 %</m:t>
                </m:r>
              </m:oMath>
            </m:oMathPara>
          </w:p>
        </w:tc>
      </w:tr>
      <w:tr w:rsidR="003F56BD" w:rsidTr="00FE31AB">
        <w:trPr>
          <w:trHeight w:val="397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PA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2.094 %</m:t>
                </m:r>
              </m:oMath>
            </m:oMathPara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4.748 %</m:t>
                </m:r>
              </m:oMath>
            </m:oMathPara>
          </w:p>
        </w:tc>
      </w:tr>
      <w:tr w:rsidR="003F56BD" w:rsidTr="00FE31AB">
        <w:trPr>
          <w:trHeight w:val="397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HA1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16.158 %</m:t>
                </m:r>
              </m:oMath>
            </m:oMathPara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15.853 %</m:t>
                </m:r>
              </m:oMath>
            </m:oMathPara>
          </w:p>
        </w:tc>
      </w:tr>
      <w:tr w:rsidR="003F56BD" w:rsidTr="00FE31AB">
        <w:trPr>
          <w:trHeight w:val="397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HA2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1.142 %</m:t>
                </m:r>
              </m:oMath>
            </m:oMathPara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0 %</m:t>
                </m:r>
              </m:oMath>
            </m:oMathPara>
          </w:p>
        </w:tc>
      </w:tr>
      <w:tr w:rsidR="003F56BD" w:rsidTr="00FE31AB">
        <w:trPr>
          <w:trHeight w:val="397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NP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0.602 %</m:t>
                </m:r>
              </m:oMath>
            </m:oMathPara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3.815 %</m:t>
                </m:r>
              </m:oMath>
            </m:oMathPara>
          </w:p>
        </w:tc>
      </w:tr>
      <w:tr w:rsidR="003F56BD" w:rsidTr="00FE31AB">
        <w:trPr>
          <w:trHeight w:val="397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NA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7.675 %</m:t>
                </m:r>
              </m:oMath>
            </m:oMathPara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8.955 %</m:t>
                </m:r>
              </m:oMath>
            </m:oMathPara>
          </w:p>
        </w:tc>
      </w:tr>
      <w:tr w:rsidR="003F56BD" w:rsidTr="00FE31AB">
        <w:trPr>
          <w:trHeight w:val="397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M1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0 %</m:t>
                </m:r>
              </m:oMath>
            </m:oMathPara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1.587 %</m:t>
                </m:r>
              </m:oMath>
            </m:oMathPara>
          </w:p>
        </w:tc>
      </w:tr>
      <w:tr w:rsidR="003F56BD" w:rsidTr="00FE31AB">
        <w:trPr>
          <w:trHeight w:val="397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M2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11.340 %</m:t>
                </m:r>
              </m:oMath>
            </m:oMathPara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12.371 %</m:t>
                </m:r>
              </m:oMath>
            </m:oMathPara>
          </w:p>
        </w:tc>
      </w:tr>
      <w:tr w:rsidR="003F56BD" w:rsidTr="00FE31AB">
        <w:trPr>
          <w:trHeight w:val="397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NS1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23.043 %</m:t>
                </m:r>
              </m:oMath>
            </m:oMathPara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27.397 %</m:t>
                </m:r>
              </m:oMath>
            </m:oMathPara>
          </w:p>
        </w:tc>
      </w:tr>
      <w:tr w:rsidR="003F56BD" w:rsidTr="00FE31AB">
        <w:trPr>
          <w:trHeight w:val="397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NS2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0 %</m:t>
                </m:r>
              </m:oMath>
            </m:oMathPara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  <w:vAlign w:val="center"/>
          </w:tcPr>
          <w:p w:rsidR="003F56BD" w:rsidRDefault="008F6DA3" w:rsidP="00FE31AB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0 %</m:t>
                </m:r>
              </m:oMath>
            </m:oMathPara>
          </w:p>
        </w:tc>
      </w:tr>
    </w:tbl>
    <w:p w:rsidR="003F56BD" w:rsidRDefault="003F56BD">
      <w:pPr>
        <w:rPr>
          <w:lang w:val="en-US"/>
        </w:rPr>
      </w:pPr>
    </w:p>
    <w:p w:rsidR="003F56BD" w:rsidRDefault="008F6DA3">
      <w:pPr>
        <w:spacing w:before="240" w:line="480" w:lineRule="auto"/>
      </w:pPr>
      <w:r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>Table S</w:t>
      </w:r>
      <w:r w:rsidR="002F0832"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C7F30"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>Frequency of p</w:t>
      </w:r>
      <w:r w:rsidR="002F0832"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>atch site</w:t>
      </w:r>
      <w:r w:rsidR="00EC7F30"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>s per</w:t>
      </w:r>
      <w:r w:rsidR="002F0832"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 xml:space="preserve"> protein</w:t>
      </w:r>
      <w:r w:rsidR="00EC7F30"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3F56BD" w:rsidRDefault="002F0832">
      <w:pPr>
        <w:spacing w:after="0"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list the ratio o</w:t>
      </w:r>
      <w:r w:rsidR="00693E05">
        <w:rPr>
          <w:rFonts w:ascii="Times New Roman" w:hAnsi="Times New Roman" w:cs="Times New Roman"/>
          <w:lang w:val="en-US"/>
        </w:rPr>
        <w:t>f patch sites to protein sites of</w:t>
      </w:r>
      <w:r>
        <w:rPr>
          <w:rFonts w:ascii="Times New Roman" w:hAnsi="Times New Roman" w:cs="Times New Roman"/>
          <w:lang w:val="en-US"/>
        </w:rPr>
        <w:t xml:space="preserve"> the protein model for each protein individually.</w:t>
      </w:r>
    </w:p>
    <w:p w:rsidR="003F56BD" w:rsidRDefault="003F56BD"/>
    <w:sectPr w:rsidR="003F56BD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6BD"/>
    <w:rsid w:val="002F0832"/>
    <w:rsid w:val="003F56BD"/>
    <w:rsid w:val="00432834"/>
    <w:rsid w:val="00693E05"/>
    <w:rsid w:val="008F6DA3"/>
    <w:rsid w:val="00E07051"/>
    <w:rsid w:val="00EC7F30"/>
    <w:rsid w:val="00FE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672"/>
    <w:pPr>
      <w:spacing w:after="200" w:line="276" w:lineRule="auto"/>
    </w:pPr>
    <w:rPr>
      <w:rFonts w:ascii="Calibri" w:eastAsiaTheme="minorEastAsia" w:hAnsi="Calibr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67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B64672"/>
    <w:rPr>
      <w:rFonts w:asciiTheme="majorHAnsi" w:eastAsiaTheme="majorEastAsia" w:hAnsiTheme="majorHAnsi" w:cstheme="majorBidi"/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6467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B747F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64672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4672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672"/>
    <w:pPr>
      <w:spacing w:after="200" w:line="276" w:lineRule="auto"/>
    </w:pPr>
    <w:rPr>
      <w:rFonts w:ascii="Calibri" w:eastAsiaTheme="minorEastAsia" w:hAnsi="Calibr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67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B64672"/>
    <w:rPr>
      <w:rFonts w:asciiTheme="majorHAnsi" w:eastAsiaTheme="majorEastAsia" w:hAnsiTheme="majorHAnsi" w:cstheme="majorBidi"/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6467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B747F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64672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4672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Helmholtz-Zentrum für Infektionsforschung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Thorsten Klingen</dc:creator>
  <cp:lastModifiedBy>Thorsten Klingen</cp:lastModifiedBy>
  <cp:revision>13</cp:revision>
  <cp:lastPrinted>2018-04-18T09:26:00Z</cp:lastPrinted>
  <dcterms:created xsi:type="dcterms:W3CDTF">2018-03-27T11:42:00Z</dcterms:created>
  <dcterms:modified xsi:type="dcterms:W3CDTF">2018-04-24T08:47:00Z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Helmholtz-Zentrum für Infektionsforschung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