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SFC Regulatory Digest</w:t>
      </w:r>
    </w:p>
    <w:p>
      <w:r>
        <w:t>Generated by multi-agent compliance workflow.</w:t>
      </w:r>
    </w:p>
    <w:p>
      <w:r>
        <w:t>Sections: category, risk level, summary, obligations, owner, source link.</w:t>
      </w:r>
    </w:p>
    <w:p>
      <w:r>
        <w:t>2026-02-12 | AML | HIGH</w:t>
      </w:r>
    </w:p>
    <w:p>
      <w:r>
        <w:t>SFC reprimands and fines licensed corporation for AML control failures</w:t>
      </w:r>
    </w:p>
    <w:p>
      <w:r>
        <w:t>Summary: Title: SFC reprimands and fines licensed corporation for AML control failures Body: The Securities and Futures Commission reprimanded a licensed corporation and imposed a fine after identifying anti-money laundering control deficiencies. The firm failed to perform sufficient customer due diligence and transaction monitoring for high-risk clients.</w:t>
      </w:r>
    </w:p>
    <w:p>
      <w:r>
        <w:t>Owner: financial-crime-compliance</w:t>
      </w:r>
    </w:p>
    <w:p>
      <w:r>
        <w:t>Obligations:</w:t>
      </w:r>
    </w:p>
    <w:p>
      <w:r>
        <w:t>- Review CDD and EDD procedures for high-risk clients</w:t>
      </w:r>
    </w:p>
    <w:p>
      <w:r>
        <w:t>- Check transaction monitoring alerts and escalation evidence</w:t>
      </w:r>
    </w:p>
    <w:p>
      <w:r>
        <w:t>Source: https://example.com/sfc/aml-control-failures</w:t>
      </w:r>
    </w:p>
    <w:p>
      <w:r>
        <w:t>2026-02-18 | MARKET CONDUCT | MEDIUM</w:t>
      </w:r>
    </w:p>
    <w:p>
      <w:r>
        <w:t>Circular to licensed corporations on market misconduct surveillance</w:t>
      </w:r>
    </w:p>
    <w:p>
      <w:r>
        <w:t>Summary: Title: Circular to licensed corporations on market misconduct surveillance Body: The regulator reminded licensed corporations to maintain effective trading surveillance, escalation procedures, and evidence retention. Firms should review market conduct controls for suspicious order patterns and disclosure obligations.</w:t>
      </w:r>
    </w:p>
    <w:p>
      <w:r>
        <w:t>Owner: trading-compliance</w:t>
      </w:r>
    </w:p>
    <w:p>
      <w:r>
        <w:t>Obligations:</w:t>
      </w:r>
    </w:p>
    <w:p>
      <w:r>
        <w:t>- Review trading surveillance scenarios and alert thresholds</w:t>
      </w:r>
    </w:p>
    <w:p>
      <w:r>
        <w:t>- Retain evidence for suspicious order pattern escalation</w:t>
      </w:r>
    </w:p>
    <w:p>
      <w:r>
        <w:t>Source: https://example.com/sfc/market-surveillance-circular</w:t>
      </w:r>
    </w:p>
    <w:p>
      <w:r>
        <w:t>2026-02-26 | LICENSING | MEDIUM</w:t>
      </w:r>
    </w:p>
    <w:p>
      <w:r>
        <w:t>Updated licensing guidance for responsible officers</w:t>
      </w:r>
    </w:p>
    <w:p>
      <w:r>
        <w:t>Summary: Title: Updated licensing guidance for responsible officers Body: The SFC published updated licensing guidance for responsible officers and representatives. The update clarifies competence requirements, sponsor responsibilities, and ongoing notification expectations.</w:t>
      </w:r>
    </w:p>
    <w:p>
      <w:r>
        <w:t>Owner: licensing-team</w:t>
      </w:r>
    </w:p>
    <w:p>
      <w:r>
        <w:t>Obligations:</w:t>
      </w:r>
    </w:p>
    <w:p>
      <w:r>
        <w:t>- Check responsible officer and representative competence records</w:t>
      </w:r>
    </w:p>
    <w:p>
      <w:r>
        <w:t>- Update licensing notification checklist</w:t>
      </w:r>
    </w:p>
    <w:p>
      <w:r>
        <w:t>Source: https://example.com/sfc/licensing-guidance-ro</w:t>
      </w:r>
    </w:p>
    <w:sectPr/>
  </w:body>
</w:document>
</file>

<file path=word/_rels/document.xml.rels><?xml version="1.0" encoding="UTF-8" standalone="yes"?>
<Relationships xmlns="http://schemas.openxmlformats.org/package/2006/relationships"/>
</file>