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康德生平</w:t>
      </w:r>
    </w:p>
    <w:p>
      <w:pPr>
        <w:jc w:val="both"/>
        <w:rPr>
          <w:rFonts w:hint="eastAsia"/>
          <w:b w:val="0"/>
          <w:bCs w:val="0"/>
          <w:sz w:val="28"/>
          <w:szCs w:val="28"/>
          <w:lang w:val="en-US" w:eastAsia="zh-CN"/>
        </w:rPr>
      </w:pPr>
      <w:r>
        <w:rPr>
          <w:rFonts w:hint="eastAsia"/>
          <w:b w:val="0"/>
          <w:bCs w:val="0"/>
          <w:sz w:val="28"/>
          <w:szCs w:val="28"/>
          <w:lang w:val="en-US" w:eastAsia="zh-CN"/>
        </w:rPr>
        <w:t>1755年成为柯尼斯堡大学讲师</w:t>
      </w:r>
    </w:p>
    <w:p>
      <w:pPr>
        <w:jc w:val="both"/>
        <w:rPr>
          <w:rFonts w:hint="eastAsia"/>
          <w:b w:val="0"/>
          <w:bCs w:val="0"/>
          <w:sz w:val="28"/>
          <w:szCs w:val="28"/>
          <w:lang w:val="en-US" w:eastAsia="zh-CN"/>
        </w:rPr>
      </w:pPr>
      <w:r>
        <w:rPr>
          <w:rFonts w:hint="eastAsia"/>
          <w:b w:val="0"/>
          <w:bCs w:val="0"/>
          <w:sz w:val="28"/>
          <w:szCs w:val="28"/>
          <w:lang w:val="en-US" w:eastAsia="zh-CN"/>
        </w:rPr>
        <w:t>1781年--《纯粹理性批判》</w:t>
      </w:r>
    </w:p>
    <w:p>
      <w:pPr>
        <w:jc w:val="both"/>
        <w:rPr>
          <w:rFonts w:hint="eastAsia"/>
          <w:b w:val="0"/>
          <w:bCs w:val="0"/>
          <w:sz w:val="28"/>
          <w:szCs w:val="28"/>
          <w:lang w:val="en-US" w:eastAsia="zh-CN"/>
        </w:rPr>
      </w:pPr>
      <w:r>
        <w:rPr>
          <w:rFonts w:hint="eastAsia"/>
          <w:b w:val="0"/>
          <w:bCs w:val="0"/>
          <w:sz w:val="28"/>
          <w:szCs w:val="28"/>
          <w:lang w:val="en-US" w:eastAsia="zh-CN"/>
        </w:rPr>
        <w:t>1783年--《未来形而上学导论》</w:t>
      </w:r>
    </w:p>
    <w:p>
      <w:pPr>
        <w:jc w:val="both"/>
        <w:rPr>
          <w:rFonts w:hint="eastAsia"/>
          <w:b w:val="0"/>
          <w:bCs w:val="0"/>
          <w:sz w:val="28"/>
          <w:szCs w:val="28"/>
          <w:lang w:val="en-US" w:eastAsia="zh-CN"/>
        </w:rPr>
      </w:pPr>
      <w:r>
        <w:rPr>
          <w:rFonts w:hint="eastAsia"/>
          <w:b w:val="0"/>
          <w:bCs w:val="0"/>
          <w:sz w:val="28"/>
          <w:szCs w:val="28"/>
          <w:lang w:val="en-US" w:eastAsia="zh-CN"/>
        </w:rPr>
        <w:t>1785年--《道德形而上学原理》</w:t>
      </w:r>
    </w:p>
    <w:p>
      <w:pPr>
        <w:jc w:val="both"/>
        <w:rPr>
          <w:rFonts w:hint="eastAsia"/>
          <w:b w:val="0"/>
          <w:bCs w:val="0"/>
          <w:sz w:val="28"/>
          <w:szCs w:val="28"/>
          <w:lang w:val="en-US" w:eastAsia="zh-CN"/>
        </w:rPr>
      </w:pPr>
      <w:r>
        <w:rPr>
          <w:rFonts w:hint="eastAsia"/>
          <w:b w:val="0"/>
          <w:bCs w:val="0"/>
          <w:sz w:val="28"/>
          <w:szCs w:val="28"/>
          <w:lang w:val="en-US" w:eastAsia="zh-CN"/>
        </w:rPr>
        <w:t>1786年--《自然科学的形而上学基础》</w:t>
      </w:r>
    </w:p>
    <w:p>
      <w:pPr>
        <w:jc w:val="both"/>
        <w:rPr>
          <w:rFonts w:hint="eastAsia"/>
          <w:b w:val="0"/>
          <w:bCs w:val="0"/>
          <w:sz w:val="28"/>
          <w:szCs w:val="28"/>
          <w:lang w:val="en-US" w:eastAsia="zh-CN"/>
        </w:rPr>
      </w:pPr>
      <w:r>
        <w:rPr>
          <w:rFonts w:hint="eastAsia"/>
          <w:b w:val="0"/>
          <w:bCs w:val="0"/>
          <w:sz w:val="28"/>
          <w:szCs w:val="28"/>
          <w:lang w:val="en-US" w:eastAsia="zh-CN"/>
        </w:rPr>
        <w:t>1787年--《纯粹理性批判》第二版</w:t>
      </w:r>
    </w:p>
    <w:p>
      <w:pPr>
        <w:jc w:val="both"/>
        <w:rPr>
          <w:rFonts w:hint="eastAsia"/>
          <w:b w:val="0"/>
          <w:bCs w:val="0"/>
          <w:sz w:val="28"/>
          <w:szCs w:val="28"/>
          <w:lang w:val="en-US" w:eastAsia="zh-CN"/>
        </w:rPr>
      </w:pPr>
      <w:r>
        <w:rPr>
          <w:rFonts w:hint="eastAsia"/>
          <w:b w:val="0"/>
          <w:bCs w:val="0"/>
          <w:sz w:val="28"/>
          <w:szCs w:val="28"/>
          <w:lang w:val="en-US" w:eastAsia="zh-CN"/>
        </w:rPr>
        <w:t>1788年--《实践理性批判》</w:t>
      </w:r>
    </w:p>
    <w:p>
      <w:pPr>
        <w:jc w:val="both"/>
        <w:rPr>
          <w:rFonts w:hint="eastAsia"/>
          <w:b w:val="0"/>
          <w:bCs w:val="0"/>
          <w:sz w:val="28"/>
          <w:szCs w:val="28"/>
          <w:lang w:val="en-US" w:eastAsia="zh-CN"/>
        </w:rPr>
      </w:pPr>
      <w:r>
        <w:rPr>
          <w:rFonts w:hint="eastAsia"/>
          <w:b w:val="0"/>
          <w:bCs w:val="0"/>
          <w:sz w:val="28"/>
          <w:szCs w:val="28"/>
          <w:lang w:val="en-US" w:eastAsia="zh-CN"/>
        </w:rPr>
        <w:t>1790年--《判断力批判》</w:t>
      </w:r>
    </w:p>
    <w:p>
      <w:pPr>
        <w:jc w:val="both"/>
        <w:rPr>
          <w:rFonts w:hint="eastAsia"/>
          <w:b w:val="0"/>
          <w:bCs w:val="0"/>
          <w:sz w:val="28"/>
          <w:szCs w:val="28"/>
          <w:lang w:val="en-US" w:eastAsia="zh-CN"/>
        </w:rPr>
      </w:pPr>
      <w:r>
        <w:rPr>
          <w:rFonts w:hint="eastAsia"/>
          <w:b w:val="0"/>
          <w:bCs w:val="0"/>
          <w:sz w:val="28"/>
          <w:szCs w:val="28"/>
          <w:lang w:val="en-US" w:eastAsia="zh-CN"/>
        </w:rPr>
        <w:t>1793年--《单纯理性限度内的宗教》</w:t>
      </w:r>
    </w:p>
    <w:p>
      <w:pPr>
        <w:jc w:val="both"/>
        <w:rPr>
          <w:rFonts w:hint="eastAsia"/>
          <w:b w:val="0"/>
          <w:bCs w:val="0"/>
          <w:sz w:val="28"/>
          <w:szCs w:val="28"/>
          <w:lang w:val="en-US" w:eastAsia="zh-CN"/>
        </w:rPr>
      </w:pPr>
      <w:r>
        <w:rPr>
          <w:rFonts w:hint="eastAsia"/>
          <w:b w:val="0"/>
          <w:bCs w:val="0"/>
          <w:sz w:val="28"/>
          <w:szCs w:val="28"/>
          <w:lang w:val="en-US" w:eastAsia="zh-CN"/>
        </w:rPr>
        <w:t>1795年--《论人类永久和平》</w:t>
      </w:r>
    </w:p>
    <w:p>
      <w:pPr>
        <w:jc w:val="both"/>
        <w:rPr>
          <w:rFonts w:hint="eastAsia"/>
          <w:b w:val="0"/>
          <w:bCs w:val="0"/>
          <w:sz w:val="28"/>
          <w:szCs w:val="28"/>
          <w:lang w:val="en-US" w:eastAsia="zh-CN"/>
        </w:rPr>
      </w:pPr>
    </w:p>
    <w:p>
      <w:pPr>
        <w:jc w:val="center"/>
        <w:rPr>
          <w:rFonts w:hint="eastAsia"/>
          <w:b/>
          <w:bCs/>
          <w:sz w:val="36"/>
          <w:szCs w:val="36"/>
          <w:lang w:val="en-US" w:eastAsia="zh-CN"/>
        </w:rPr>
      </w:pPr>
      <w:r>
        <w:rPr>
          <w:rFonts w:hint="eastAsia"/>
          <w:b/>
          <w:bCs/>
          <w:sz w:val="36"/>
          <w:szCs w:val="36"/>
          <w:lang w:val="en-US" w:eastAsia="zh-CN"/>
        </w:rPr>
        <w:t>康德生平</w:t>
      </w:r>
    </w:p>
    <w:p>
      <w:pPr>
        <w:jc w:val="both"/>
        <w:rPr>
          <w:rFonts w:hint="eastAsia"/>
          <w:b w:val="0"/>
          <w:bCs w:val="0"/>
          <w:sz w:val="28"/>
          <w:szCs w:val="28"/>
          <w:lang w:val="en-US" w:eastAsia="zh-CN"/>
        </w:rPr>
      </w:pPr>
      <w:r>
        <w:rPr>
          <w:rFonts w:hint="eastAsia"/>
          <w:b w:val="0"/>
          <w:bCs w:val="0"/>
          <w:sz w:val="28"/>
          <w:szCs w:val="28"/>
          <w:lang w:val="en-US" w:eastAsia="zh-CN"/>
        </w:rPr>
        <w:t>11.10笔记：</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知性的范畴在运用于经验的对象之上的时候。它就是先验的一些范畴，因此这个先验 虽然它先于经验 但是只能运用于经验之上，而超验,则是比先验更为彻底，它超越经验并且不能运用于经验之上。</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如果把理念运用到经验上，就会是把无限的用到有限上，理念是无限的，它不能构成有限的知识，理性是在超验的意义上提出来的，对知性起的是一种范导作用。一个一个科学的定理，数学的公理都被管辖在知性范畴之下，而理性的作用就是，把它统摄起来，形成一个统一体 形成一个由低级到高级的等级序列，直到顶点 比如牛顿的万有引力定律 当然不会达到顶点 顶点是上帝 但是理性起了引导作用，理性就像目标，作为激励，让科学家们孜孜不倦的去追求着，尽管他不能达到。</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纯粹理性的理念，有三个</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主观-灵魂的理念</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客观-宇宙的理念</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主客体同一-上帝</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就其本身而言，他的性质是超验的，但是就其对于自然科学的那种范导作用而言它起的是一种先验的作用。所以 先验的理念 和 超验的理念 是同一个东西在不同场景下的两种运用。</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理性必然会导致,先验的幻象</w:t>
      </w:r>
      <w:bookmarkStart w:id="0" w:name="_GoBack"/>
      <w:bookmarkEnd w:id="0"/>
    </w:p>
    <w:p>
      <w:pPr>
        <w:ind w:firstLine="420" w:firstLineChars="0"/>
        <w:jc w:val="both"/>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355A1"/>
    <w:rsid w:val="1CFF1120"/>
    <w:rsid w:val="41680DB4"/>
    <w:rsid w:val="62BC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神威如狱</dc:creator>
  <cp:lastModifiedBy>神威如狱</cp:lastModifiedBy>
  <dcterms:modified xsi:type="dcterms:W3CDTF">2018-11-15T15:08:30Z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