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1" w:firstLineChars="200"/>
        <w:jc w:val="center"/>
        <w:rPr>
          <w:rFonts w:hint="eastAsia" w:ascii="宋体" w:hAnsi="宋体" w:eastAsia="宋体" w:cs="宋体"/>
          <w:b/>
          <w:kern w:val="2"/>
          <w:sz w:val="28"/>
          <w:szCs w:val="28"/>
          <w:lang w:val="en-US" w:eastAsia="zh-Hans" w:bidi="ar-SA"/>
        </w:rPr>
      </w:pPr>
      <w:r>
        <w:rPr>
          <w:rFonts w:hint="default" w:ascii="宋体" w:hAnsi="宋体" w:eastAsia="宋体" w:cs="宋体"/>
          <w:b/>
          <w:kern w:val="2"/>
          <w:sz w:val="28"/>
          <w:szCs w:val="28"/>
          <w:lang w:val="en-US" w:eastAsia="zh-CN" w:bidi="ar-SA"/>
        </w:rPr>
        <w:t>《</w:t>
      </w:r>
      <w:r>
        <w:rPr>
          <w:rFonts w:hint="eastAsia" w:ascii="宋体" w:hAnsi="宋体" w:eastAsia="宋体" w:cs="宋体"/>
          <w:b/>
          <w:kern w:val="2"/>
          <w:sz w:val="28"/>
          <w:szCs w:val="28"/>
          <w:lang w:val="en-US" w:eastAsia="zh-Hans" w:bidi="ar-SA"/>
        </w:rPr>
        <w:t>学科前沿讲座</w:t>
      </w:r>
      <w:r>
        <w:rPr>
          <w:rFonts w:hint="default" w:ascii="宋体" w:hAnsi="宋体" w:eastAsia="宋体" w:cs="宋体"/>
          <w:b/>
          <w:kern w:val="2"/>
          <w:sz w:val="28"/>
          <w:szCs w:val="28"/>
          <w:lang w:val="en-US" w:eastAsia="zh-Hans" w:bidi="ar-SA"/>
        </w:rPr>
        <w:t>》</w:t>
      </w:r>
      <w:r>
        <w:rPr>
          <w:rFonts w:hint="eastAsia" w:ascii="宋体" w:hAnsi="宋体" w:eastAsia="宋体" w:cs="宋体"/>
          <w:b/>
          <w:kern w:val="2"/>
          <w:sz w:val="28"/>
          <w:szCs w:val="28"/>
          <w:lang w:val="en-US" w:eastAsia="zh-Hans" w:bidi="ar-SA"/>
        </w:rPr>
        <w:t>课程报告</w:t>
      </w:r>
    </w:p>
    <w:p>
      <w:pPr>
        <w:ind w:firstLine="480" w:firstLineChars="200"/>
        <w:jc w:val="center"/>
        <w:rPr>
          <w:rFonts w:hint="eastAsia" w:ascii="宋体" w:hAnsi="宋体" w:eastAsia="宋体" w:cs="宋体"/>
          <w:b/>
          <w:kern w:val="2"/>
          <w:sz w:val="24"/>
          <w:szCs w:val="24"/>
          <w:lang w:val="en-US" w:eastAsia="zh-Hans" w:bidi="ar-SA"/>
        </w:rPr>
      </w:pPr>
      <w:r>
        <w:rPr>
          <w:rFonts w:hint="default" w:ascii="宋体" w:hAnsi="宋体" w:eastAsia="宋体" w:cs="宋体"/>
          <w:b/>
          <w:kern w:val="2"/>
          <w:sz w:val="24"/>
          <w:szCs w:val="24"/>
          <w:lang w:val="en-US" w:eastAsia="zh-Hans" w:bidi="ar-SA"/>
        </w:rPr>
        <w:t>2112233062</w:t>
      </w:r>
      <w:r>
        <w:rPr>
          <w:rFonts w:hint="default" w:ascii="宋体" w:hAnsi="宋体" w:eastAsia="宋体" w:cs="宋体"/>
          <w:b/>
          <w:kern w:val="2"/>
          <w:sz w:val="24"/>
          <w:szCs w:val="24"/>
          <w:lang w:val="en-US" w:eastAsia="zh-Hans" w:bidi="ar-SA"/>
        </w:rPr>
        <w:tab/>
      </w:r>
      <w:r>
        <w:rPr>
          <w:rFonts w:hint="eastAsia" w:ascii="宋体" w:hAnsi="宋体" w:eastAsia="宋体" w:cs="宋体"/>
          <w:b/>
          <w:kern w:val="2"/>
          <w:sz w:val="24"/>
          <w:szCs w:val="24"/>
          <w:lang w:val="en-US" w:eastAsia="zh-Hans" w:bidi="ar-SA"/>
        </w:rPr>
        <w:t>何智鹏</w:t>
      </w:r>
    </w:p>
    <w:p>
      <w:pPr>
        <w:ind w:firstLine="480" w:firstLineChars="200"/>
        <w:jc w:val="center"/>
        <w:rPr>
          <w:rFonts w:hint="default" w:ascii="宋体" w:hAnsi="宋体" w:eastAsia="宋体" w:cs="宋体"/>
          <w:b/>
          <w:kern w:val="2"/>
          <w:sz w:val="24"/>
          <w:szCs w:val="24"/>
          <w:lang w:val="en-US" w:eastAsia="zh-Hans" w:bidi="ar-SA"/>
        </w:rPr>
      </w:pPr>
      <w:bookmarkStart w:id="0" w:name="_GoBack"/>
      <w:bookmarkEnd w:id="0"/>
    </w:p>
    <w:p>
      <w:pPr>
        <w:ind w:firstLine="480" w:firstLineChars="200"/>
        <w:rPr>
          <w:rFonts w:hint="eastAsia" w:asciiTheme="minorHAnsi" w:hAnsiTheme="minorHAnsi" w:eastAsiaTheme="minorEastAsia" w:cstheme="minorBidi"/>
          <w:kern w:val="0"/>
          <w:sz w:val="24"/>
          <w:szCs w:val="24"/>
          <w:lang w:val="en-US" w:eastAsia="zh-Hans" w:bidi="ar"/>
        </w:rPr>
      </w:pPr>
      <w:r>
        <w:rPr>
          <w:rFonts w:hint="eastAsia" w:asciiTheme="minorHAnsi" w:hAnsiTheme="minorHAnsi" w:eastAsiaTheme="minorEastAsia" w:cstheme="minorBidi"/>
          <w:kern w:val="0"/>
          <w:sz w:val="24"/>
          <w:szCs w:val="24"/>
          <w:lang w:val="en-US" w:eastAsia="zh-Hans" w:bidi="ar"/>
        </w:rPr>
        <w:t>在科学技术和信息技术高速发展的今天，唯有不断学习、努力探索，我们才能跟上时代发展的脚步。这学期学校依然为我们开设了“学科前沿讲座”这门课，主讲老师们向我们讲述了有关网络安全、物联网工程、社交网络、量子密码、网络匿名通信原理与技术等等科技前沿的内容，让我对这些知识有了一定的了解，获益匪浅。其中，方院士做“信息战在乌克兰危机中的事件”主题报告令我印象深刻</w:t>
      </w:r>
      <w:r>
        <w:rPr>
          <w:rFonts w:hint="default" w:asciiTheme="minorHAnsi" w:hAnsiTheme="minorHAnsi" w:eastAsiaTheme="minorEastAsia" w:cstheme="minorBidi"/>
          <w:kern w:val="0"/>
          <w:sz w:val="24"/>
          <w:szCs w:val="24"/>
          <w:lang w:val="en-US" w:eastAsia="zh-Hans" w:bidi="ar"/>
        </w:rPr>
        <w:t>。</w:t>
      </w:r>
    </w:p>
    <w:p>
      <w:pPr>
        <w:keepNext w:val="0"/>
        <w:keepLines w:val="0"/>
        <w:widowControl/>
        <w:numPr>
          <w:ilvl w:val="0"/>
          <w:numId w:val="0"/>
        </w:numPr>
        <w:suppressLineNumbers w:val="0"/>
        <w:ind w:firstLine="420" w:firstLineChars="0"/>
        <w:jc w:val="left"/>
        <w:rPr>
          <w:rFonts w:hint="default" w:asciiTheme="minorHAnsi" w:hAnsiTheme="minorHAnsi" w:eastAsiaTheme="minorEastAsia" w:cstheme="minorBidi"/>
          <w:kern w:val="0"/>
          <w:sz w:val="24"/>
          <w:szCs w:val="24"/>
          <w:lang w:val="en-US" w:eastAsia="zh-Hans" w:bidi="ar"/>
        </w:rPr>
      </w:pPr>
      <w:r>
        <w:rPr>
          <w:rFonts w:hint="default" w:asciiTheme="minorHAnsi" w:hAnsiTheme="minorHAnsi" w:eastAsiaTheme="minorEastAsia" w:cstheme="minorBidi"/>
          <w:kern w:val="0"/>
          <w:sz w:val="24"/>
          <w:szCs w:val="24"/>
          <w:lang w:val="en-US" w:eastAsia="zh-Hans" w:bidi="ar"/>
        </w:rPr>
        <w:t>从孙子兵法的视角切入，网络空间安全事件在信息系统及其应用的四个不同层面产生影响：硬件层、数据层、代码层以及应用层。在当前国际形势和相关热点事件背景下，我们可以对乌克兰危机进行综合分析。</w:t>
      </w: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r>
        <w:rPr>
          <w:rFonts w:hint="default" w:asciiTheme="minorHAnsi" w:hAnsiTheme="minorHAnsi" w:eastAsiaTheme="minorEastAsia" w:cstheme="minorBidi"/>
          <w:kern w:val="0"/>
          <w:sz w:val="24"/>
          <w:szCs w:val="24"/>
          <w:lang w:val="en-US" w:eastAsia="zh-Hans" w:bidi="ar"/>
        </w:rPr>
        <w:t>在硬件层，网络空间的“设施战”是核心。这涉及终止服务、切断网络、攻击卫星以及电子对抗等行为。通过针对关键基础设施的攻击，敌对势力可以严重干扰目标国家的网络功能和通信系统，导致网络瘫痪，甚至影响国家的正常运转。</w:t>
      </w: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r>
        <w:rPr>
          <w:rFonts w:hint="default" w:asciiTheme="minorHAnsi" w:hAnsiTheme="minorHAnsi" w:eastAsiaTheme="minorEastAsia" w:cstheme="minorBidi"/>
          <w:kern w:val="0"/>
          <w:sz w:val="24"/>
          <w:szCs w:val="24"/>
          <w:lang w:val="en-US" w:eastAsia="zh-Hans" w:bidi="ar"/>
        </w:rPr>
        <w:t>数据层的“情报战”着眼于情报获取与利用。包括“应用控制”（Application Control）、“系统瘫痪”（System Paralysis）、“数据损毁”（Data Destruction）以及“众筹攻击”（Crowdsourcing Attacks）。通过网络间谍活动，黑客攻击等手段，敌对势力可获取重要情报，造成对国家机密数据的泄露和破坏。</w:t>
      </w: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r>
        <w:rPr>
          <w:rFonts w:hint="default" w:asciiTheme="minorHAnsi" w:hAnsiTheme="minorHAnsi" w:eastAsiaTheme="minorEastAsia" w:cstheme="minorBidi"/>
          <w:kern w:val="0"/>
          <w:sz w:val="24"/>
          <w:szCs w:val="24"/>
          <w:lang w:val="en-US" w:eastAsia="zh-Hans" w:bidi="ar"/>
        </w:rPr>
        <w:t>代码层的“网络战”关注网络中的恶意代码和攻击手段。这包括“应用控制”、“系统瘫痪”、“数据损毁”和“众筹攻击”。黑客可以操纵病毒、蠕虫、木马等恶意软件入侵目标系统，实施网络攻击和破坏，造成巨大损失。</w:t>
      </w: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r>
        <w:rPr>
          <w:rFonts w:hint="default" w:asciiTheme="minorHAnsi" w:hAnsiTheme="minorHAnsi" w:eastAsiaTheme="minorEastAsia" w:cstheme="minorBidi"/>
          <w:kern w:val="0"/>
          <w:sz w:val="24"/>
          <w:szCs w:val="24"/>
          <w:lang w:val="en-US" w:eastAsia="zh-Hans" w:bidi="ar"/>
        </w:rPr>
        <w:t>应用层的“认知战”着重于心理影响与外交手段。在认知战中，有“心理战”（Psychological Warfare）、“法律战”（Legal Warfare）、“舆论战”（Public Opinion Warfare）和“外交战”（Diplomatic Warfare）。通过舆论操控、信息扭曲和国际外交斡旋等手段，敌对势力可以影响目标国家的决策和国际形象。</w:t>
      </w: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r>
        <w:rPr>
          <w:rFonts w:hint="default" w:asciiTheme="minorHAnsi" w:hAnsiTheme="minorHAnsi" w:eastAsiaTheme="minorEastAsia" w:cstheme="minorBidi"/>
          <w:kern w:val="0"/>
          <w:sz w:val="24"/>
          <w:szCs w:val="24"/>
          <w:lang w:val="en-US" w:eastAsia="zh-Hans" w:bidi="ar"/>
        </w:rPr>
        <w:t>方老师在报告中强调了深入践行总体国家安全观，牢固树立和增强网络空间安全意识的重要性。他鼓励学生们积极利用所学所长为网络强国建设贡献力量。这场专题辅导报告为师生提供了一个全面而深入的思考和学习平台，帮助大家在错综复杂的国际形势下深刻理解新安全格局对新发展格局的保障意义，并指明了方向和实践路径。在报告会后，学院师生纷纷表示，在新安全格局下，网络空间安全变得尤为重要。只有以新安全格局保障新发展格局，才能赢得优势、赢得主动、赢得未来。他们对未来的网络空间安全建设充满信心。</w:t>
      </w: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r>
        <w:rPr>
          <w:rFonts w:hint="default" w:asciiTheme="minorHAnsi" w:hAnsiTheme="minorHAnsi" w:eastAsiaTheme="minorEastAsia" w:cstheme="minorBidi"/>
          <w:kern w:val="0"/>
          <w:sz w:val="24"/>
          <w:szCs w:val="24"/>
          <w:lang w:val="en-US" w:eastAsia="zh-Hans" w:bidi="ar"/>
        </w:rPr>
        <w:t>通过这门课的学习，我的视野更加开阔了，我也明显感受到了自己现有知识多么的局限，自己在看待问题，分析、解决问题方面也存在很大的不足。首先必须端正的是学习态度，其次是改进学习方法，了解创新，学会创新。即使是一个点，也还有很多方面值得拓展和探索，作为新时代的</w:t>
      </w:r>
      <w:r>
        <w:rPr>
          <w:rFonts w:hint="eastAsia" w:asciiTheme="minorHAnsi" w:hAnsiTheme="minorHAnsi" w:eastAsiaTheme="minorEastAsia" w:cstheme="minorBidi"/>
          <w:kern w:val="0"/>
          <w:sz w:val="24"/>
          <w:szCs w:val="24"/>
          <w:lang w:val="en-US" w:eastAsia="zh-Hans" w:bidi="ar"/>
        </w:rPr>
        <w:t>研究生</w:t>
      </w:r>
      <w:r>
        <w:rPr>
          <w:rFonts w:hint="default" w:asciiTheme="minorHAnsi" w:hAnsiTheme="minorHAnsi" w:eastAsiaTheme="minorEastAsia" w:cstheme="minorBidi"/>
          <w:kern w:val="0"/>
          <w:sz w:val="24"/>
          <w:szCs w:val="24"/>
          <w:lang w:val="en-US" w:eastAsia="zh-Hans" w:bidi="ar"/>
        </w:rPr>
        <w:t>，学习与创新是我们的主要任务，想要取得满意的结果，我们所要做的就是倍加努力，不断汲取知识，积极探索，永不止步。</w:t>
      </w: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p>
    <w:p>
      <w:pPr>
        <w:keepNext w:val="0"/>
        <w:keepLines w:val="0"/>
        <w:widowControl/>
        <w:numPr>
          <w:ilvl w:val="0"/>
          <w:numId w:val="0"/>
        </w:numPr>
        <w:suppressLineNumbers w:val="0"/>
        <w:ind w:firstLine="480" w:firstLineChars="200"/>
        <w:jc w:val="left"/>
        <w:rPr>
          <w:rFonts w:hint="default" w:asciiTheme="minorHAnsi" w:hAnsiTheme="minorHAnsi" w:eastAsiaTheme="minorEastAsia" w:cstheme="minorBidi"/>
          <w:kern w:val="0"/>
          <w:sz w:val="24"/>
          <w:szCs w:val="24"/>
          <w:lang w:val="en-US" w:eastAsia="zh-Hans" w:bidi="ar"/>
        </w:rPr>
      </w:pPr>
    </w:p>
    <w:p>
      <w:pPr>
        <w:keepNext w:val="0"/>
        <w:keepLines w:val="0"/>
        <w:widowControl/>
        <w:numPr>
          <w:ilvl w:val="0"/>
          <w:numId w:val="0"/>
        </w:numPr>
        <w:suppressLineNumbers w:val="0"/>
        <w:jc w:val="left"/>
        <w:rPr>
          <w:rFonts w:hint="eastAsia" w:asciiTheme="minorHAnsi" w:hAnsiTheme="minorHAnsi" w:eastAsiaTheme="minorEastAsia" w:cstheme="minorBidi"/>
          <w:kern w:val="0"/>
          <w:sz w:val="24"/>
          <w:szCs w:val="24"/>
          <w:lang w:val="en-US" w:eastAsia="zh-Hans" w:bidi="ar"/>
        </w:rPr>
      </w:pPr>
    </w:p>
    <w:p>
      <w:pPr>
        <w:rPr>
          <w:rFonts w:hint="default" w:asciiTheme="minorHAnsi" w:hAnsiTheme="minorHAnsi" w:eastAsiaTheme="minorEastAsia" w:cstheme="minorBidi"/>
          <w:kern w:val="0"/>
          <w:sz w:val="24"/>
          <w:szCs w:val="24"/>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B9FC4"/>
    <w:rsid w:val="677F7632"/>
    <w:rsid w:val="6FDB9FC4"/>
    <w:rsid w:val="777FFFD9"/>
    <w:rsid w:val="ABBFC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_Style 4"/>
    <w:basedOn w:val="1"/>
    <w:next w:val="1"/>
    <w:uiPriority w:val="0"/>
    <w:pPr>
      <w:pBdr>
        <w:bottom w:val="single" w:color="auto" w:sz="6" w:space="1"/>
      </w:pBdr>
      <w:jc w:val="center"/>
    </w:pPr>
    <w:rPr>
      <w:rFonts w:ascii="Arial" w:eastAsia="宋体"/>
      <w:vanish/>
      <w:sz w:val="16"/>
    </w:rPr>
  </w:style>
  <w:style w:type="paragraph" w:customStyle="1" w:styleId="7">
    <w:name w:val="_Style 5"/>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1991</Words>
  <Characters>2033</Characters>
  <Lines>0</Lines>
  <Paragraphs>0</Paragraphs>
  <TotalTime>30</TotalTime>
  <ScaleCrop>false</ScaleCrop>
  <LinksUpToDate>false</LinksUpToDate>
  <CharactersWithSpaces>2080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2022-12-30T13:12:00Z</dcterms:created>
  <dc:creator>何智鹏</dc:creator>
  <cp:lastModifiedBy>何智鹏</cp:lastModifiedBy>
  <dcterms:modified xsi:type="dcterms:W3CDTF">2023-07-30T11:04:14Z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88256BCF710BB77C4592AD635E722575</vt:lpwstr>
  </property>
</Properties>
</file>