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- 2026年04月16日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今日内容主要集中在【社会民生】【教育改革】【科技产业】等。核心议题包括：①医保监管与基层医疗困境②校园安全与师德失范③AI信任危机与行业监管</w:t>
      </w:r>
    </w:p>
    <w:p>
      <w:pPr>
        <w:spacing w:after="300"/>
        <w:jc w:val="center"/>
      </w:pPr>
      <w:r>
        <w:rPr>
          <w:rFonts w:ascii="微软雅黑" w:hAnsi="微软雅黑" w:eastAsia="微软雅黑"/>
          <w:color w:val="808080"/>
          <w:sz w:val="18"/>
        </w:rPr>
        <w:t>═══════════════════════════════════════════════════════════════════════</w:t>
      </w:r>
    </w:p>
    <w:p>
      <w:pPr>
        <w:spacing w:before="300" w:after="200"/>
      </w:pPr>
      <w:r>
        <w:rPr>
          <w:rFonts w:ascii="微软雅黑" w:hAnsi="微软雅黑" w:eastAsia="微软雅黑"/>
          <w:b/>
          <w:color w:val="000000"/>
          <w:sz w:val="32"/>
        </w:rPr>
        <w:br/>
        <w:t>【国际局势与地缘政治】</w:t>
      </w:r>
    </w:p>
    <w:p>
      <w:pPr>
        <w:spacing w:after="120"/>
      </w:pPr>
      <w:r>
        <w:rPr>
          <w:rFonts w:ascii="微软雅黑" w:hAnsi="微软雅黑" w:eastAsia="微软雅黑"/>
          <w:b/>
          <w:sz w:val="24"/>
        </w:rPr>
        <w:t>一、【乌克兰战争暴露核威慑失效风险，专家呼吁构建新型安全体系】</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发布时间：2026-04-15 18:03:00</w:t>
      </w:r>
    </w:p>
    <w:p>
      <w:pPr>
        <w:spacing w:after="120"/>
        <w:jc w:val="both"/>
      </w:pPr>
      <w:r>
        <w:rPr>
          <w:rFonts w:ascii="微软雅黑" w:hAnsi="微软雅黑" w:eastAsia="微软雅黑"/>
          <w:sz w:val="21"/>
        </w:rPr>
        <w:t xml:space="preserve">         内容摘要：巴黎政治学院研究员安东尼·达比拉指出，乌克兰战争揭示了一个严峻现实：拥核大国可以在其核武库的掩护下，发动旨在征服领土的全面常规战争。这标志着传统核威慑战略在阻止大规模常规冲突方面可能已经失效。  真正的危险并非核战争导致的“世界末日”，而是核威慑失效后，国际社会可能陷入一场不断升级、难以遏制的常规暴力循环。核武器曾长期维持了大国间的战略平衡，但当前局势表明，仅依靠核威慑已无法保障全球安全。  基于此，国际社会亟需超越传统的核威慑框架，共同探索并建立一个能有效遏制各类冲突的新型集体安全体系，以应对日益复杂的安全挑战。</w:t>
      </w:r>
    </w:p>
    <w:p>
      <w:pPr>
        <w:spacing w:after="240"/>
      </w:pPr>
      <w:r>
        <w:rPr>
          <w:rFonts w:ascii="微软雅黑" w:hAnsi="微软雅黑" w:eastAsia="微软雅黑"/>
          <w:sz w:val="21"/>
        </w:rPr>
        <w:t xml:space="preserve">         文章链接：</w:t>
      </w:r>
      <w:r>
        <w:rPr>
          <w:color w:val="0000FF"/>
        </w:rPr>
        <w:t>http://mp.weixin.qq.com/s/iDurYwryzcDqnNfR-fz0hA</w:t>
      </w:r>
    </w:p>
    <w:p>
      <w:pPr>
        <w:spacing w:before="300" w:after="200"/>
      </w:pPr>
      <w:r>
        <w:rPr>
          <w:rFonts w:ascii="微软雅黑" w:hAnsi="微软雅黑" w:eastAsia="微软雅黑"/>
          <w:b/>
          <w:color w:val="000000"/>
          <w:sz w:val="32"/>
        </w:rPr>
        <w:br/>
        <w:t>【宏观经济与金融】</w:t>
      </w:r>
    </w:p>
    <w:p>
      <w:pPr>
        <w:spacing w:after="120"/>
      </w:pPr>
      <w:r>
        <w:rPr>
          <w:rFonts w:ascii="微软雅黑" w:hAnsi="微软雅黑" w:eastAsia="微软雅黑"/>
          <w:b/>
          <w:sz w:val="24"/>
        </w:rPr>
        <w:t>二、【PPI转正难掩市场审慎：上游修复与居民收缩的结构性背离】</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发布时间：2026-04-15 12:50:00</w:t>
      </w:r>
    </w:p>
    <w:p>
      <w:pPr>
        <w:spacing w:after="120"/>
        <w:jc w:val="both"/>
      </w:pPr>
      <w:r>
        <w:rPr>
          <w:rFonts w:ascii="微软雅黑" w:hAnsi="微软雅黑" w:eastAsia="微软雅黑"/>
          <w:sz w:val="21"/>
        </w:rPr>
        <w:t xml:space="preserve">         内容摘要：在连续41个月负增长后，3月PPI同比转正，标志着工业通缩最艰难阶段已过。然而，市场反应平淡，未如以往般迅速打满“强复苏”预期。当前市场更关注长期趋势，单月数据的边际定价权下降。  此次PPI转正受原油等地缘因素及铜铝等大宗商品涨价推动，但结构呈现新特征。光伏元件、锂离子电池原材料、存储设备、电子专用材料及光纤材料价格显著上涨，显示AI硬件链、算力需求、数据中心建设等新经济链条正成为抬升价格的新力量。制造业PMI重回扩张区间，M1增速回升至5%左右，与PPI数据共同验证上游及制造端，尤其是新兴产业链的修复态势。  然而，复苏并不全面。居民端呈现收缩：一季度居民新增贷款仅为去年同期的约三分之一，其中消费类中短期贷款下降尤为明显；同期居民存款大幅增加7.68万亿元，与去年同期的4000亿形成鲜明对比。这表明居民借钱消费意愿弱，储蓄意愿强，对未来仍持谨慎态度。  市场逻辑已变，从过去依赖地产、信用扩张的简单线性传导，转向更看重AI、半导体等长周期结构性机会。PPI转正是一个积极信号，预示未来半年经济下行压力缓解，但上游制造修复与终端消费疲软并存，尚不足以断定全面强复苏来临。</w:t>
      </w:r>
    </w:p>
    <w:p>
      <w:pPr>
        <w:spacing w:after="240"/>
      </w:pPr>
      <w:r>
        <w:rPr>
          <w:rFonts w:ascii="微软雅黑" w:hAnsi="微软雅黑" w:eastAsia="微软雅黑"/>
          <w:sz w:val="21"/>
        </w:rPr>
        <w:t xml:space="preserve">         文章链接：</w:t>
      </w:r>
      <w:r>
        <w:rPr>
          <w:color w:val="0000FF"/>
        </w:rPr>
        <w:t>https://mp.weixin.qq.com/s/-kjHEVjVF2ywVParMzFetg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三、【第139届广交会规模空前，中国外贸结构加速升级】</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发布时间：2026-04-15 18:07:00</w:t>
      </w:r>
    </w:p>
    <w:p>
      <w:pPr>
        <w:spacing w:after="120"/>
        <w:jc w:val="both"/>
      </w:pPr>
      <w:r>
        <w:rPr>
          <w:rFonts w:ascii="微软雅黑" w:hAnsi="微软雅黑" w:eastAsia="微软雅黑"/>
          <w:sz w:val="21"/>
        </w:rPr>
        <w:t xml:space="preserve">         内容摘要：2026年4月15日，第139届广交会在广州琶洲开幕。本届展会展览总面积达155万平方米，展位总数7.57万个，参展企业超过3.2万家。一个显著变化是，拥有“专精特新”、“单项冠军”等称号的优质企业数量显著增加，成为展商主力。  这释放出中国外贸正在“换挡提速”的明确信号。过去以价格和规模取胜的模式正在转变，外贸结构正向高技术、高附加值、自主品牌方向加速升级。展会现场人流如织，不同国家的客商云集，反映出全球市场对中国供应链升级后新产品的强烈关注。广交会作为中国外贸的“风向标”，其展商结构和展品质量的变化，直观体现了中国制造业向产业链中高端迈进的趋势。</w:t>
      </w:r>
    </w:p>
    <w:p>
      <w:pPr>
        <w:spacing w:after="240"/>
      </w:pPr>
      <w:r>
        <w:rPr>
          <w:rFonts w:ascii="微软雅黑" w:hAnsi="微软雅黑" w:eastAsia="微软雅黑"/>
          <w:sz w:val="21"/>
        </w:rPr>
        <w:t xml:space="preserve">         文章链接：</w:t>
      </w:r>
      <w:r>
        <w:rPr>
          <w:color w:val="0000FF"/>
        </w:rPr>
        <w:t>http://mp.weixin.qq.com/s?__biz=MzYyMTU4OTg5Mg==&amp;mid=2247659630&amp;idx=4&amp;sn=25b32824a3c234e92038d47b737819d8&amp;chksm=fe19f806895e4ca7089ce43ba0d5779796fb8b14c9302a57b465fd7d104662c1db593937730d&amp;scene=0#rd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四、【地缘动荡下中国转向消费驱动，寻求内生增长新路径】</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发布时间：2026-04-15 18:03:00</w:t>
      </w:r>
    </w:p>
    <w:p>
      <w:pPr>
        <w:spacing w:after="120"/>
        <w:jc w:val="both"/>
      </w:pPr>
      <w:r>
        <w:rPr>
          <w:rFonts w:ascii="微软雅黑" w:hAnsi="微软雅黑" w:eastAsia="微软雅黑"/>
          <w:sz w:val="21"/>
        </w:rPr>
        <w:t xml:space="preserve">         内容摘要：香港科技大学经济学教授金刻羽指出，在地缘政治动荡和全球分裂加剧的背景下，中国正转向消费主导的增长模式。这一转变不仅是为了实现经济再平衡，更是为了让经济增长的根基更牢固地立足于国内。强劲的内需能在相当程度上帮助中国经济抵御外部冲击。  中国拥有庞大的国内市场、成熟的资本配置体系以及强大的制造业基础，这些是支撑其向内生增长转型的关键优势。通过激发国内消费潜力，中国旨在减少对外部市场和供应链的过度依赖，构建更具韧性和可持续性的经济发展路径。这一战略调整被视为应对当前复杂国际环境、确保长期经济稳定的核心举措。</w:t>
      </w:r>
    </w:p>
    <w:p>
      <w:pPr>
        <w:spacing w:after="240"/>
      </w:pPr>
      <w:r>
        <w:rPr>
          <w:rFonts w:ascii="微软雅黑" w:hAnsi="微软雅黑" w:eastAsia="微软雅黑"/>
          <w:sz w:val="21"/>
        </w:rPr>
        <w:t xml:space="preserve">         文章链接：</w:t>
      </w:r>
      <w:r>
        <w:rPr>
          <w:color w:val="0000FF"/>
        </w:rPr>
        <w:t>http://mp.weixin.qq.com/s/l47GT7YTxZCCDBcHwKxeMw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五、【任帅波：市场震荡蓄势，二季度关注政策与业绩驱动】</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发布时间：2026-04-16 07:00:00</w:t>
      </w:r>
    </w:p>
    <w:p>
      <w:pPr>
        <w:spacing w:after="120"/>
        <w:jc w:val="both"/>
      </w:pPr>
      <w:r>
        <w:rPr>
          <w:rFonts w:ascii="微软雅黑" w:hAnsi="微软雅黑" w:eastAsia="微软雅黑"/>
          <w:sz w:val="21"/>
        </w:rPr>
        <w:t xml:space="preserve">         内容摘要：市场经历前期动荡后，整体呈现震荡蓄势格局，下跌空间有限，但趋势性行情尚未形成。前期动荡主要源于中东地缘冲突扰动、海外流动性预期修正以及部分热门板块的获利了结压力。叠加年报与一季报披露期的业绩不确定性，市场资金避险情绪升温，盘面呈现割裂态势。  然而，政策托底与流动性充裕为市场提供了关键支撑。国内积极财政政策持续发力，人民银行维持流动性合理充裕，构成了市场的底部基础。展望二季度，随着业绩披露期结束，不确定性因素将逐步消化，市场焦点将转向具备明确业绩增长和政策支持的领域。结构性机会预计将多于整体性行情，投资者需关注基本面扎实、受益于产业政策导向的板块。</w:t>
      </w:r>
    </w:p>
    <w:p>
      <w:pPr>
        <w:spacing w:after="240"/>
      </w:pPr>
      <w:r>
        <w:rPr>
          <w:rFonts w:ascii="微软雅黑" w:hAnsi="微软雅黑" w:eastAsia="微软雅黑"/>
          <w:sz w:val="21"/>
        </w:rPr>
        <w:t xml:space="preserve">         文章链接：</w:t>
      </w:r>
      <w:r>
        <w:rPr>
          <w:color w:val="0000FF"/>
        </w:rPr>
        <w:t>http://mp.weixin.qq.com/s?__biz=MzIxNTIyNTExNQ==&amp;mid=2652209422&amp;idx=2&amp;sn=a115d13f10f1aba20d3fd20bf7b08f3c&amp;chksm=8dacba413af81d8bbb96bd1204ff669f47a6aea18718d0eed5c6f14baef32073e576b70b5c4a&amp;scene=0#rd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六、【地缘风险犹存市场已狂欢，宁德时代一季度业绩逆势炸裂】</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发布时间：2026-04-15 16:11:53</w:t>
      </w:r>
    </w:p>
    <w:p>
      <w:pPr>
        <w:spacing w:after="120"/>
        <w:jc w:val="both"/>
      </w:pPr>
      <w:r>
        <w:rPr>
          <w:rFonts w:ascii="微软雅黑" w:hAnsi="微软雅黑" w:eastAsia="微软雅黑"/>
          <w:sz w:val="21"/>
        </w:rPr>
        <w:t xml:space="preserve">         内容摘要：伊朗表态为谈判暂不通过霍尔木兹海峡，油价应声回落，但海峡实际封锁状态未变，原油与LNG供应依然紧张。美伊双方原则上同意延长停火，但冲突风险并未解除。资本市场却呈现乐观定价，美股收复开战以来跌幅，A股重回4000点。分析认为，输入性通胀压力与战争重燃风险尚未被充分计价。  一季度中国货物贸易进出口总值同比增长15%，达11.84万亿元，创历史同期新高。3月进口同比大幅增长23.8%，其中集成电路进口额从去年同期的320多亿美元跃升至近500亿美元，成为进口金额最大的单一商品，主要受存储芯片等电子器件价格大涨驱动。若电子器件价格维持高位叠加商品涨价，贸易顺差可能收窄。  宁德时代一季度业绩表现突出，营收1291.31亿元，同比增长52.45%；归母净利润207.38亿元，同比增长48.52%，单季盈利创历史新高。在全球新能源汽车增速放缓、行业价格战持续的背景下，公司凭借技术迭代、稳定客户与成本控制能力，在动力电池和储能赛道实现量利双增。其H股近期表现强劲，A+H总市值一度突破2万亿元。</w:t>
      </w:r>
    </w:p>
    <w:p>
      <w:pPr>
        <w:spacing w:after="240"/>
      </w:pPr>
      <w:r>
        <w:rPr>
          <w:rFonts w:ascii="微软雅黑" w:hAnsi="微软雅黑" w:eastAsia="微软雅黑"/>
          <w:sz w:val="21"/>
        </w:rPr>
        <w:t xml:space="preserve">         文章链接：</w:t>
      </w:r>
      <w:r>
        <w:rPr>
          <w:color w:val="0000FF"/>
        </w:rPr>
        <w:t>https://mp.weixin.qq.com/s/vWHarr4h13brc4L9Ui_s9g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七、【全球资本追捧“HALO资产”，中国显示面板成新宠】</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发布时间：2026-04-15 17:03:00</w:t>
      </w:r>
    </w:p>
    <w:p>
      <w:pPr>
        <w:spacing w:after="120"/>
        <w:jc w:val="both"/>
      </w:pPr>
      <w:r>
        <w:rPr>
          <w:rFonts w:ascii="微软雅黑" w:hAnsi="微软雅黑" w:eastAsia="微软雅黑"/>
          <w:sz w:val="21"/>
        </w:rPr>
        <w:t xml:space="preserve">         内容摘要：2026年，在全球资本市场波动、AI估值虚高的背景下，具备“重资产、低淘汰率”特质的“HALO资产”交易热潮兴起。市场共识显示，中国的“HALO资产”名单正在刷新，显示面板是其中共识度日益提升的核心类别。这标志着中国显示产业已从过去技术受制于人的“猎物”，转变为全球产业格局中举足轻重的“棋手”。该产业的崛起，得益于长期的重资产投入和技术积累，形成了高壁垒和稳定的现金流，其低淘汰率的特性在当前技术快速迭代的环境中显得尤为珍贵。这一转变正吸引从华尔街到全球资本市场的目光，成为动荡市况中寻求确定性的重要投资方向。</w:t>
      </w:r>
    </w:p>
    <w:p>
      <w:pPr>
        <w:spacing w:after="240"/>
      </w:pPr>
      <w:r>
        <w:rPr>
          <w:rFonts w:ascii="微软雅黑" w:hAnsi="微软雅黑" w:eastAsia="微软雅黑"/>
          <w:sz w:val="21"/>
        </w:rPr>
        <w:t xml:space="preserve">         文章链接：</w:t>
      </w:r>
      <w:r>
        <w:rPr>
          <w:color w:val="0000FF"/>
        </w:rPr>
        <w:t>http://mp.weixin.qq.com/s?__biz=MzI5MDQxNzE1NQ==&amp;mid=2247515300&amp;idx=1&amp;sn=954e77de147d97ecb57d3f3a46262e28&amp;chksm=ed473ce0cb348c5e1b22304d6a95154cff6cab82be0a12afc2fa26a6e23878f2a22e75660a71&amp;scene=0#rd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八、【四大一线城市住宅供地计划全线下调，楼市供应持续收紧】</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发布时间：2026-04-15 18:02:00</w:t>
      </w:r>
    </w:p>
    <w:p>
      <w:pPr>
        <w:spacing w:after="120"/>
        <w:jc w:val="both"/>
      </w:pPr>
      <w:r>
        <w:rPr>
          <w:rFonts w:ascii="微软雅黑" w:hAnsi="微软雅黑" w:eastAsia="微软雅黑"/>
          <w:sz w:val="21"/>
        </w:rPr>
        <w:t xml:space="preserve">         内容摘要：2026年北京、上海、广州、深圳商品住宅用地供应计划已全部出炉，核心信号明确：四大一线城市供地规模集体下调。这并非短期调整，而是已持续多年的常态化收紧趋势。  数据显示，北京2026年商品住宅用地计划供应约200-240公顷，较上年下降约21%。上海、广州、深圳的供地计划也呈现类似的下调态势。这一趋势直接减少了未来新房的市场供应量。  供地规模持续收缩，与各城市推动土地集约利用、优化存量发展的政策导向密切相关。市场分析认为，土地作为源头供给的减少，将在中长期影响新房市场的供需平衡，是观察未来房价走势的关键变量之一。</w:t>
      </w:r>
    </w:p>
    <w:p>
      <w:pPr>
        <w:spacing w:after="240"/>
      </w:pPr>
      <w:r>
        <w:rPr>
          <w:rFonts w:ascii="微软雅黑" w:hAnsi="微软雅黑" w:eastAsia="微软雅黑"/>
          <w:sz w:val="21"/>
        </w:rPr>
        <w:t xml:space="preserve">         文章链接：</w:t>
      </w:r>
      <w:r>
        <w:rPr>
          <w:color w:val="0000FF"/>
        </w:rPr>
        <w:t>http://mp.weixin.qq.com/s?__biz=Mzg3NTkwNTcyOQ==&amp;mid=2247489279&amp;idx=1&amp;sn=c8a7144c3f25519cb3772178c8f6266a&amp;chksm=cec7a7c6d1bc73301ca92904cbf2c150f6092e1305d82ce6789b3bc3003298c3b5b3b897409d&amp;scene=0#rd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九、【盛松成：企业出海需求增加，人民币国际融资功能迎机遇】</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发布时间：2026-04-15 13:19:15</w:t>
      </w:r>
    </w:p>
    <w:p>
      <w:pPr>
        <w:spacing w:after="120"/>
        <w:jc w:val="both"/>
      </w:pPr>
      <w:r>
        <w:rPr>
          <w:rFonts w:ascii="微软雅黑" w:hAnsi="微软雅黑" w:eastAsia="微软雅黑"/>
          <w:sz w:val="21"/>
        </w:rPr>
        <w:t xml:space="preserve">         内容摘要：中欧陆家嘴国际金融研究院高级学术顾问盛松成在近期论坛上表示，人民币发挥国际融资货币功能或迎来有利时机。其判断基于两方面：一季度中国对外贸易超预期增长，企业国际化经营持续深化，对人民币跨境投融资的需求日益增加；同时，在全球流动性因冲突趋紧的背景下，中国维持适度宽松货币政策，预计人民币融资利率将长期保持低位，使其具备资金成本优势。  盛松成提出三项建议以把握时机：完善离岸金融体系，包括常态化在境外发行人民币国债和央票，以增加安全资产供给并完善离岸利率曲线；增强沪港金融中心协同，构建与上海国际金融中心相匹配的离岸体系，支持企业高水平“出海”；坚持市场化的汇率形成机制，在保持弹性的同时加强预期引导，维持人民币汇率在合理均衡水平上的基本稳定，以拓展双向投资空间。</w:t>
      </w:r>
    </w:p>
    <w:p>
      <w:pPr>
        <w:spacing w:after="240"/>
      </w:pPr>
      <w:r>
        <w:rPr>
          <w:rFonts w:ascii="微软雅黑" w:hAnsi="微软雅黑" w:eastAsia="微软雅黑"/>
          <w:sz w:val="21"/>
        </w:rPr>
        <w:t xml:space="preserve">         文章链接：</w:t>
      </w:r>
      <w:r>
        <w:rPr>
          <w:color w:val="0000FF"/>
        </w:rPr>
        <w:t>https://mp.weixin.qq.com/s/a6JqQepfMzhsum1iMBgzbw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十、【全球富豪迁徙潮加剧：2025年超14万千万富翁跨国转移财富】</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发布时间：2026-04-15 18:07:00</w:t>
      </w:r>
    </w:p>
    <w:p>
      <w:pPr>
        <w:spacing w:after="120"/>
        <w:jc w:val="both"/>
      </w:pPr>
      <w:r>
        <w:rPr>
          <w:rFonts w:ascii="微软雅黑" w:hAnsi="微软雅黑" w:eastAsia="微软雅黑"/>
          <w:sz w:val="21"/>
        </w:rPr>
        <w:t xml:space="preserve">         内容摘要：《2025年财富流动报告》显示，2025年全球有14.2万名可投资资产超过百万美元的千万富翁正在进行跨国迁移，这一数字预计在2026年将增长至16.5万。这股迁徙潮的核心驱动力是富豪群体对更优生活环境与财富管理地的追求。  他们正集中流向具备稳定政治环境、低税收制度、开放金融体系以及高效移民通道的国家和地区。这一趋势实质上是高净值人群在用脚投票，重新配置其全球资产与居住地。报告数据揭示了财富与人才在全球范围内加速流动的图景，其迁移选择深刻影响着目的地与流出地的经济与社会结构。</w:t>
      </w:r>
    </w:p>
    <w:p>
      <w:pPr>
        <w:spacing w:after="240"/>
      </w:pPr>
      <w:r>
        <w:rPr>
          <w:rFonts w:ascii="微软雅黑" w:hAnsi="微软雅黑" w:eastAsia="微软雅黑"/>
          <w:sz w:val="21"/>
        </w:rPr>
        <w:t xml:space="preserve">         文章链接：</w:t>
      </w:r>
      <w:r>
        <w:rPr>
          <w:color w:val="0000FF"/>
        </w:rPr>
        <w:t>http://mp.weixin.qq.com/s?__biz=MzYyMTU4OTg5Mg==&amp;mid=2247659630&amp;idx=2&amp;sn=5ec88ddbf221c0399d16a8e0f4293ddc&amp;chksm=fe2e8ff70d8bce8252883ff8e97cea8770f4220b2463417714840ca42a0008b15d116fab52af&amp;scene=0#rd</w:t>
      </w:r>
    </w:p>
    <w:p>
      <w:pPr>
        <w:spacing w:before="300" w:after="200"/>
      </w:pPr>
      <w:r>
        <w:rPr>
          <w:rFonts w:ascii="微软雅黑" w:hAnsi="微软雅黑" w:eastAsia="微软雅黑"/>
          <w:b/>
          <w:color w:val="000000"/>
          <w:sz w:val="32"/>
        </w:rPr>
        <w:br/>
        <w:t>【文化娱乐内容】</w:t>
      </w:r>
    </w:p>
    <w:p>
      <w:pPr>
        <w:spacing w:after="120"/>
      </w:pPr>
      <w:r>
        <w:rPr>
          <w:rFonts w:ascii="微软雅黑" w:hAnsi="微软雅黑" w:eastAsia="微软雅黑"/>
          <w:b/>
          <w:sz w:val="24"/>
        </w:rPr>
        <w:t>十一、【暴雪胜诉关停最大魔兽私服，最高4万在线“乌龟服”落幕】</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发布时间：2026-04-16 00:04:00</w:t>
      </w:r>
    </w:p>
    <w:p>
      <w:pPr>
        <w:spacing w:after="120"/>
        <w:jc w:val="both"/>
      </w:pPr>
      <w:r>
        <w:rPr>
          <w:rFonts w:ascii="微软雅黑" w:hAnsi="微软雅黑" w:eastAsia="微软雅黑"/>
          <w:sz w:val="21"/>
        </w:rPr>
        <w:t xml:space="preserve">         内容摘要：4月12日，魔兽世界最大私服“乌龟服”（Turtle WoW）宣布彻底关停。其关停直接原因是暴雪娱乐在去年提起的版权侵权诉讼中获胜，法院勒令该服务器停止运营。  “乌龟服”并非普通私服，它是《魔兽世界》历史上规模最大的私人服务器，巅峰时期同时在线玩家数量最高可达4万人。该服务器以其独特的游戏内容和怀旧体验吸引了大量玩家，形成了稳定的社区。此次关停标志着这一长期存在的非官方游戏平台的终结，也体现了暴雪对知识产权保护的强硬立场。私服运营方已遵照法律判决执行关停，相关玩家社区将随之解散。</w:t>
      </w:r>
    </w:p>
    <w:p>
      <w:pPr>
        <w:spacing w:after="240"/>
      </w:pPr>
      <w:r>
        <w:rPr>
          <w:rFonts w:ascii="微软雅黑" w:hAnsi="微软雅黑" w:eastAsia="微软雅黑"/>
          <w:sz w:val="21"/>
        </w:rPr>
        <w:t xml:space="preserve">         文章链接：</w:t>
      </w:r>
      <w:r>
        <w:rPr>
          <w:color w:val="0000FF"/>
        </w:rPr>
        <w:t>http://mp.weixin.qq.com/s?__biz=MzA5NDc1NzQ4MA==&amp;mid=2654653260&amp;idx=4&amp;sn=5c937d63eb6a47b759a657c5ae2ef102&amp;chksm=8a97ce15379558d1527c9fe20985ca362dc0537980b55ec09a093409ddf2b5681f3a9bd35efa&amp;scene=0#rd</w:t>
      </w:r>
    </w:p>
    <w:p>
      <w:pPr>
        <w:spacing w:before="300" w:after="200"/>
      </w:pPr>
      <w:r>
        <w:rPr>
          <w:rFonts w:ascii="微软雅黑" w:hAnsi="微软雅黑" w:eastAsia="微软雅黑"/>
          <w:b/>
          <w:color w:val="000000"/>
          <w:sz w:val="32"/>
        </w:rPr>
        <w:br/>
        <w:t>【科技产业与创新】</w:t>
      </w:r>
    </w:p>
    <w:p>
      <w:pPr>
        <w:spacing w:after="120"/>
      </w:pPr>
      <w:r>
        <w:rPr>
          <w:rFonts w:ascii="微软雅黑" w:hAnsi="微软雅黑" w:eastAsia="微软雅黑"/>
          <w:b/>
          <w:sz w:val="24"/>
        </w:rPr>
        <w:t>十二、【AI技能商店遇冷，创作者转向公众号与小红书谋生】</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发布时间：2026-04-15 22:11:00</w:t>
      </w:r>
    </w:p>
    <w:p>
      <w:pPr>
        <w:spacing w:after="120"/>
        <w:jc w:val="both"/>
      </w:pPr>
      <w:r>
        <w:rPr>
          <w:rFonts w:ascii="微软雅黑" w:hAnsi="微软雅黑" w:eastAsia="微软雅黑"/>
          <w:sz w:val="21"/>
        </w:rPr>
        <w:t xml:space="preserve">         内容摘要：OpenAI官方技能商店ClawHub中的AI技能（Skills）数量已突破5万个，覆盖内容创作、办公自动化等全场景。然而，大量技能开发者并未在此获得预期收益，官方商店的推荐机制和变现路径不清晰是主因。  这导致创作者转向微信公众号、小红书等内容平台。在这些平台上，他们通过发布AI使用教程、整合提示词或提供定制化服务来直接吸引用户，并建立了更有效的付费模式。例如，在小红书上，相关笔记数量激增，付费咨询和社群运营成为主要变现手段。这一迁移现象反映出，在AI工具普及的初期，中心化应用商店的生态赋能不足，而内容社区凭借其流量和信任机制，正成为AI技能实际交易和传播的主流市场。</w:t>
      </w:r>
    </w:p>
    <w:p>
      <w:pPr>
        <w:spacing w:after="240"/>
      </w:pPr>
      <w:r>
        <w:rPr>
          <w:rFonts w:ascii="微软雅黑" w:hAnsi="微软雅黑" w:eastAsia="微软雅黑"/>
          <w:sz w:val="21"/>
        </w:rPr>
        <w:t xml:space="preserve">         文章链接：</w:t>
      </w:r>
      <w:r>
        <w:rPr>
          <w:color w:val="0000FF"/>
        </w:rPr>
        <w:t>http://mp.weixin.qq.com/s?__biz=MTQzMjE1NjQwMQ==&amp;mid=2656165589&amp;idx=4&amp;sn=4d840651bb93eed71a9f82bfdef2f164&amp;chksm=678eb981f34e4e3bf72bb6913659d9d9d8a885958a8523fef609306f72ff4d15b559e4a10b54&amp;scene=0#rd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十三、【AI热潮催生PCB“黄金两年”，行业盛宴后或面临产能过剩危机】</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发布时间：2026-04-15 22:11:00</w:t>
      </w:r>
    </w:p>
    <w:p>
      <w:pPr>
        <w:spacing w:after="120"/>
        <w:jc w:val="both"/>
      </w:pPr>
      <w:r>
        <w:rPr>
          <w:rFonts w:ascii="微软雅黑" w:hAnsi="微软雅黑" w:eastAsia="微软雅黑"/>
          <w:sz w:val="21"/>
        </w:rPr>
        <w:t xml:space="preserve">         内容摘要：AI浪潮将PCB（印制电路板）推向了新的高度。过去一年，市场不再仅将其视为“电子工业的地基”，而是将其直接纳入AI基础设施的核心链条。英伟达新平台板层数持续增加，服务器、交换机、光模块及ASIC板卡等需求，共同推高了单机PCB的价值量。  行业普遍认为，由AI服务器带动的PCB升级红利期可能仅有两年。这主要源于产品迭代周期和产能扩张节奏。当前，高端PCB订单饱满，厂商纷纷扩产。但市场担忧，随着2025年更多新增产能释放，行业可能重蹈光伏、锂电等领域的覆辙，陷入产能过剩与价格战的困境。历史经验表明，当一个行业被资本和叙事过度追捧后，往往伴随剧烈的周期性波动。PCB产业正站在由AI需求驱动的短期繁荣与中长期供需失衡风险的十字路口。</w:t>
      </w:r>
    </w:p>
    <w:p>
      <w:pPr>
        <w:spacing w:after="240"/>
      </w:pPr>
      <w:r>
        <w:rPr>
          <w:rFonts w:ascii="微软雅黑" w:hAnsi="微软雅黑" w:eastAsia="微软雅黑"/>
          <w:sz w:val="21"/>
        </w:rPr>
        <w:t xml:space="preserve">         文章链接：</w:t>
      </w:r>
      <w:r>
        <w:rPr>
          <w:color w:val="0000FF"/>
        </w:rPr>
        <w:t>http://mp.weixin.qq.com/s?__biz=MTQzMjE1NjQwMQ==&amp;mid=2656165589&amp;idx=2&amp;sn=19230947f62d5edf457b1a97a2203219&amp;chksm=67bad179206312a0ee3c0d2dcd1fd77c5905c947c350d084c800a76e5ba516dda2e78375c1ee&amp;scene=0#rd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十四、【AI放大职场信任危机：三成员工蓄意破坏公司AI战略】</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发布时间：2026-04-15 20:00:00</w:t>
      </w:r>
    </w:p>
    <w:p>
      <w:pPr>
        <w:spacing w:after="120"/>
        <w:jc w:val="both"/>
      </w:pPr>
      <w:r>
        <w:rPr>
          <w:rFonts w:ascii="微软雅黑" w:hAnsi="微软雅黑" w:eastAsia="微软雅黑"/>
          <w:sz w:val="21"/>
        </w:rPr>
        <w:t xml:space="preserve">         内容摘要：2026年，AI在职场中的角色已从“效率工具”转变为“信任放大镜”，凸显并激化了公司内部矛盾。Workplace Intelligence与Writer的联合调研显示，在接受调查的2400名知识工作者中，高达30%的员工承认正在蓄意破坏公司的AI战略。这一现象在Z世代员工中尤为突出，比例更高。  调研背景源于AI应用的双刃剑效应。一方面，企业管理者开始利用AI进行岗位评估与裁员决策；另一方面，员工也借助AI技术反向“分析”或应对管理层，形成了一种新型的职场对抗。这种互不信任的循环，导致AI不仅未能提升协作效率，反而成为劳资关系紧张的催化剂。该报告揭示了技术深度嵌入工作流程后，若缺乏人文关怀与透明沟通，将可能引发广泛的消极抵触，最终损害企业长期发展的根基。</w:t>
      </w:r>
    </w:p>
    <w:p>
      <w:pPr>
        <w:spacing w:after="240"/>
      </w:pPr>
      <w:r>
        <w:rPr>
          <w:rFonts w:ascii="微软雅黑" w:hAnsi="微软雅黑" w:eastAsia="微软雅黑"/>
          <w:sz w:val="21"/>
        </w:rPr>
        <w:t xml:space="preserve">         文章链接：</w:t>
      </w:r>
      <w:r>
        <w:rPr>
          <w:color w:val="0000FF"/>
        </w:rPr>
        <w:t>http://mp.weixin.qq.com/s?__biz=MTQzMjE1NjQwMQ==&amp;mid=2656165421&amp;idx=1&amp;sn=5e6325abb611c0023c4ea806a1d80caf&amp;chksm=67dd84501cb2efd480bea296b37a1bc6b1e52eb1698286c935bda60269c9e63f9c5341fe5e79&amp;scene=0#rd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十五、【AI术语“Token”中文命名引争议，本土化翻译背后暗藏话语权之争】</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发布时间：2026-04-15 12:14:00</w:t>
      </w:r>
    </w:p>
    <w:p>
      <w:pPr>
        <w:spacing w:after="120"/>
        <w:jc w:val="both"/>
      </w:pPr>
      <w:r>
        <w:rPr>
          <w:rFonts w:ascii="微软雅黑" w:hAnsi="微软雅黑" w:eastAsia="微软雅黑"/>
          <w:sz w:val="21"/>
        </w:rPr>
        <w:t xml:space="preserve">         内容摘要：人民网近期公开为AI术语征集中文名称，尤其针对“Token”这一关键概念。其征集启事语气急切，指出直接使用英文术语“显得直白粗陋”，且不符合国家通用语言文字规范。目前，“Token”在中文社区尚无统一译名，常见选项包括“词元”、“代币”、“标记”等。  这一行动被视为对AI领域西方话语体系隐性霸权的直接回应。命名权是构建认知框架的基础，一个被广泛接受的中文名称不仅是语言规范问题，更关乎技术定义权、文化主导权和产业标准制定权。在AI高速发展的背景下，核心术语的命名将深远影响公众理解、政策制定乃至技术发展路径。此次征集反映出在关键科技领域建立本土化话语体系的紧迫性。</w:t>
      </w:r>
    </w:p>
    <w:p>
      <w:pPr>
        <w:spacing w:after="240"/>
      </w:pPr>
      <w:r>
        <w:rPr>
          <w:rFonts w:ascii="微软雅黑" w:hAnsi="微软雅黑" w:eastAsia="微软雅黑"/>
          <w:sz w:val="21"/>
        </w:rPr>
        <w:t xml:space="preserve">         文章链接：</w:t>
      </w:r>
      <w:r>
        <w:rPr>
          <w:color w:val="0000FF"/>
        </w:rPr>
        <w:t>http://mp.weixin.qq.com/s?__biz=MjM5MTU3Mzk2OA==&amp;mid=2654920239&amp;idx=1&amp;sn=a76810b85938d286d5cdb196ff43369a&amp;chksm=bc9192b37b89df8fd6bde810b3d61dd89381360d4a52eae6fd943f12b72745597c1aaae5262a&amp;scene=0#rd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十六、【中国新能源汽车出口暴增139.9%，全球市场成增长新引擎】</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发布时间：2026-04-16 07:00:00</w:t>
      </w:r>
    </w:p>
    <w:p>
      <w:pPr>
        <w:spacing w:after="120"/>
        <w:jc w:val="both"/>
      </w:pPr>
      <w:r>
        <w:rPr>
          <w:rFonts w:ascii="微软雅黑" w:hAnsi="微软雅黑" w:eastAsia="微软雅黑"/>
          <w:sz w:val="21"/>
        </w:rPr>
        <w:t xml:space="preserve">         内容摘要：尽管国内新能源汽车市场面临价格战、库存压力与利润压缩等挑战，但全球市场正成为强劲的增长动力。乘联会数据显示，3月中国汽车出口（含整车与CKD）达69.5万辆，同比增长39.4%；其中新能源汽车出口12.9万辆，同比激增139.9%。这一增速远超国内市场，表明海外需求正成为行业关键支撑。  分析指出，国内市场的悲观情绪主要源于竞争白热化与预期调整，而海外市场则处于渗透率快速提升的早期阶段。中国车企凭借产业链与产品力优势，在欧洲、东南亚等地区加速扩张。当前行业分化加剧，具备全球布局能力的车企将更受益于这轮结构性行情，真正的增长故事或许刚刚开始。</w:t>
      </w:r>
    </w:p>
    <w:p>
      <w:pPr>
        <w:spacing w:after="240"/>
      </w:pPr>
      <w:r>
        <w:rPr>
          <w:rFonts w:ascii="微软雅黑" w:hAnsi="微软雅黑" w:eastAsia="微软雅黑"/>
          <w:sz w:val="21"/>
        </w:rPr>
        <w:t xml:space="preserve">         文章链接：</w:t>
      </w:r>
      <w:r>
        <w:rPr>
          <w:color w:val="0000FF"/>
        </w:rPr>
        <w:t>http://mp.weixin.qq.com/s?__biz=MzIxNTIyNTExNQ==&amp;mid=2652209422&amp;idx=1&amp;sn=ff2d8f13a0d11975c0e6e78809f5839d&amp;chksm=8db1833054b88bc9349d075432e3a3e35d9ffc9745b52cce86fa2d8c519bf8e15c42a8c3b9b6&amp;scene=0#rd</w:t>
      </w:r>
    </w:p>
    <w:p>
      <w:pPr>
        <w:spacing w:before="300" w:after="200"/>
      </w:pPr>
      <w:r>
        <w:rPr>
          <w:rFonts w:ascii="微软雅黑" w:hAnsi="微软雅黑" w:eastAsia="微软雅黑"/>
          <w:b/>
          <w:color w:val="000000"/>
          <w:sz w:val="32"/>
        </w:rPr>
        <w:br/>
        <w:t>【医疗健康与生命科学】</w:t>
      </w:r>
    </w:p>
    <w:p>
      <w:pPr>
        <w:spacing w:after="120"/>
      </w:pPr>
      <w:r>
        <w:rPr>
          <w:rFonts w:ascii="微软雅黑" w:hAnsi="微软雅黑" w:eastAsia="微软雅黑"/>
          <w:b/>
          <w:sz w:val="24"/>
        </w:rPr>
        <w:t>十七、【2026公立医院薪酬改革启动，年薪制试点范围扩大】</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发布时间：2026-04-15 17:55:00</w:t>
      </w:r>
    </w:p>
    <w:p>
      <w:pPr>
        <w:spacing w:after="120"/>
        <w:jc w:val="both"/>
      </w:pPr>
      <w:r>
        <w:rPr>
          <w:rFonts w:ascii="微软雅黑" w:hAnsi="微软雅黑" w:eastAsia="微软雅黑"/>
          <w:sz w:val="21"/>
        </w:rPr>
        <w:t xml:space="preserve">         内容摘要：2026年初，公立医院薪酬制度改革新方案公布，核心是扩大年薪制试点范围。改革旨在建立更稳定、透明的薪酬体系，改变过去过度依赖绩效、夜班费等可变收入的模式。新方案将首先在部分三级医院和医联体内推行，医生年薪将由基本薪酬、岗位津贴和年度绩效三部分构成，与职称、年资、工作量和医院整体效益挂钩，但弱化与直接经济收入的联系。  此举是对医务人员长期反映收入结构不合理、工作压力大但实际获得感低的直接回应。改革试图通过年薪制保障医务人员基本收入，减少逐利动机，同时鼓励团队协作和提升医疗质量。业内专家指出，薪酬改革是公立医院综合改革的关键一环，其成功与否取决于财政投入、医院管理水平及配套考核机制的协同。预计到2028年，年薪制将在全国半数以上公立医院铺开。</w:t>
      </w:r>
    </w:p>
    <w:p>
      <w:pPr>
        <w:spacing w:after="240"/>
      </w:pPr>
      <w:r>
        <w:rPr>
          <w:rFonts w:ascii="微软雅黑" w:hAnsi="微软雅黑" w:eastAsia="微软雅黑"/>
          <w:sz w:val="21"/>
        </w:rPr>
        <w:t xml:space="preserve">         文章链接：</w:t>
      </w:r>
      <w:r>
        <w:rPr>
          <w:color w:val="0000FF"/>
        </w:rPr>
        <w:t>http://mp.weixin.qq.com/s?__biz=MzA5ODQ1NDIyMQ==&amp;mid=2649812986&amp;idx=4&amp;sn=46219b2f05297731a1abc98175ef3f6e&amp;chksm=899b462548d128cca3b8f30f166e87a6465d660f074da09e8c7b767e6e2c39db755f414e89f7&amp;scene=0#rd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十八、【中国创新药企集体“上岸”：超40家扭亏为盈，盈利成行业新标尺】</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发布时间：2026-04-15 04:08:09</w:t>
      </w:r>
    </w:p>
    <w:p>
      <w:pPr>
        <w:spacing w:after="120"/>
        <w:jc w:val="both"/>
      </w:pPr>
      <w:r>
        <w:rPr>
          <w:rFonts w:ascii="微软雅黑" w:hAnsi="微软雅黑" w:eastAsia="微软雅黑"/>
          <w:sz w:val="21"/>
        </w:rPr>
        <w:t xml:space="preserve">         内容摘要：2025年财报季显示，中国创新药行业迎来盈利拐点，超过40家上市医疗企业实现扭亏为盈，百济神州、信达生物等代表性企业首次实现全年盈利。行业核心价值标尺已从“管线故事”转向“盈利能力”。  企业盈利主要依赖两大引擎：BD（商务拓展）出海与核心产品放量。2025年中国创新药对外授权交易总金额超1300亿美元，创历史新高，且交易质量显著提升，如三生国健与辉瑞的一笔交易首付款达12.5亿美元。同时，泽布替尼等重磅单品在全球市场持续放量，为百济神州等公司提供了稳定现金流。  然而，持续盈利仍面临挑战。BD收入具有偶发性，百利天恒在获得巨额首付款盈利后次年即转亏。医保控费压力持续，神州细胞核心产品因多次降价导致由盈转亏。此外，单一产品依赖和商业化能力构建仍是诸多企业的生存考验。  行业投资逻辑已从早期的“估值套利”转向对“持续产出资产、临床转化效率和可持续造血能力”的考量。</w:t>
      </w:r>
    </w:p>
    <w:p>
      <w:pPr>
        <w:spacing w:after="240"/>
      </w:pPr>
      <w:r>
        <w:rPr>
          <w:rFonts w:ascii="微软雅黑" w:hAnsi="微软雅黑" w:eastAsia="微软雅黑"/>
          <w:sz w:val="21"/>
        </w:rPr>
        <w:t xml:space="preserve">         文章链接：</w:t>
      </w:r>
      <w:r>
        <w:rPr>
          <w:color w:val="0000FF"/>
        </w:rPr>
        <w:t>https://mp.weixin.qq.com/s/3P3kqlm8IEJjjkqqXVLq2A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十九、【国家卫健委发布15条防癌法则，首条“管住嘴”半数人未做到】</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发布时间：2026-04-15 19:24:00</w:t>
      </w:r>
    </w:p>
    <w:p>
      <w:pPr>
        <w:spacing w:after="120"/>
        <w:jc w:val="both"/>
      </w:pPr>
      <w:r>
        <w:rPr>
          <w:rFonts w:ascii="微软雅黑" w:hAnsi="微软雅黑" w:eastAsia="微软雅黑"/>
          <w:sz w:val="21"/>
        </w:rPr>
        <w:t xml:space="preserve">         内容摘要：国家卫生健康委近日正式发布《中国防癌健康生活方式守则（2026版）》，这份官方指南被视作一份科学、易懂、可操作的“防癌说明书”。守则共列出15条核心法则，全面覆盖饮食、运动、生活习惯及疫苗防护等关键领域。  其中第一条法则“管住嘴，保持健康体重”被重点强调。数据显示，有接近半数成年人未能达到这一基本要求，超重与肥胖问题普遍，成为重要的癌症风险因素。其余法则包括增加全谷物和蔬果摄入、限制加工肉和酒精、坚持每周体育锻炼、避免吸烟和二手烟、接种相关疫苗（如HPV疫苗）以及定期进行癌症筛查等。  该守则旨在通过可量化的具体行为指导，推动公众践行健康生活方式，以降低癌症发病风险。官方建议公众对照条款自查并付诸实践。</w:t>
      </w:r>
    </w:p>
    <w:p>
      <w:pPr>
        <w:spacing w:after="240"/>
      </w:pPr>
      <w:r>
        <w:rPr>
          <w:rFonts w:ascii="微软雅黑" w:hAnsi="微软雅黑" w:eastAsia="微软雅黑"/>
          <w:sz w:val="21"/>
        </w:rPr>
        <w:t xml:space="preserve">         文章链接：</w:t>
      </w:r>
      <w:r>
        <w:rPr>
          <w:color w:val="0000FF"/>
        </w:rPr>
        <w:t>http://mp.weixin.qq.com/s?__biz=MjM5MDc3NjQwMA==&amp;mid=2926938527&amp;idx=3&amp;sn=ccfc3fe29a7cc4366d51eab482c65b74&amp;chksm=8c73fa9eac1676cbe490519544c095812ddcd2f5099ab47c88ec84dec7047578d381183859ae&amp;scene=0#rd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二十、【慢阻肺急性加重处方不当或致呼吸衰竭，临床用药需循证审慎】</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发布时间：2026-04-15 19:24:00</w:t>
      </w:r>
    </w:p>
    <w:p>
      <w:pPr>
        <w:spacing w:after="120"/>
        <w:jc w:val="both"/>
      </w:pPr>
      <w:r>
        <w:rPr>
          <w:rFonts w:ascii="微软雅黑" w:hAnsi="微软雅黑" w:eastAsia="微软雅黑"/>
          <w:sz w:val="21"/>
        </w:rPr>
        <w:t xml:space="preserve">         内容摘要：慢阻肺急性加重期治疗中，不当处方可能加重患者呼吸衰竭风险。临床需严格遵循循证医学原则，避免不合理用药。例如，不恰当地使用高浓度氧疗可能导致二氧化碳潴留恶化；盲目或过度应用全身性糖皮质激素可能引发感染等并发症；而镇静药物的不当使用则会抑制呼吸驱动。这些常见处方误区直接关系到患者预后，甚至危及生命。该提醒主要面向医学专业人士，强调在临床决策时必须结合患者具体情况进行个体化评估，并参考最新指南。内容声明其力求专业可靠，但建议使用者采纳时自行核查。</w:t>
      </w:r>
    </w:p>
    <w:p>
      <w:pPr>
        <w:spacing w:after="240"/>
      </w:pPr>
      <w:r>
        <w:rPr>
          <w:rFonts w:ascii="微软雅黑" w:hAnsi="微软雅黑" w:eastAsia="微软雅黑"/>
          <w:sz w:val="21"/>
        </w:rPr>
        <w:t xml:space="preserve">         文章链接：</w:t>
      </w:r>
      <w:r>
        <w:rPr>
          <w:color w:val="0000FF"/>
        </w:rPr>
        <w:t>http://mp.weixin.qq.com/s?__biz=MjM5MDc3NjQwMA==&amp;mid=2926938527&amp;idx=4&amp;sn=be197000bd4e8a09e53848db568bb6b0&amp;chksm=8caaa714d67f76a598f5af46f0ce39988fb0b8bcc1d93738bc114b27d104a204157787b0421d&amp;scene=0#rd</w:t>
      </w:r>
    </w:p>
    <w:p>
      <w:pPr>
        <w:spacing w:before="300" w:after="200"/>
      </w:pPr>
      <w:r>
        <w:rPr>
          <w:rFonts w:ascii="微软雅黑" w:hAnsi="微软雅黑" w:eastAsia="微软雅黑"/>
          <w:b/>
          <w:color w:val="000000"/>
          <w:sz w:val="32"/>
        </w:rPr>
        <w:br/>
        <w:t>【教育发展与人才培养】</w:t>
      </w:r>
    </w:p>
    <w:p>
      <w:pPr>
        <w:spacing w:after="120"/>
      </w:pPr>
      <w:r>
        <w:rPr>
          <w:rFonts w:ascii="微软雅黑" w:hAnsi="微软雅黑" w:eastAsia="微软雅黑"/>
          <w:b/>
          <w:sz w:val="24"/>
        </w:rPr>
        <w:t>二十一、【山东高校招生计划向理工农医倾斜，严控大类招生规模】</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发布时间：2026-04-16 02:07:40</w:t>
      </w:r>
    </w:p>
    <w:p>
      <w:pPr>
        <w:spacing w:after="120"/>
        <w:jc w:val="both"/>
      </w:pPr>
      <w:r>
        <w:rPr>
          <w:rFonts w:ascii="微软雅黑" w:hAnsi="微软雅黑" w:eastAsia="微软雅黑"/>
          <w:sz w:val="21"/>
        </w:rPr>
        <w:t xml:space="preserve">         内容摘要：山东省教育厅近日发布《关于做好2026年普通高校招生工作的通知》，明确省属高校招生计划将向理工农医类专业倾斜，以服务国家战略和区域发展需要。通知同时要求积极争取跨省招生计划，并向山东省经济社会急需的专业领域投放。  通知强调，各高校必须使用教育部指定的系统编制招生计划，严格执行国家核准的招生规模，严禁无计划、超计划招生，严禁混淆学历与非学历教育进行欺诈招生，也严禁违规向学生作出承诺。在招生方式上，通知要求优化方案，原则上按专业开展招生，并严格控制大类招生的数量和规模。</w:t>
      </w:r>
    </w:p>
    <w:p>
      <w:pPr>
        <w:spacing w:after="240"/>
      </w:pPr>
      <w:r>
        <w:rPr>
          <w:rFonts w:ascii="微软雅黑" w:hAnsi="微软雅黑" w:eastAsia="微软雅黑"/>
          <w:sz w:val="21"/>
        </w:rPr>
        <w:t xml:space="preserve">         文章链接：</w:t>
      </w:r>
      <w:r>
        <w:rPr>
          <w:color w:val="0000FF"/>
        </w:rPr>
        <w:t>https://mp.weixin.qq.com/s/ysUc6YGyD2RD4E_rkMY6EA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二十二、【天津拟出新规保障民办高校教师权益，明确与公办学校同等地位】</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发布时间：2026-04-15 05:02:26</w:t>
      </w:r>
    </w:p>
    <w:p>
      <w:pPr>
        <w:spacing w:after="120"/>
        <w:jc w:val="both"/>
      </w:pPr>
      <w:r>
        <w:rPr>
          <w:rFonts w:ascii="微软雅黑" w:hAnsi="微软雅黑" w:eastAsia="微软雅黑"/>
          <w:sz w:val="21"/>
        </w:rPr>
        <w:t xml:space="preserve">         内容摘要：天津市教委4月13日发布《天津市民办教育促进条例（修订征求意见稿）》，向社会公开征求意见。该条例共7章53条，旨在明确民办教育的设立、组织、支持与监管等事项。  条例明确民办教育事业属于公益性事业，是社会主义教育事业的组成部分，民办学校与公办学校具有同等法律地位，本市保障其办学自主权及举办者、教职工和受教育者的合法权益。在教师权益方面，条例规定民办学校必须保障教职工按时足额取得劳动报酬、享受福利待遇、接受继续教育及申请科研课题，并按规定缴纳社会保险和住房公积金；有条件的学校还可为教职工缴纳补充养老保险和住房公积金。  此外，条例在支持与保障方面提出，民办学校享受国家规定的税收优惠政策。非营利性民办学校经认定后可免征非营利性收入的企业所得税。民办高校进口用于科研教学的用品，享受与公办高校同等的税收优惠。符合条件的民办高校还可依法申请学位授予权、科研项目及引进高层次人才的优惠政策。招生方面，民办学校不得委托中介或个人进行招生活动，招生简章内容须合法、真实且与备案一致。</w:t>
      </w:r>
    </w:p>
    <w:p>
      <w:pPr>
        <w:spacing w:after="240"/>
      </w:pPr>
      <w:r>
        <w:rPr>
          <w:rFonts w:ascii="微软雅黑" w:hAnsi="微软雅黑" w:eastAsia="微软雅黑"/>
          <w:sz w:val="21"/>
        </w:rPr>
        <w:t xml:space="preserve">         文章链接：</w:t>
      </w:r>
      <w:r>
        <w:rPr>
          <w:color w:val="0000FF"/>
        </w:rPr>
        <w:t>https://mp.weixin.qq.com/s/EVLQ4EjUrsXjLtkQ4-XTwQ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二十三、【高校辅导员陷“无限责任”困境，角色错位亟待纠偏】</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发布时间：2026-04-16 02:07:40</w:t>
      </w:r>
    </w:p>
    <w:p>
      <w:pPr>
        <w:spacing w:after="120"/>
        <w:jc w:val="both"/>
      </w:pPr>
      <w:r>
        <w:rPr>
          <w:rFonts w:ascii="微软雅黑" w:hAnsi="微软雅黑" w:eastAsia="微软雅黑"/>
          <w:sz w:val="21"/>
        </w:rPr>
        <w:t xml:space="preserve">         内容摘要：半月谈记者在多所高校走访发现，“担子重”“碎片化”成为辅导员工作的普遍标签。辅导员普遍反映“什么都要管”，工作边界模糊，陷入“无限责任、万能兜底”的境地。  深层原因在于考核体系错位。除了日常思政教育与管理工作，许多高校还将论文、课时、科研项目，甚至考研上线率、四六级通过率等硬性指标纳入辅导员考核范围。更沉重的压力来自“隐形责任”，学生安全如同悬顶之剑，任何问题都需辅导员第一时间介入。  这暴露出高校对辅导员角色定位存在偏差。按规定，其核心职责应围绕“思政育人”，但现实中常被视作“管家”或“服务员”。部分高校内部治理体系不完善，导致大量行政事务“下沉”至辅导员。  此外，辅导员队伍建设体系不完善、专业化程度不足也是关键因素。在一些“双非”院校，该岗位常被视为转教学岗或行政晋升的“跳板”，导致流动性大、职业认同感低。  专家指出，高校亟须为辅导员“兜底”：制定清晰的工作清单，剥离非核心杂务；同时完善职业发展通道，提升待遇与职业荣誉，使其真正回归“育人本位”，成为学生的引路人与知心朋友。</w:t>
      </w:r>
    </w:p>
    <w:p>
      <w:pPr>
        <w:spacing w:after="240"/>
      </w:pPr>
      <w:r>
        <w:rPr>
          <w:rFonts w:ascii="微软雅黑" w:hAnsi="微软雅黑" w:eastAsia="微软雅黑"/>
          <w:sz w:val="21"/>
        </w:rPr>
        <w:t xml:space="preserve">         文章链接：</w:t>
      </w:r>
      <w:r>
        <w:rPr>
          <w:color w:val="0000FF"/>
        </w:rPr>
        <w:t>https://mp.weixin.qq.com/s/RctxhnaJebHU2mJTgL_F1A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二十四、【中国工程院院士应汉杰加盟复旦药学院，曾为多种难治性疾病提供新干预方案】</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发布时间：2026-04-15 19:24:00</w:t>
      </w:r>
    </w:p>
    <w:p>
      <w:pPr>
        <w:spacing w:after="120"/>
        <w:jc w:val="both"/>
      </w:pPr>
      <w:r>
        <w:rPr>
          <w:rFonts w:ascii="微软雅黑" w:hAnsi="微软雅黑" w:eastAsia="微软雅黑"/>
          <w:sz w:val="21"/>
        </w:rPr>
        <w:t xml:space="preserve">         内容摘要：中国工程院院士、苏州大学原校长应汉杰已正式加盟复旦大学，担任复旦大学药学院教授、博士生导师。应汉杰1969年7月出生于浙江慈溪，其科研工作的核心突破在于创造了人类以往难以合成的健康调控新分子。这些成果为肿瘤、免疫低下、生殖障碍、睡眠障碍与焦虑症、老年痴呆等一系列难治性疾病，提供了全新的潜在干预与治疗方案。他的加盟预计将显著增强复旦大学在药学，尤其是创新药物研发领域的科研与教学实力。</w:t>
      </w:r>
    </w:p>
    <w:p>
      <w:pPr>
        <w:spacing w:after="240"/>
      </w:pPr>
      <w:r>
        <w:rPr>
          <w:rFonts w:ascii="微软雅黑" w:hAnsi="微软雅黑" w:eastAsia="微软雅黑"/>
          <w:sz w:val="21"/>
        </w:rPr>
        <w:t xml:space="preserve">         文章链接：</w:t>
      </w:r>
      <w:r>
        <w:rPr>
          <w:color w:val="0000FF"/>
        </w:rPr>
        <w:t>http://mp.weixin.qq.com/s?__biz=MjM5MDc3NjQwMA==&amp;mid=2926938527&amp;idx=1&amp;sn=680fcd7d5af5ee8a8a1a3c48031be045&amp;chksm=8c96dcfb6b3494380188bf7fdb3a46e959c8921ec73d3e408cc17741f3b74b4dec73245a3de9&amp;scene=0#rd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二十五、【高校专业调整绑定国家产业升级，22个重点领域成新设专业风向标】</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发布时间：2026-04-15 09:00:30</w:t>
      </w:r>
    </w:p>
    <w:p>
      <w:pPr>
        <w:spacing w:after="120"/>
        <w:jc w:val="both"/>
      </w:pPr>
      <w:r>
        <w:rPr>
          <w:rFonts w:ascii="微软雅黑" w:hAnsi="微软雅黑" w:eastAsia="微软雅黑"/>
          <w:sz w:val="21"/>
        </w:rPr>
        <w:t xml:space="preserve">         内容摘要：教育部明确要求高校根据产业结构智能升级新设专业，服务智能经济发展。这一导向在《“人工智能+教育”行动计划》中得到强化，专业设置需紧密对接国家产业需求。国务院办公厅此前发布的文件，系统梳理了5大场景、22类重点发展方向，为高校人才培养提供了清晰的“参考清单”。  自2023年学科专业调整优化改革方案出台以来，本科新增目录外专业已达74个，回应重点领域人才缺口。新专业紧密围绕22个应用场景设立，例如：在“新领域新赛道”中，聚焦数字经济、人工智能等领域，设立了数据科学、智能视觉工程、未来机器人、低空技术与工程等专业；针对“产业转型升级”，设立了工业软件、时空信息工程等专业；在“社会治理”与“民生领域”，则出现了智慧城市与空间规划、老年医学与健康、数字人文等交叉融合的新专业。这些变化反映出高校正主动适应新技术、新产业、新业态的发展趋势。</w:t>
      </w:r>
    </w:p>
    <w:p>
      <w:pPr>
        <w:spacing w:after="240"/>
      </w:pPr>
      <w:r>
        <w:rPr>
          <w:rFonts w:ascii="微软雅黑" w:hAnsi="微软雅黑" w:eastAsia="微软雅黑"/>
          <w:sz w:val="21"/>
        </w:rPr>
        <w:t xml:space="preserve">         文章链接：</w:t>
      </w:r>
      <w:r>
        <w:rPr>
          <w:color w:val="0000FF"/>
        </w:rPr>
        <w:t>https://mp.weixin.qq.com/s/bfB49R3r3njzY3a-kBU-gA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二十六、【高校学科调整陷“跟风”怪圈：专家警告非理性撤并专业危及教育本质】</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发布时间：2026-04-15 09:00:30</w:t>
      </w:r>
    </w:p>
    <w:p>
      <w:pPr>
        <w:spacing w:after="120"/>
        <w:jc w:val="both"/>
      </w:pPr>
      <w:r>
        <w:rPr>
          <w:rFonts w:ascii="微软雅黑" w:hAnsi="微软雅黑" w:eastAsia="微软雅黑"/>
          <w:sz w:val="21"/>
        </w:rPr>
        <w:t xml:space="preserve">         内容摘要：厦门大学教育研究院院长别敦荣指出，当前高校学科专业调整存在非理性倾向。部分高校一味迎合AI热潮改造或新设专业，或仅依据就业率、招生情况简单撤并专业，甚至受“重理轻文”观念影响削减文科。他认为这种急功近利的短视行为违背了学科调整应遵循的规律。  别敦荣强调，学科专业体系应根据高校自身使命与人才培养定位整体设计，形成相互支持的有机整体。高等教育的关键在于开发学生心智，培养其终身发展所需的适应力与核心能力，而非仅满足短期就业对口。他提醒高校需深入辨析专业问题的根源——是专业本身落后，还是教学条件、内容或方法不足，切忌盲目跟风调整。  数据显示，近两年高校新增本科专业点3715个，撤销停招6638个；高职新增1.2万个专业点，撤销8200余个。别敦荣分析，此轮调整既因扩招时期部分专业设置缺乏科学论证，也因人工智能革命催生对陈旧专业的升级需求。  面向未来，他提出高质量发展高等教育的两条路径：一是激发高校内在动力，按教育规律办学；二是扩大开放，通过国际交流培养学生的全球胜任力。</w:t>
      </w:r>
    </w:p>
    <w:p>
      <w:pPr>
        <w:spacing w:after="240"/>
      </w:pPr>
      <w:r>
        <w:rPr>
          <w:rFonts w:ascii="微软雅黑" w:hAnsi="微软雅黑" w:eastAsia="微软雅黑"/>
          <w:sz w:val="21"/>
        </w:rPr>
        <w:t xml:space="preserve">         文章链接：</w:t>
      </w:r>
      <w:r>
        <w:rPr>
          <w:color w:val="0000FF"/>
        </w:rPr>
        <w:t>https://mp.weixin.qq.com/s/fESMKppUqgUZgcHhUFbXaQ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二十七、【多所高校推“博士+硕士”双学位项目，被指恐加剧学历内卷】</w:t>
      </w:r>
    </w:p>
    <w:p>
      <w:pPr>
        <w:spacing w:after="120"/>
      </w:pPr>
      <w:r>
        <w:rPr>
          <w:rFonts w:ascii="微软雅黑" w:hAnsi="微软雅黑" w:eastAsia="微软雅黑"/>
          <w:sz w:val="21"/>
        </w:rPr>
        <w:t xml:space="preserve">         来源：四环青年</w:t>
      </w:r>
    </w:p>
    <w:p>
      <w:pPr>
        <w:spacing w:after="120"/>
      </w:pPr>
      <w:r>
        <w:rPr>
          <w:rFonts w:ascii="微软雅黑" w:hAnsi="微软雅黑" w:eastAsia="微软雅黑"/>
          <w:sz w:val="21"/>
        </w:rPr>
        <w:t xml:space="preserve">         发布时间：2026-04-15 16:33:00</w:t>
      </w:r>
    </w:p>
    <w:p>
      <w:pPr>
        <w:spacing w:after="120"/>
        <w:jc w:val="both"/>
      </w:pPr>
      <w:r>
        <w:rPr>
          <w:rFonts w:ascii="微软雅黑" w:hAnsi="微软雅黑" w:eastAsia="微软雅黑"/>
          <w:sz w:val="21"/>
        </w:rPr>
        <w:t xml:space="preserve">         内容摘要：近期，国内多所大学启动“博士+硕士”双学位项目，其中鼓励博士生攻读人工智能等相关专业的硕士项目较为普遍。该项目旨在培养复合型人才，但引发社会对学历“内卷”加剧的担忧。  批评者认为，大学在设置此类项目时必须谨慎，避免为“刷学历”提供新赛道，导致学生陷入“两头都不靠”的困境。若项目最终演变为单纯“为就业增加一个学位”的途径，将失去其培养初衷，导致人才评价标准混乱，项目本身也将面临失败风险。舆论指出，高等教育的创新应着眼于提升质量与核心能力，而非简单叠加学位，防止学历贬值与教育功利化倾向。</w:t>
      </w:r>
    </w:p>
    <w:p>
      <w:pPr>
        <w:spacing w:after="240"/>
      </w:pPr>
      <w:r>
        <w:rPr>
          <w:rFonts w:ascii="微软雅黑" w:hAnsi="微软雅黑" w:eastAsia="微软雅黑"/>
          <w:sz w:val="21"/>
        </w:rPr>
        <w:t xml:space="preserve">         文章链接：</w:t>
      </w:r>
      <w:r>
        <w:rPr>
          <w:color w:val="0000FF"/>
        </w:rPr>
        <w:t>http://mp.weixin.qq.com/s?__biz=MjM5OTAwODgyMA==&amp;mid=2650039460&amp;idx=3&amp;sn=4e314b33e6a5a7ef44cbcf0b790fd894&amp;chksm=bec2cbff89b542e931669b28a930ff29adca9e330f37ed762d883c565b2fa80fda3ad27527b1#rd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二十八、【辽宁省委书记与高校负责人谈话：推动高校“瘦身健体”，提升服务振兴能力】</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发布时间：2026-04-15 05:02:26</w:t>
      </w:r>
    </w:p>
    <w:p>
      <w:pPr>
        <w:spacing w:after="120"/>
        <w:jc w:val="both"/>
      </w:pPr>
      <w:r>
        <w:rPr>
          <w:rFonts w:ascii="微软雅黑" w:hAnsi="微软雅黑" w:eastAsia="微软雅黑"/>
          <w:sz w:val="21"/>
        </w:rPr>
        <w:t xml:space="preserve">         内容摘要：4月13日，辽宁省委书记许昆林与全省高校党委书记、校长集体谈话，强调高等教育高质量发展是辽宁“十五五”时期夯实基础、跟上国家步伐的关键一环。他要求高校坚持党的全面领导，落实立德树人根本任务，并以综合改革为动力，全面提升人才培养、科技创新、服务国家战略及维护校园安全稳定的能力。  谈话明确了多项具体举措。在育人方面，要求办好思政课，加大理工农医类人才培养，并确保助学贷款应贷尽贷，提升毕业生留辽就业质量。在改革方面，提出要推动高校“瘦身健体”以提高治理效能，深化人才体制改革以吸引高端人才。学科建设需对接辽宁“2211”产业体系，动态调整结构，并实施“种子学科”培育和新兴交叉学科孵化行动。科技创新要强化基础研究与关键技术攻关，推动科技成果转化，共建现代产业学院等平台。  此外，谈话还突出要抓好师德师风建设，为教师松绑减负；从严管党治校，排查债务问题，补齐校园建设短板，并全面筑牢校园安全防线。</w:t>
      </w:r>
    </w:p>
    <w:p>
      <w:pPr>
        <w:spacing w:after="240"/>
      </w:pPr>
      <w:r>
        <w:rPr>
          <w:rFonts w:ascii="微软雅黑" w:hAnsi="微软雅黑" w:eastAsia="微软雅黑"/>
          <w:sz w:val="21"/>
        </w:rPr>
        <w:t xml:space="preserve">         文章链接：</w:t>
      </w:r>
      <w:r>
        <w:rPr>
          <w:color w:val="0000FF"/>
        </w:rPr>
        <w:t>https://mp.weixin.qq.com/s/RPkREorqh07iwalVvG-fgw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二十九、【西安工程大学全面推广“订单班”培养，多措并举攻坚2026届毕业生就业】</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发布时间：2026-04-15 09:00:30</w:t>
      </w:r>
    </w:p>
    <w:p>
      <w:pPr>
        <w:spacing w:after="120"/>
        <w:jc w:val="both"/>
      </w:pPr>
      <w:r>
        <w:rPr>
          <w:rFonts w:ascii="微软雅黑" w:hAnsi="微软雅黑" w:eastAsia="微软雅黑"/>
          <w:sz w:val="21"/>
        </w:rPr>
        <w:t xml:space="preserve">         内容摘要：西安工程大学召开2026届毕业生就业工作会，部署系列措施以应对就业挑战。校长张晓晖要求杜绝“躺平”思想，对近三年停招专业的毕业生实行“包干到人”责任制，并全面推广“订单班”式培养，旨在实现从“能就业”到“好就业”的转变。学校将严格执行“就业周报”和“双后三”约谈制度进行督导考核。  校党委书记张志昌提出六项要求，包括主动拓展长三角、珠三角等沿海经济发达地区就业市场，力争推动千余名毕业生赴江浙沪中型城市高质量就业；以就业需求倒逼专业结构优化，对就业率偏低的专业及时调整；增设职业发展与就业能力教学模块；并对赴基层及重点行业就业的毕业生给予专项奖励。同时，学校将试点辅导员赴企业挂职，以提升就业指导实践能力。  副校长戴鸿要求各单位建立“一生一策”动态台账，组织精准专场招聘，并带着学生简历访企拓岗，强化签约转化，扎实推动2026届毕业生高质量就业。</w:t>
      </w:r>
    </w:p>
    <w:p>
      <w:pPr>
        <w:spacing w:after="240"/>
      </w:pPr>
      <w:r>
        <w:rPr>
          <w:rFonts w:ascii="微软雅黑" w:hAnsi="微软雅黑" w:eastAsia="微软雅黑"/>
          <w:sz w:val="21"/>
        </w:rPr>
        <w:t xml:space="preserve">         文章链接：</w:t>
      </w:r>
      <w:r>
        <w:rPr>
          <w:color w:val="0000FF"/>
        </w:rPr>
        <w:t>https://mp.weixin.qq.com/s/i_vf5DdhKeYnnHIOfRityQ</w:t>
      </w:r>
    </w:p>
    <w:p>
      <w:pPr>
        <w:spacing w:before="300" w:after="200"/>
      </w:pPr>
      <w:r>
        <w:rPr>
          <w:rFonts w:ascii="微软雅黑" w:hAnsi="微软雅黑" w:eastAsia="微软雅黑"/>
          <w:b/>
          <w:color w:val="000000"/>
          <w:sz w:val="32"/>
        </w:rPr>
        <w:br/>
        <w:t>【社会民生与消费】</w:t>
      </w:r>
    </w:p>
    <w:p>
      <w:pPr>
        <w:spacing w:after="120"/>
      </w:pPr>
      <w:r>
        <w:rPr>
          <w:rFonts w:ascii="微软雅黑" w:hAnsi="微软雅黑" w:eastAsia="微软雅黑"/>
          <w:b/>
          <w:sz w:val="24"/>
        </w:rPr>
        <w:t>三十、【深圳“打工人”规模首破千万，稳居全国第二】</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发布时间：2026-04-15 12:27:00</w:t>
      </w:r>
    </w:p>
    <w:p>
      <w:pPr>
        <w:spacing w:after="120"/>
        <w:jc w:val="both"/>
      </w:pPr>
      <w:r>
        <w:rPr>
          <w:rFonts w:ascii="微软雅黑" w:hAnsi="微软雅黑" w:eastAsia="微软雅黑"/>
          <w:sz w:val="21"/>
        </w:rPr>
        <w:t xml:space="preserve">         内容摘要：根据最新发布的第五次经济普查公报，全国就业人员（含个体户）超过千万的城市增至七个，依次为重庆、深圳、上海、北京、广州、成都和苏州。其中，深圳就业人口首次突破千万大关，达到约1082万人，超越上海和北京，位列全国第二，仅次于重庆。  深圳的就业人口占其常住人口比例高达61.7%，这一“打工人”占比在主要城市中遥遥领先，凸显其高度年轻化、就业导向型的人口结构。作为对比，北京和上海的就业人口占比均不足50%。庞大的就业规模是深圳经济活力的核心底牌，其第二产业就业人口高达399万，显著多于京沪，坚实的制造业基础构成了城市基本盘。同时，深圳的个体户数量也位居全国前列，反映出活跃的民营经济生态。在人口红利整体消退的背景下，持续吸引并承载巨量就业人口，是观察深圳未来竞争力的关键指标。</w:t>
      </w:r>
    </w:p>
    <w:p>
      <w:pPr>
        <w:spacing w:after="240"/>
      </w:pPr>
      <w:r>
        <w:rPr>
          <w:rFonts w:ascii="微软雅黑" w:hAnsi="微软雅黑" w:eastAsia="微软雅黑"/>
          <w:sz w:val="21"/>
        </w:rPr>
        <w:t xml:space="preserve">         文章链接：</w:t>
      </w:r>
      <w:r>
        <w:rPr>
          <w:color w:val="0000FF"/>
        </w:rPr>
        <w:t>http://mp.weixin.qq.com/s?__biz=MzI1MjcwNzExMg==&amp;mid=2247622571&amp;idx=1&amp;sn=64254a2b5710424f013ae915c36f8fad&amp;chksm=e84ccbc99ca6985a7f1cac3c4845b9056067ecb39f1ba42e4ea9159bf5fc608f9c05c563ec6f&amp;scene=0#rd</w:t>
      </w:r>
    </w:p>
    <w:p>
      <w:pPr>
        <w:spacing w:before="300" w:after="200"/>
      </w:pPr>
      <w:r>
        <w:rPr>
          <w:rFonts w:ascii="微软雅黑" w:hAnsi="微软雅黑" w:eastAsia="微软雅黑"/>
          <w:b/>
          <w:color w:val="000000"/>
          <w:sz w:val="32"/>
        </w:rPr>
        <w:br/>
        <w:t>【企业与商业】</w:t>
      </w:r>
    </w:p>
    <w:p>
      <w:pPr>
        <w:spacing w:after="120"/>
      </w:pPr>
      <w:r>
        <w:rPr>
          <w:rFonts w:ascii="微软雅黑" w:hAnsi="微软雅黑" w:eastAsia="微软雅黑"/>
          <w:b/>
          <w:sz w:val="24"/>
        </w:rPr>
        <w:t>三十一、【苹果高价囤积内存芯片，供应链策略或成安卓阵营新威胁】</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发布时间：2026-04-15 17:03:00</w:t>
      </w:r>
    </w:p>
    <w:p>
      <w:pPr>
        <w:spacing w:after="120"/>
        <w:jc w:val="both"/>
      </w:pPr>
      <w:r>
        <w:rPr>
          <w:rFonts w:ascii="微软雅黑" w:hAnsi="微软雅黑" w:eastAsia="微软雅黑"/>
          <w:sz w:val="21"/>
        </w:rPr>
        <w:t xml:space="preserve">         内容摘要：近期，手机行业出现一个反常现象：苹果正以高出市场价近两倍的价格，大规模采购和预订未来数年的内存芯片产能。这一动作直接导致全球DRAM和NAND闪存供应紧张，安卓手机厂商面临芯片短缺和成本飙升的双重压力。  行业分析指出，苹果凭借其巨大的采购量和财务实力，通过提前锁定上游供应链关键资源，构建了强大的竞争壁垒。此举被视作苹果在创新放缓后，转向利用供应链优势压制竞争对手的战略举措。内存是智能手机的核心部件，其成本与供应稳定性直接影响产品性能和定价。安卓阵营若无法有效应对，可能在未来的产品迭代与市场竞争中陷入被动。这一供应链层面的博弈，正成为影响全球手机市场格局的新变量。</w:t>
      </w:r>
    </w:p>
    <w:p>
      <w:pPr>
        <w:spacing w:after="240"/>
      </w:pPr>
      <w:r>
        <w:rPr>
          <w:rFonts w:ascii="微软雅黑" w:hAnsi="微软雅黑" w:eastAsia="微软雅黑"/>
          <w:sz w:val="21"/>
        </w:rPr>
        <w:t xml:space="preserve">         文章链接：</w:t>
      </w:r>
      <w:r>
        <w:rPr>
          <w:color w:val="0000FF"/>
        </w:rPr>
        <w:t>http://mp.weixin.qq.com/s?__biz=MzI5MDQxNzE1NQ==&amp;mid=2247515300&amp;idx=3&amp;sn=f1c0ec96320cb60270ac65b5f9f2a958&amp;chksm=edd02bf49bfbf5b809ccff99af8329c4711858b6f4fced0fc52571c39a003f5bdca8a8740220&amp;scene=0#rd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三十二、【星链成SpaceX利润支柱：去年贡献114亿美元营收，利润率达38%】</w:t>
      </w:r>
    </w:p>
    <w:p>
      <w:pPr>
        <w:spacing w:after="120"/>
      </w:pPr>
      <w:r>
        <w:rPr>
          <w:rFonts w:ascii="微软雅黑" w:hAnsi="微软雅黑" w:eastAsia="微软雅黑"/>
          <w:sz w:val="21"/>
        </w:rPr>
        <w:t xml:space="preserve">         来源：星海情报局</w:t>
      </w:r>
    </w:p>
    <w:p>
      <w:pPr>
        <w:spacing w:after="120"/>
      </w:pPr>
      <w:r>
        <w:rPr>
          <w:rFonts w:ascii="微软雅黑" w:hAnsi="微软雅黑" w:eastAsia="微软雅黑"/>
          <w:sz w:val="21"/>
        </w:rPr>
        <w:t xml:space="preserve">         发布时间：2026-04-15 17:03:00</w:t>
      </w:r>
    </w:p>
    <w:p>
      <w:pPr>
        <w:spacing w:after="120"/>
        <w:jc w:val="both"/>
      </w:pPr>
      <w:r>
        <w:rPr>
          <w:rFonts w:ascii="微软雅黑" w:hAnsi="微软雅黑" w:eastAsia="微软雅黑"/>
          <w:sz w:val="21"/>
        </w:rPr>
        <w:t xml:space="preserve">         内容摘要：据The Information报道，SpaceX在筹备IPO过程中流出了关键财务细节。2023年，公司总营收约187亿美元，其中星链业务独占114亿美元，远超火箭发射业务的41亿美元和今年新并入的xAI的32亿美元。在利润端，星链的贡献更为突出，其营业利润高达43亿美元，营业利润率约为38%，而火箭发射业务的营业利润仅为2亿美元。  报道指出，星链已成为SpaceX最主要的利润来源和增长引擎。其庞大的用户基础是核心优势，截至2024年5月，全球订阅用户已超过300万。该业务正从早期的巨额投入阶段进入规模化盈利阶段，其强劲的现金流有力支撑了马斯克旗下包括特斯拉、xAI在内的多个前沿科技公司的巨额资本开支。星链的成功商业化，证明了大规模卫星互联网服务的可行性与巨大市场潜力。</w:t>
      </w:r>
    </w:p>
    <w:p>
      <w:pPr>
        <w:spacing w:after="240"/>
      </w:pPr>
      <w:r>
        <w:rPr>
          <w:rFonts w:ascii="微软雅黑" w:hAnsi="微软雅黑" w:eastAsia="微软雅黑"/>
          <w:sz w:val="21"/>
        </w:rPr>
        <w:t xml:space="preserve">         文章链接：</w:t>
      </w:r>
      <w:r>
        <w:rPr>
          <w:color w:val="0000FF"/>
        </w:rPr>
        <w:t>http://mp.weixin.qq.com/s?__biz=MzI5MDQxNzE1NQ==&amp;mid=2247515300&amp;idx=2&amp;sn=e9bb4c941977698da4572f7fd13273df&amp;chksm=edc3d79cdec14454541f3bbfd58aedc83ae139f179c5f5aa7e8392018a1e2c11bd92bf068fe8&amp;scene=0#rd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三十三、【安徽“无中生有”进军商业航天，星图测控成北交所第一股】</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发布时间：2026-04-15 12:14:00</w:t>
      </w:r>
    </w:p>
    <w:p>
      <w:pPr>
        <w:spacing w:after="120"/>
        <w:jc w:val="both"/>
      </w:pPr>
      <w:r>
        <w:rPr>
          <w:rFonts w:ascii="微软雅黑" w:hAnsi="微软雅黑" w:eastAsia="微软雅黑"/>
          <w:sz w:val="21"/>
        </w:rPr>
        <w:t xml:space="preserve">         内容摘要：2025年初，合肥企业星图测控作为“北交所商业航天第一股”上市，股价飙升，标志着以汽车制造闻名的安徽省正式切入商业航天赛道。当前，北京、上海、西安、深圳等地已凭借深厚的院所和产业链基础，构筑了从火箭到卫星的制造壁垒。作为一个传统上缺乏航天根基的省份，安徽的入局引发了行业关注。其底气可能源于在新能源汽车、显示面板等高端制造领域积累的产业集群经验、政府的前瞻性产业投资策略，以及本地高校（如中国科学技术大学）的科研人才支撑。这场跨界竞争，考验的是地方将既有高端制造能力进行战略性迁移和整合的本事。</w:t>
      </w:r>
    </w:p>
    <w:p>
      <w:pPr>
        <w:spacing w:after="240"/>
      </w:pPr>
      <w:r>
        <w:rPr>
          <w:rFonts w:ascii="微软雅黑" w:hAnsi="微软雅黑" w:eastAsia="微软雅黑"/>
          <w:sz w:val="21"/>
        </w:rPr>
        <w:t xml:space="preserve">         文章链接：</w:t>
      </w:r>
      <w:r>
        <w:rPr>
          <w:color w:val="0000FF"/>
        </w:rPr>
        <w:t>http://mp.weixin.qq.com/s?__biz=MjM5MTU3Mzk2OA==&amp;mid=2654920239&amp;idx=2&amp;sn=4f665e537e5b723b7e883e1d546b0a9a&amp;chksm=bc6ac2b2186282e07e788241faf793775cc16da9d610fd6d4050ab9c7de3fa1e3a4cfdad8d69&amp;scene=0#rd</w:t>
      </w:r>
    </w:p>
    <w:p>
      <w:pPr>
        <w:spacing w:before="300" w:after="200"/>
      </w:pPr>
      <w:r>
        <w:rPr>
          <w:rFonts w:ascii="微软雅黑" w:hAnsi="微软雅黑" w:eastAsia="微软雅黑"/>
          <w:b/>
          <w:color w:val="000000"/>
          <w:sz w:val="32"/>
        </w:rPr>
        <w:br/>
        <w:t>【政策法规与监管】</w:t>
      </w:r>
    </w:p>
    <w:p>
      <w:pPr>
        <w:spacing w:after="120"/>
      </w:pPr>
      <w:r>
        <w:rPr>
          <w:rFonts w:ascii="微软雅黑" w:hAnsi="微软雅黑" w:eastAsia="微软雅黑"/>
          <w:b/>
          <w:sz w:val="24"/>
        </w:rPr>
        <w:t>三十四、【全国统一电力市场体系2026年启动，核心是效率与利益再平衡】</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发布时间：2026-04-15 15:38:00</w:t>
      </w:r>
    </w:p>
    <w:p>
      <w:pPr>
        <w:spacing w:after="120"/>
        <w:jc w:val="both"/>
      </w:pPr>
      <w:r>
        <w:rPr>
          <w:rFonts w:ascii="微软雅黑" w:hAnsi="微软雅黑" w:eastAsia="微软雅黑"/>
          <w:sz w:val="21"/>
        </w:rPr>
        <w:t xml:space="preserve">         内容摘要：2026年2月，国务院办公厅发布《关于完善全国统一电力市场体系的实施意见》，明确分阶段建成全国统一电力市场的目标。该体系旨在推动跨省跨区交易与省内市场更紧密衔接，其稳健推进的核心在于实现效率提升与各方利益重塑之间的双向平衡。这意味着电力资源配置将更大范围地突破行政壁垒，市场在电力消纳、价格形成中的作用将显著增强。这一过程涉及发电企业、电网公司、地方政府及终端用户等多方主体的深度调整，是一场复杂的政经博弈。市场体系的统一预计将优化能源布局，提升清洁能源消纳能力，但同时也将重构现有的省间壁垒和利益分配格局。</w:t>
      </w:r>
    </w:p>
    <w:p>
      <w:pPr>
        <w:spacing w:after="240"/>
      </w:pPr>
      <w:r>
        <w:rPr>
          <w:rFonts w:ascii="微软雅黑" w:hAnsi="微软雅黑" w:eastAsia="微软雅黑"/>
          <w:sz w:val="21"/>
        </w:rPr>
        <w:t xml:space="preserve">         文章链接：</w:t>
      </w:r>
      <w:r>
        <w:rPr>
          <w:color w:val="0000FF"/>
        </w:rPr>
        <w:t>http://mp.weixin.qq.com/s?__biz=MjM5ODk4MzU2Mg==&amp;mid=2654560807&amp;idx=1&amp;sn=8ea67ae4e788172d681c5b77c50c1104&amp;chksm=bcacc42ee540fd42ad03f9a9c3b424ebc44fc1e2f81765174db6da1d70ce41a08735881cfeb2&amp;scene=0#rd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三十五、【医保监管升级：全国110万家定点机构限期自查，12个重点科室全覆盖】</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发布时间：2026-04-16 02:56:52</w:t>
      </w:r>
    </w:p>
    <w:p>
      <w:pPr>
        <w:spacing w:after="120"/>
        <w:jc w:val="both"/>
      </w:pPr>
      <w:r>
        <w:rPr>
          <w:rFonts w:ascii="微软雅黑" w:hAnsi="微软雅黑" w:eastAsia="微软雅黑"/>
          <w:sz w:val="21"/>
        </w:rPr>
        <w:t xml:space="preserve">         内容摘要：国家医保局宣布，2026年定点医药机构违法违规使用医保基金自查自纠工作已在全国启动，要求所有机构在4月底前完成对2024-2025年医保基金使用情况的全面自查。这是该工作连续第三年推进，标志着监管模式从“外部严打”转向“内外联动”。  本次自查范围首次覆盖12个重点领域，新增口腔、内分泌、精神医学三大专科。口腔科因诊疗项目“高度个性化”，过度治疗、分解收费等问题频发；内分泌科涉及糖尿病等慢性病长期管理，易滋生过度检查；精神医学则因诊疗主观性强、标准模糊，成为监管难点。2025年，全国共检查定点医药机构12.47万家，追回医保基金342亿元。  自查工作分三步：各地已于3月底细化本地问题清单；4月底前，全国110万家定点医药机构需完成全面自查并退回违规基金；5月起，国家医保局将进行抽查复查，对敷衍、隐瞒的机构从重处理并曝光。监管手段持续升级，结合“驾照式”记分管理、大数据模型和药品追溯码，实现从“管机构”到“管个人”的穿透。2024年至2025年底，全国累计追回医保基金1387亿元。</w:t>
      </w:r>
    </w:p>
    <w:p>
      <w:pPr>
        <w:spacing w:after="240"/>
      </w:pPr>
      <w:r>
        <w:rPr>
          <w:rFonts w:ascii="微软雅黑" w:hAnsi="微软雅黑" w:eastAsia="微软雅黑"/>
          <w:sz w:val="21"/>
        </w:rPr>
        <w:t xml:space="preserve">         文章链接：</w:t>
      </w:r>
      <w:r>
        <w:rPr>
          <w:color w:val="0000FF"/>
        </w:rPr>
        <w:t>https://mp.weixin.qq.com/s/Elfr4SIuGQREXgHagigE6Q</w:t>
      </w:r>
    </w:p>
    <w:p>
      <w:pPr>
        <w:spacing w:before="300" w:after="200"/>
      </w:pPr>
      <w:r>
        <w:rPr>
          <w:rFonts w:ascii="微软雅黑" w:hAnsi="微软雅黑" w:eastAsia="微软雅黑"/>
          <w:b/>
          <w:color w:val="000000"/>
          <w:sz w:val="32"/>
        </w:rPr>
        <w:br/>
        <w:t>【社会热点与舆论动态】</w:t>
      </w:r>
    </w:p>
    <w:p>
      <w:pPr>
        <w:spacing w:after="120"/>
      </w:pPr>
      <w:r>
        <w:rPr>
          <w:rFonts w:ascii="微软雅黑" w:hAnsi="微软雅黑" w:eastAsia="微软雅黑"/>
          <w:b/>
          <w:sz w:val="24"/>
        </w:rPr>
        <w:t>三十六、【狂犬疫苗接种点周末“空转”，伤者奔波6小时暴露基层医疗漏洞】</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发布时间：2026-04-16 02:24:34</w:t>
      </w:r>
    </w:p>
    <w:p>
      <w:pPr>
        <w:spacing w:after="120"/>
        <w:jc w:val="both"/>
      </w:pPr>
      <w:r>
        <w:rPr>
          <w:rFonts w:ascii="微软雅黑" w:hAnsi="微软雅黑" w:eastAsia="微软雅黑"/>
          <w:sz w:val="21"/>
        </w:rPr>
        <w:t xml:space="preserve">         内容摘要：4月11日，山西运城周先生被狗咬伤后，前往官方指定的礼元镇卫生院接种疫苗，却发现大门紧锁。值班赵医生因回村帮忙办丧事不在岗，另一名值班医生因孩子生病身处外地。周先生转而前往五四一总医院，该院预防保健科医生却因周末上课不在岗，仅通过短信告知其“24小时内接种即可”，最终周先生在受伤6小时后才得以接种。  事件折射出基层医疗应急保障的缺失。涉事卫生院院长称周末本应可以接种，但两名值班医生同时因私离岗，且无备班人员。三乙医院五四一总医院的接种点，在周末也仅留电话，无法提供即时服务。狂犬病死亡率接近100%，伤者普遍寻求即时接种，而非等待24小时。  核心矛盾在于管理制度而非医生个人。医生处理私事可被理解，但接种点作为“底线保障”服务，应有AB角轮替等应急预案。基层卫生院常面临人手紧张、编制不足的困境，导致一人离岗即服务停摆。此次事件虽未造成严重后果，却暴露出若遇更紧急伤情，当前漏洞可能酿成更大风险。</w:t>
      </w:r>
    </w:p>
    <w:p>
      <w:pPr>
        <w:spacing w:after="240"/>
      </w:pPr>
      <w:r>
        <w:rPr>
          <w:rFonts w:ascii="微软雅黑" w:hAnsi="微软雅黑" w:eastAsia="微软雅黑"/>
          <w:sz w:val="21"/>
        </w:rPr>
        <w:t xml:space="preserve">         文章链接：</w:t>
      </w:r>
      <w:r>
        <w:rPr>
          <w:color w:val="0000FF"/>
        </w:rPr>
        <w:t>https://mp.weixin.qq.com/s/vUOo5dUb7cVWDdESYoRTVQ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三十七、【患者因胃镜被要求先做心电图而投诉，医患矛盾根源在于沟通缺位】</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发布时间：2026-04-16 02:24:34</w:t>
      </w:r>
    </w:p>
    <w:p>
      <w:pPr>
        <w:spacing w:after="120"/>
        <w:jc w:val="both"/>
      </w:pPr>
      <w:r>
        <w:rPr>
          <w:rFonts w:ascii="微软雅黑" w:hAnsi="微软雅黑" w:eastAsia="微软雅黑"/>
          <w:sz w:val="21"/>
        </w:rPr>
        <w:t xml:space="preserve">         内容摘要：一位市民预约胃镜时，被窗口工作人员告知需先做心电图，否则不予安排。询问原因时，仅得到“医院新规定”的简短回复，缺乏解释和文件依据。患者因此感到不满，最终拨打12345热线投诉。医院后续回应称，心电图检查是依据《内镜诊疗技术临床应用管理规范》进行的术前风险评估，旨在排查麻醉及操作中可能诱发的心律失常等风险，并就工作人员服务态度问题道歉。  此事引发公众争议。支持方认为这是必要的安全措施，因为无痛胃镜使用的静脉麻醉药物会影响心率和血压，胃镜操作本身也可能刺激诱发心脏问题，相关规定是基于既往医疗教训制定的安全底线。反对方则质疑其为“突然加项”，增加了费用和时间成本，且工作人员态度生硬，导致本意为安全着想的举措被误解为“医院刁难”或“过度医疗”。  分析指出，矛盾核心并非检查本身，而在于医患沟通的信息差。患者通常不了解无痛胃镜的风险及行业规范，仅直观感受到流程变化。窗口人员因工作繁忙，往往简化解释为“规定”，缺乏耐心和透明告知，将双方置于对立面。医患双方目标本一致——确保医疗安全，但沟通缺位与信息不透明导致了信任危机。解决之道在于医院加强事前告知，例如在预约页面或窗口明确说明检查原因、依据及作用，同时增进双方理解。</w:t>
      </w:r>
    </w:p>
    <w:p>
      <w:pPr>
        <w:spacing w:after="240"/>
      </w:pPr>
      <w:r>
        <w:rPr>
          <w:rFonts w:ascii="微软雅黑" w:hAnsi="微软雅黑" w:eastAsia="微软雅黑"/>
          <w:sz w:val="21"/>
        </w:rPr>
        <w:t xml:space="preserve">         文章链接：</w:t>
      </w:r>
      <w:r>
        <w:rPr>
          <w:color w:val="0000FF"/>
        </w:rPr>
        <w:t>https://mp.weixin.qq.com/s/KO0HKzq37DmkTyYDUEaOKA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三十八、【“教科书式老赖”案十年未结，司法执行最后一公里仍待打通】</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发布时间：2026-04-16 02:20:30</w:t>
      </w:r>
    </w:p>
    <w:p>
      <w:pPr>
        <w:spacing w:after="120"/>
        <w:jc w:val="both"/>
      </w:pPr>
      <w:r>
        <w:rPr>
          <w:rFonts w:ascii="微软雅黑" w:hAnsi="微软雅黑" w:eastAsia="微软雅黑"/>
          <w:sz w:val="21"/>
        </w:rPr>
        <w:t xml:space="preserve">         内容摘要：2015年，黄淑芬驾车撞倒赵勇父亲，致其最终不治。法院判决黄淑芬赔偿约93.6万元，但其采取“不垫付、不探望、不调解、没有钱”的态度，并转移财产至女儿名下。赵勇为追讨赔偿，历经超过30次判决裁定，耗费十年青春，家庭破碎、事业停滞。期间黄淑芬因交通肇事罪服刑8个月，但民事赔偿部分长期未履行。  截至2026年4月，黄淑芬仍有约69万元赔偿本金未支付，法院刚驳回其再审申请，赵勇的强制执行申请于同年2月立案。此案凸显“执行难”顽疾。尽管全国法院失信名单人数首次下降，但个案中，被执行人仍可通过转移财产、反复诉讼等手段长期拖延。法律界人士指出，拒执罪在实践中适用有限，导致违法成本低。  该案与“你法我笑”网络梗形成呼应，折射出部分基层法治观念薄弱及制度困境。最高检曾强调“不能让胜诉判决只是停留在纸面上的正义”，但赵勇的十年维权路表明，实现个案正义与制度进步之间仍有距离。</w:t>
      </w:r>
    </w:p>
    <w:p>
      <w:pPr>
        <w:spacing w:after="240"/>
      </w:pPr>
      <w:r>
        <w:rPr>
          <w:rFonts w:ascii="微软雅黑" w:hAnsi="微软雅黑" w:eastAsia="微软雅黑"/>
          <w:sz w:val="21"/>
        </w:rPr>
        <w:t xml:space="preserve">         文章链接：</w:t>
      </w:r>
      <w:r>
        <w:rPr>
          <w:color w:val="0000FF"/>
        </w:rPr>
        <w:t>https://mp.weixin.qq.com/s/AS7_rdX583rG_bObFgwNpw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三十九、【校园安全防线失守：教师猥亵与家长猝死事件暴露监管漏洞】</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发布时间：2026-04-16 00:00:00</w:t>
      </w:r>
    </w:p>
    <w:p>
      <w:pPr>
        <w:spacing w:after="120"/>
        <w:jc w:val="both"/>
      </w:pPr>
      <w:r>
        <w:rPr>
          <w:rFonts w:ascii="微软雅黑" w:hAnsi="微软雅黑" w:eastAsia="微软雅黑"/>
          <w:sz w:val="21"/>
        </w:rPr>
        <w:t xml:space="preserve">         内容摘要：河南光山县某高中54岁班主任刘某，以开具“病假条”方式将15岁住宿生带出学校并实施猥亵。警方最终仅对刘某处以行政拘留10日，教育部门将其调至后勤岗位。受害者出现严重心理创伤并曾服药中毒，但警方认定不构成刑事案件，理由包括“大腿腰部非敏感部位”等。司法解释明确规定利用教师身份侵害未成年人应从重处理。  云南曲靖一名家长因孩子长期遭校园欺凌，在校调解室情绪激动猝死。校方表示无责任，遗体至今未处理。同期，云南玉龙县有初三女生在宿舍遭5名舍友持续殴打致骨折，三个月内无老师发现。  数据显示超50%学生经历过校园霸凌，30%受害者选择沉默。评论呼吁严惩利用教师身份的犯罪者，建立全国教育行业黑名单，并对校园霸凌零容忍。专家指出，关键在落实制度监管、强化家校沟通与社会支持系统，让受害者敢于发声并能获得及时响应。</w:t>
      </w:r>
    </w:p>
    <w:p>
      <w:pPr>
        <w:spacing w:after="240"/>
      </w:pPr>
      <w:r>
        <w:rPr>
          <w:rFonts w:ascii="微软雅黑" w:hAnsi="微软雅黑" w:eastAsia="微软雅黑"/>
          <w:sz w:val="21"/>
        </w:rPr>
        <w:t xml:space="preserve">         文章链接：</w:t>
      </w:r>
      <w:r>
        <w:rPr>
          <w:color w:val="0000FF"/>
        </w:rPr>
        <w:t>https://mp.weixin.qq.com/s/7XVqBQuBj_oOa5_IxRKytw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四十、【虚构病例骗过AI与医学期刊，Nature介入揭露信任危机】</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发布时间：2026-04-16 07:50:00</w:t>
      </w:r>
    </w:p>
    <w:p>
      <w:pPr>
        <w:spacing w:after="120"/>
        <w:jc w:val="both"/>
      </w:pPr>
      <w:r>
        <w:rPr>
          <w:rFonts w:ascii="微软雅黑" w:hAnsi="微软雅黑" w:eastAsia="微软雅黑"/>
          <w:sz w:val="21"/>
        </w:rPr>
        <w:t xml:space="preserve">         内容摘要：一个完全虚构、充满破绽的假疾病病例，成功骗过了微软Copilot、谷歌Gemini等主流AI大模型。该虚假病例随后混入正规医学期刊，通过了同行评审并得以发表。直至《自然》杂志记者介入调查，该论文才被紧急撤稿。  这一事件暴露了AI在医疗领域应用中的重大安全漏洞。AI模型在缺乏严格事实核查机制的情况下，可能被蓄意构造的虚假信息所误导。更严重的是，这些由AI生成或验证的内容可能进一步渗透至学术出版等专业环节，引发连锁信任危机。当前，依赖AI进行信息处理和决策的多个关键领域，其可靠性正面临严峻挑战。</w:t>
      </w:r>
    </w:p>
    <w:p>
      <w:pPr>
        <w:spacing w:after="240"/>
      </w:pPr>
      <w:r>
        <w:rPr>
          <w:rFonts w:ascii="微软雅黑" w:hAnsi="微软雅黑" w:eastAsia="微软雅黑"/>
          <w:sz w:val="21"/>
        </w:rPr>
        <w:t xml:space="preserve">         文章链接：</w:t>
      </w:r>
      <w:r>
        <w:rPr>
          <w:color w:val="0000FF"/>
        </w:rPr>
        <w:t>http://mp.weixin.qq.com/s?__biz=MzI0Njc5ODM4MQ==&amp;mid=2247714030&amp;idx=5&amp;sn=bd408bf363c13af961030945b04f041f&amp;chksm=e8227b33a1a345e60afc6ab5dc3631ebf9988e5ef7e194d9bbfbe2e468e61b3b3b171ccde612&amp;scene=0#rd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四十一、【新生儿称重被秤砣砸伤，南京卫健委介入调查】</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发布时间：2026-04-16 07:50:00</w:t>
      </w:r>
    </w:p>
    <w:p>
      <w:pPr>
        <w:spacing w:after="120"/>
        <w:jc w:val="both"/>
      </w:pPr>
      <w:r>
        <w:rPr>
          <w:rFonts w:ascii="微软雅黑" w:hAnsi="微软雅黑" w:eastAsia="微软雅黑"/>
          <w:sz w:val="21"/>
        </w:rPr>
        <w:t xml:space="preserve">         内容摘要：4月12日下午，南京浦口区江浦街道社区卫生服务中心一名工作人员，上门为一名出生仅4天的女婴进行新生儿访视。在称重环节，工作人员使用老式杆秤，将包裹好的婴儿悬挂于秤钩上。过程中婴儿不慎从高处摔落，并被铁制秤砣砸中胸口。  事发后，婴儿家属于4月13日在社交媒体发帖反映此事，并附有现场视频。视频显示，事发时间为14点37分，操作发生在居民家中床上。目前，当地卫生健康委员会已介入事件调查。该事件引发公众对基层医疗机构新生儿访视服务规范性与安全性的关注。</w:t>
      </w:r>
    </w:p>
    <w:p>
      <w:pPr>
        <w:spacing w:after="240"/>
      </w:pPr>
      <w:r>
        <w:rPr>
          <w:rFonts w:ascii="微软雅黑" w:hAnsi="微软雅黑" w:eastAsia="微软雅黑"/>
          <w:sz w:val="21"/>
        </w:rPr>
        <w:t xml:space="preserve">         文章链接：</w:t>
      </w:r>
      <w:r>
        <w:rPr>
          <w:color w:val="0000FF"/>
        </w:rPr>
        <w:t>http://mp.weixin.qq.com/s?__biz=MzI0Njc5ODM4MQ==&amp;mid=2247714030&amp;idx=2&amp;sn=644ca4297e1d6122474e25d6ec2c020e&amp;chksm=e8e9b1c4ec9308c137cfb2a8699659f9bc106805f6dd39e0dc49b7b69b46793dba235909c00d&amp;scene=0#rd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四十二、【名人AI技能火爆网络，实际体验被指“水货”充斥】</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发布时间：2026-04-16 00:04:00</w:t>
      </w:r>
    </w:p>
    <w:p>
      <w:pPr>
        <w:spacing w:after="120"/>
        <w:jc w:val="both"/>
      </w:pPr>
      <w:r>
        <w:rPr>
          <w:rFonts w:ascii="微软雅黑" w:hAnsi="微软雅黑" w:eastAsia="微软雅黑"/>
          <w:sz w:val="21"/>
        </w:rPr>
        <w:t xml:space="preserve">         内容摘要：过去两周，各类名人AI技能在社交平台刷屏，用户可创建模仿同事、前任乃至乔布斯、张雪峰等公众人物的聊天机器人。其原理是将目标人物的聊天记录、文档等素材输入AI模型，以模仿其语言风格与思维模式。  然而，实际体验显示，多数产品效果远未达预期。用户反馈，这些AI常给出笼统、正确的废话，或出现事实性错误，例如模仿乔布斯的AI对苹果产品细节的表述不准确。业内人士指出，当前技术仅能模仿表面语言模式，无法复现深层的知识体系与决策逻辑。部分产品为快速上线，使用少量公开资料训练，导致输出质量低下。这一现象反映了AI应用在追求热点时的浮躁现状，市场亟待更扎实的技术与数据支撑。</w:t>
      </w:r>
    </w:p>
    <w:p>
      <w:pPr>
        <w:spacing w:after="240"/>
      </w:pPr>
      <w:r>
        <w:rPr>
          <w:rFonts w:ascii="微软雅黑" w:hAnsi="微软雅黑" w:eastAsia="微软雅黑"/>
          <w:sz w:val="21"/>
        </w:rPr>
        <w:t xml:space="preserve">         文章链接：</w:t>
      </w:r>
      <w:r>
        <w:rPr>
          <w:color w:val="0000FF"/>
        </w:rPr>
        <w:t>http://mp.weixin.qq.com/s?__biz=MzA5NDc1NzQ4MA==&amp;mid=2654653260&amp;idx=3&amp;sn=cd8683856e8b73ca706dbe3306a900c7&amp;chksm=8a9ec499939b1bd2c710a454353cbf0818975c77239d64aa324803c3a70c552a65fa28c34ff7&amp;scene=0#rd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四十三、【年销10亿“宋柚汁”被指柚含量不足3%，实为糖水饮料】</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发布时间：2026-04-16 00:00:00</w:t>
      </w:r>
    </w:p>
    <w:p>
      <w:pPr>
        <w:spacing w:after="120"/>
        <w:jc w:val="both"/>
      </w:pPr>
      <w:r>
        <w:rPr>
          <w:rFonts w:ascii="微软雅黑" w:hAnsi="微软雅黑" w:eastAsia="微软雅黑"/>
          <w:sz w:val="21"/>
        </w:rPr>
        <w:t xml:space="preserve">         内容摘要：一款名为“宋柚汁”的饮料凭借“全国销量连续多年第一”的宣传，年销售额突破10亿元，成为市场现象级单品。然而，据澎湃新闻报道，其光鲜数据背后存在成分尴尬：每瓶300克的饮料中，香柚和胡柚的添加量合计仅约8克，柚汁含量实际不到3%。产品主要成分实为糖水，与消费者对其“柚汁”品类的认知存在显著差距。该案例引发了市场对饮料产品标识真实性及宣传合规性的关注。</w:t>
      </w:r>
    </w:p>
    <w:p>
      <w:pPr>
        <w:spacing w:after="240"/>
      </w:pPr>
      <w:r>
        <w:rPr>
          <w:rFonts w:ascii="微软雅黑" w:hAnsi="微软雅黑" w:eastAsia="微软雅黑"/>
          <w:sz w:val="21"/>
        </w:rPr>
        <w:t xml:space="preserve">         文章链接：</w:t>
      </w:r>
      <w:r>
        <w:rPr>
          <w:color w:val="0000FF"/>
        </w:rPr>
        <w:t>http://mp.weixin.qq.com/s?__biz=MzA5ODU2MDIxMQ==&amp;mid=2653636416&amp;idx=4&amp;sn=e1f7dc27e7f3f1aaac797233638a8cc5&amp;chksm=8aae08effa4e45960b01e9d934555fe18698fc797f869f1bd65fedbc882c6a409a6a4c26b97a&amp;scene=0#rd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四十四、【河南一高中班主任猥亵学生被调岗后勤，官方处理遭“零容忍”质疑】</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发布时间：2026-04-16 00:00:00</w:t>
      </w:r>
    </w:p>
    <w:p>
      <w:pPr>
        <w:spacing w:after="120"/>
        <w:jc w:val="both"/>
      </w:pPr>
      <w:r>
        <w:rPr>
          <w:rFonts w:ascii="微软雅黑" w:hAnsi="微软雅黑" w:eastAsia="微软雅黑"/>
          <w:sz w:val="21"/>
        </w:rPr>
        <w:t xml:space="preserve">         内容摘要：2025年11月，河南光山县一名高中班主任伪造请假条，将一名15岁女生带离学校实施猥亵，导致该女生患上重度抑郁。2026年4月，光山县教育体育局对此事作出处理：对涉事教师刘某给予降级处分，并将其调离教学一线岗位，安排至原高中从事后勤工作。这一处理结果引发广泛争议，被指与教育部门一贯强调的对师德违规“零容忍”立场相悖。舆论质疑，将严重违纪违法的教师仅进行校内岗位调整，而未依法追究其法律责任并清除出教师队伍，此种处罚过轻，不仅难以起到惩戒作用，更无法有效保护学生安全与维护校园环境。事件折射出部分地方在处理教师性侵学生案件时，仍存在“护短”思维和处置不力的问题。</w:t>
      </w:r>
    </w:p>
    <w:p>
      <w:pPr>
        <w:spacing w:after="240"/>
      </w:pPr>
      <w:r>
        <w:rPr>
          <w:rFonts w:ascii="微软雅黑" w:hAnsi="微软雅黑" w:eastAsia="微软雅黑"/>
          <w:sz w:val="21"/>
        </w:rPr>
        <w:t xml:space="preserve">         文章链接：</w:t>
      </w:r>
      <w:r>
        <w:rPr>
          <w:color w:val="0000FF"/>
        </w:rPr>
        <w:t>http://mp.weixin.qq.com/s?__biz=MzA5ODU2MDIxMQ==&amp;mid=2653636416&amp;idx=3&amp;sn=a8b24a76cf78085250fad7c8fe28b1e0&amp;chksm=8a2b4c9f83c426a227d657a50129b3d31e053cad07dfd5057bf1b26d5a9f7ace893a252709ff&amp;scene=0#rd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四十五、【莫言余华接连辟谣“偷瓜”梗，网络杜撰为何深入人心？】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发布时间：2026-04-16 00:00:00</w:t>
      </w:r>
    </w:p>
    <w:p>
      <w:pPr>
        <w:spacing w:after="120"/>
        <w:jc w:val="both"/>
      </w:pPr>
      <w:r>
        <w:rPr>
          <w:rFonts w:ascii="微软雅黑" w:hAnsi="微软雅黑" w:eastAsia="微软雅黑"/>
          <w:sz w:val="21"/>
        </w:rPr>
        <w:t xml:space="preserve">         内容摘要：2025年11月，作家莫言率先回应网络流传的“偷瓜”故事，直言其为网友杜撰，并反问“即便去偷瓜……”以质疑其真实性。2026年4月14日，作家余华通过个人社交账号发布视频进一步澄清。他解释称，当年实为“摘瓜”而非“偷瓜”，同行者中并未包括作家史铁生，且摘瓜后还与史铁生分享。余华表示，之所以在叙述中使用“偷”字，是因为觉得这个词听起来“更勇敢”。这一先后辟谣事件，揭示了基于名人轶事改编的网络梗在传播过程中被不断丰富细节，甚至部分细节被广泛信以为真的现象。尽管当事人明确否认，但“偷瓜”梗因其戏剧性和符合公众对作家们幽默、不羁形象的想象，仍在网络语境中持续流传并固化。</w:t>
      </w:r>
    </w:p>
    <w:p>
      <w:pPr>
        <w:spacing w:after="240"/>
      </w:pPr>
      <w:r>
        <w:rPr>
          <w:rFonts w:ascii="微软雅黑" w:hAnsi="微软雅黑" w:eastAsia="微软雅黑"/>
          <w:sz w:val="21"/>
        </w:rPr>
        <w:t xml:space="preserve">         文章链接：</w:t>
      </w:r>
      <w:r>
        <w:rPr>
          <w:color w:val="0000FF"/>
        </w:rPr>
        <w:t>http://mp.weixin.qq.com/s?__biz=MzA5ODU2MDIxMQ==&amp;mid=2653636416&amp;idx=2&amp;sn=bb41632752e9b21e83f48c27b3885498&amp;chksm=8aeb0a4fb81f38e434855583d9aee3010b85b5d922f11b0bc77f3cd7ba4096857e8fd3b359d7&amp;scene=0#rd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四十六、【恒大创始人许家印当庭认罪，涉非法吸储等八项罪名】</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发布时间：2026-04-16 00:00:00</w:t>
      </w:r>
    </w:p>
    <w:p>
      <w:pPr>
        <w:spacing w:after="120"/>
        <w:jc w:val="both"/>
      </w:pPr>
      <w:r>
        <w:rPr>
          <w:rFonts w:ascii="微软雅黑" w:hAnsi="微软雅黑" w:eastAsia="微软雅黑"/>
          <w:sz w:val="21"/>
        </w:rPr>
        <w:t xml:space="preserve">         内容摘要：4月14日，恒大集团创始人许家印当庭对非法吸储、集资诈骗、违法放贷等八项指控表示认罪悔罪。这一认罪标志着其商业帝国的实质性落幕。  许家印曾是中国房地产行业的代表人物，其领导的恒大集团一度是全球负债最高的房地产企业。此次庭审确认了其多项金融违法行为，案件细节反映出其在公司运营中涉及的复杂金融操作。  舆论将其结局与历史剧《大明王朝1566》中角色沈一石的命运相类比，形容其庞大商业版图像“后院燃起的大火，灰飞烟灭”。市场观察人士认为，此案是中国加强对大型民营企业监管和风险处置的标志性事件之一，也可能影响后续类似企业债务重组与司法处理的走向。</w:t>
      </w:r>
    </w:p>
    <w:p>
      <w:pPr>
        <w:spacing w:after="240"/>
      </w:pPr>
      <w:r>
        <w:rPr>
          <w:rFonts w:ascii="微软雅黑" w:hAnsi="微软雅黑" w:eastAsia="微软雅黑"/>
          <w:sz w:val="21"/>
        </w:rPr>
        <w:t xml:space="preserve">         文章链接：</w:t>
      </w:r>
      <w:r>
        <w:rPr>
          <w:color w:val="0000FF"/>
        </w:rPr>
        <w:t>http://mp.weixin.qq.com/s?__biz=MzA3ODI5NDg0Mw==&amp;mid=2654254062&amp;idx=2&amp;sn=f39a2e7eada0b2ce435b1f7dbd80b110&amp;chksm=85c571aec3e839ab039a7ba72910a7d2506ada990a2ca507eac2c7865d281007352856559888&amp;scene=0#rd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四十七、【7亿农业实训基地变身酒店公寓，央视曝光山东莒南“挂羊头卖狗肉”项目】</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发布时间：2026-04-15 13:54:10</w:t>
      </w:r>
    </w:p>
    <w:p>
      <w:pPr>
        <w:spacing w:after="120"/>
        <w:jc w:val="both"/>
      </w:pPr>
      <w:r>
        <w:rPr>
          <w:rFonts w:ascii="微软雅黑" w:hAnsi="微软雅黑" w:eastAsia="微软雅黑"/>
          <w:sz w:val="21"/>
        </w:rPr>
        <w:t xml:space="preserve">         内容摘要：央视《焦点访谈》曝光山东莒南县一项总投资超7亿元的现代农业公共实训基地项目严重偏离初衷。该项目立项时规划建设农业技术、农机培训、种植养殖等实训设施，实际建成后却变为酒店、公寓、宴会厅和棋牌室等休闲娱乐场所，农业实训设施无一落地。  该项目中有3.68亿元资金来自政府专项债券，按规定应专款专用。2023年的第三方绩效评价报告已明确指出资金使用与可行性研究内容不符、农业实训基地未建设等问题，但当地财政部门以“细微变化、无需整改”为由未予处理。  项目现已成为当地财政的沉重包袱。其占地140亩，原预估年收益8000万元，实际收益连零头都无法实现，每年仅专项债利息就超过千万元。为维持运营，部分场地被租给党校或外包为酒店公寓，仍入不敷出。报道指出，从立项、规划到建设、验收，多个监管环节集体失守，问题根源在于一场明知故犯的集体欺骗，必须对主导项目篡改、违规举债及监管缺位的责任方一查到底。</w:t>
      </w:r>
    </w:p>
    <w:p>
      <w:pPr>
        <w:spacing w:after="240"/>
      </w:pPr>
      <w:r>
        <w:rPr>
          <w:rFonts w:ascii="微软雅黑" w:hAnsi="微软雅黑" w:eastAsia="微软雅黑"/>
          <w:sz w:val="21"/>
        </w:rPr>
        <w:t xml:space="preserve">         文章链接：</w:t>
      </w:r>
      <w:r>
        <w:rPr>
          <w:color w:val="0000FF"/>
        </w:rPr>
        <w:t>https://mp.weixin.qq.com/s/B9PryoGaCqxtPLd8j_pp3Q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四十八、【云南一银行招聘要求身高1.85米以上引争议，被指“萝卜坑”招聘后修改并道歉】</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发布时间：2026-04-15 13:00:00</w:t>
      </w:r>
    </w:p>
    <w:p>
      <w:pPr>
        <w:spacing w:after="120"/>
        <w:jc w:val="both"/>
      </w:pPr>
      <w:r>
        <w:rPr>
          <w:rFonts w:ascii="微软雅黑" w:hAnsi="微软雅黑" w:eastAsia="微软雅黑"/>
          <w:sz w:val="21"/>
        </w:rPr>
        <w:t xml:space="preserve">         内容摘要：云南省农村信用社联合社近日发布的校园招聘公告中，昆明官渡农村合作银行的一个岗位要求引发热议。该“营业网点员工03”岗位除要求硕士学历、28周岁以下外，还明确要求应聘者须持有国家二级及以上运动员证，并通过体能测试，且男性身高须达185cm以上，女性175cm以上。此条件被众多网友质疑为“萝卜坑”招聘，是为特定关系人量身定制，破坏了就业公平。  舆论普遍认为，作为省属国企，其招聘使用公共资源，应承担更高的公平性要求。迫于压力，该信用社已修改招聘条件并致歉。有分析指出，银行系统内部常举办体育比赛，定向招聘体育特长生在体制内并不罕见，此次招聘的22个名额中仅有4个属此类，与完全排他性的“萝卜坑”性质有所不同。但事件仍折射出公众对国企招聘程序规范与透明度的强烈关注。</w:t>
      </w:r>
    </w:p>
    <w:p>
      <w:pPr>
        <w:spacing w:after="240"/>
      </w:pPr>
      <w:r>
        <w:rPr>
          <w:rFonts w:ascii="微软雅黑" w:hAnsi="微软雅黑" w:eastAsia="微软雅黑"/>
          <w:sz w:val="21"/>
        </w:rPr>
        <w:t xml:space="preserve">         文章链接：</w:t>
      </w:r>
      <w:r>
        <w:rPr>
          <w:color w:val="0000FF"/>
        </w:rPr>
        <w:t>https://mp.weixin.qq.com/s/YHj3YolA3dhPGfKBHn8uYA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四十九、【金立创始人刘立荣现身印尼，曾因赌博巨亏致公司破产】</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发布时间：2026-04-15 18:25:00</w:t>
      </w:r>
    </w:p>
    <w:p>
      <w:pPr>
        <w:spacing w:after="120"/>
        <w:jc w:val="both"/>
      </w:pPr>
      <w:r>
        <w:rPr>
          <w:rFonts w:ascii="微软雅黑" w:hAnsi="微软雅黑" w:eastAsia="微软雅黑"/>
          <w:sz w:val="21"/>
        </w:rPr>
        <w:t xml:space="preserve">         内容摘要：消失八年后，金立手机创始人刘立荣近日在印度尼西亚公开露面。在一家印尼公司的开业仪式上，他身着当地传统服装，占据剪彩环节的中心位置，并在宴席中频繁应酬。此次现身引发外界对其“海外复出”的广泛猜测。  刘立荣最为人熟知的是其巨额赌博传闻。据公开报道，他曾在塞班岛一场牌局中输掉约7亿美元，这笔巨额资金被指与金立的资金漏洞直接相关。赌博丑闻与经营困境叠加，最终导致金立集团在2018年陷入资金链断裂，并走向破产清算。刘立荣本人此后长期销声匿迹。其此次在印尼高调现身，但具体涉及何种商业活动，目前尚未有明确信息。</w:t>
      </w:r>
    </w:p>
    <w:p>
      <w:pPr>
        <w:spacing w:after="240"/>
      </w:pPr>
      <w:r>
        <w:rPr>
          <w:rFonts w:ascii="微软雅黑" w:hAnsi="微软雅黑" w:eastAsia="微软雅黑"/>
          <w:sz w:val="21"/>
        </w:rPr>
        <w:t xml:space="preserve">         文章链接：</w:t>
      </w:r>
      <w:r>
        <w:rPr>
          <w:color w:val="0000FF"/>
        </w:rPr>
        <w:t>http://mp.weixin.qq.com/s?__biz=MjM5MDY5NjI2MQ==&amp;mid=2649852306&amp;idx=1&amp;sn=3f2d5421846bfe097edf3ad6fcd78913&amp;chksm=bf5670870bcac98b0f193f95ad31a14102f5ec93c1085ddf3772b40d664c2fbabd6760f203b2&amp;scene=0#rd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五十、【恒大许家印当庭认罪，万亿债务危机折射系统性风险】</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发布时间：2026-04-15 10:12:40</w:t>
      </w:r>
    </w:p>
    <w:p>
      <w:pPr>
        <w:spacing w:after="120"/>
        <w:jc w:val="both"/>
      </w:pPr>
      <w:r>
        <w:rPr>
          <w:rFonts w:ascii="微软雅黑" w:hAnsi="微软雅黑" w:eastAsia="微软雅黑"/>
          <w:sz w:val="21"/>
        </w:rPr>
        <w:t xml:space="preserve">         内容摘要：许家印在深圳中院法庭上对八项指控“认罪、悔罪”。法院认定其涉及非法吸收公众存款、职务侵占等罪名，恒大地产被罚41亿元，许家印个人被罚4700万元并被终身禁入证券市场。  案件背后是恒大集团超过2万亿元的债务黑洞，波及大量购房者、供应商和理财投资者。分析指出，许家印的个人罪行仅是表象，更深层的是系统性风险：过去多年“大而不倒”的信仰催生了道德风险，企业将风险外溢给社会；高杠杆、短债长投成为行业普遍模式；政商博弈与监管套利形成灰色地带；刚性兑付幻觉导致风险错配。  许家印曾凭借极致的高杠杆扩张成为首富，恒大跻身世界500强。但随着2019年后流动性危机爆发，其试图转移资产的行为被视作对“风险共担”社会契约的背叛。此案标志着一个以规模与速度为核心的狂热发展时代告终，其崩塌警示了系统性金融风险的巨大代价。</w:t>
      </w:r>
    </w:p>
    <w:p>
      <w:pPr>
        <w:spacing w:after="240"/>
      </w:pPr>
      <w:r>
        <w:rPr>
          <w:rFonts w:ascii="微软雅黑" w:hAnsi="微软雅黑" w:eastAsia="微软雅黑"/>
          <w:sz w:val="21"/>
        </w:rPr>
        <w:t xml:space="preserve">         文章链接：</w:t>
      </w:r>
      <w:r>
        <w:rPr>
          <w:color w:val="0000FF"/>
        </w:rPr>
        <w:t>https://mp.weixin.qq.com/s/L4vLdpaH1UH5Bn9yobaz8Q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五十一、【“熬到40岁当主任”成医界最大误解：仅2.4%医生能聘正高，多数人持续苦熬】</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发布时间：2026-04-15 09:05:00</w:t>
      </w:r>
    </w:p>
    <w:p>
      <w:pPr>
        <w:spacing w:after="120"/>
        <w:jc w:val="both"/>
      </w:pPr>
      <w:r>
        <w:rPr>
          <w:rFonts w:ascii="微软雅黑" w:hAnsi="微软雅黑" w:eastAsia="微软雅黑"/>
          <w:sz w:val="21"/>
        </w:rPr>
        <w:t xml:space="preserve">         内容摘要：一位医生在清明值班时，劝阻一位高三学生的学医意向，坦言“要考一辈子试，卷一辈子职称”。学生母亲却安慰道：“等你40岁升上主任就好了，现在辛苦都是暂时的。”这句善意安慰揭示了外界对医生职业路径的普遍误解。  现实数据残酷：根据2022年《卫生统计年鉴》，全国443万执业医师中，仅2.6%拥有正高资格，真正能聘上正高的只有2.4%，最终能成为主任医师的仅约10万人。40岁能在三甲医院当上副主任已是“人中龙凤”，绝大多数医生40岁仍在写病历、值夜班、还房贷。晋升需要课题、论文、人脉与运气，而非单纯熬年头。  医生职业并非“先苦后甜”。40岁后仍需值夜班、做手术，同时面临更大的科研压力与职称竞争。年轻医生跑腿，中年医生带队跑腿，高强度工作持续贯穿职业生涯。  这种误解既温暖又残忍：外界认为医生稳定、越老越值钱，但医生难以解释“可能永远熬不出头”的现实。若想安慰医生朋友，不如问一句“今天夜班忙不忙”，这比任何关于“熬出头”的安慰更实际。</w:t>
      </w:r>
    </w:p>
    <w:p>
      <w:pPr>
        <w:spacing w:after="240"/>
      </w:pPr>
      <w:r>
        <w:rPr>
          <w:rFonts w:ascii="微软雅黑" w:hAnsi="微软雅黑" w:eastAsia="微软雅黑"/>
          <w:sz w:val="21"/>
        </w:rPr>
        <w:t xml:space="preserve">         文章链接：</w:t>
      </w:r>
      <w:r>
        <w:rPr>
          <w:color w:val="0000FF"/>
        </w:rPr>
        <w:t>https://mp.weixin.qq.com/s/ERrrhvJiRrDRKL2IiSU4bQ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五十二、【河北盐山法院被曝拖欠加油站油费20年，媒体曝光后火速结清】</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发布时间：2026-04-15 05:39:15</w:t>
      </w:r>
    </w:p>
    <w:p>
      <w:pPr>
        <w:spacing w:after="120"/>
        <w:jc w:val="both"/>
      </w:pPr>
      <w:r>
        <w:rPr>
          <w:rFonts w:ascii="微软雅黑" w:hAnsi="微软雅黑" w:eastAsia="微软雅黑"/>
          <w:sz w:val="21"/>
        </w:rPr>
        <w:t xml:space="preserve">         内容摘要：河北沧州盐山县一家加油站被盐山县人民法院拖欠油费长达二十年。2004至2005年间，法院多辆公务车在该站定点加油，累计欠下6万余元，仅出具白条。经多年催讨未果，本息合计已滚至18万余元。当地其他欠款单位在纪委督办后均已还款，唯独法院欠款迟迟未结。  此事经媒体曝光后，4月13日，盐山县法院将全部欠款结清。法院作为司法机关，本应是守法守信的表率，但其长期拖欠合法债务的行为，直接损害了商户权益，也严重透支了司法公信力，引发公众对法律公平性的质疑。若普通民众欠债不还，将面临被列为失信被执行人等后果，但法院自身拖欠债务却长期无人追责，凸显了规则执行的双重标准。  评论指出，清理历史欠款不仅是经济问题，更是政治和信誉问题。必须杜绝“新官不理旧账”的陋习，建立健全清欠机制，以筑牢法治基石，维护营商环境与政府公信力。</w:t>
      </w:r>
    </w:p>
    <w:p>
      <w:pPr>
        <w:spacing w:after="240"/>
      </w:pPr>
      <w:r>
        <w:rPr>
          <w:rFonts w:ascii="微软雅黑" w:hAnsi="微软雅黑" w:eastAsia="微软雅黑"/>
          <w:sz w:val="21"/>
        </w:rPr>
        <w:t xml:space="preserve">         文章链接：</w:t>
      </w:r>
      <w:r>
        <w:rPr>
          <w:color w:val="0000FF"/>
        </w:rPr>
        <w:t>https://mp.weixin.qq.com/s/qEGdA9m79hS_rEs0CoJlZg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五十三、【扎克伯格打造AI分身引争议，数字来生权归属成焦点】</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发布时间：2026-04-15 12:25:00</w:t>
      </w:r>
    </w:p>
    <w:p>
      <w:pPr>
        <w:spacing w:after="120"/>
        <w:jc w:val="both"/>
      </w:pPr>
      <w:r>
        <w:rPr>
          <w:rFonts w:ascii="微软雅黑" w:hAnsi="微软雅黑" w:eastAsia="微软雅黑"/>
          <w:sz w:val="21"/>
        </w:rPr>
        <w:t xml:space="preserve">         内容摘要：2026年春季，两则关于数字分身的消息引发广泛讨论。Meta创始人马克·扎克伯格被曝正在亲自打造一个专属的CEO智能体，该AI分身能直接调取公司内部数据、代替他与员工互动。几乎同时，已故考研名师张雪峰的“数字分身”在未经其家人明确授权的情况下，被技术公司用于商业咨询，其家属对此提出强烈质疑。  这两起事件将“数字来生”的伦理与法律问题推向台前。核心争议在于：当一个人离世或仍在世时，谁有权决定其数字形象的创建与使用？是本人、亲属、雇主，还是数据持有方？目前法律对此存在真空。支持者认为数字分身是情感的延续与知识的传承，而反对者则担忧这可能导致人格权被侵犯、隐私遭滥用，甚至成为新的剥削形式。行业观察指出，随着AI技术成熟，此类冲突将日益增多，亟需建立明确的权利界定与使用规范。</w:t>
      </w:r>
    </w:p>
    <w:p>
      <w:pPr>
        <w:spacing w:after="240"/>
      </w:pPr>
      <w:r>
        <w:rPr>
          <w:rFonts w:ascii="微软雅黑" w:hAnsi="微软雅黑" w:eastAsia="微软雅黑"/>
          <w:sz w:val="21"/>
        </w:rPr>
        <w:t xml:space="preserve">         文章链接：</w:t>
      </w:r>
      <w:r>
        <w:rPr>
          <w:color w:val="0000FF"/>
        </w:rPr>
        <w:t>http://mp.weixin.qq.com/s?__biz=MjM5ODIzNTc2MA==&amp;mid=2661073150&amp;idx=2&amp;sn=4adad039cc5c08d9591244aac8efdedc&amp;chksm=bc488a6f6d25c6a56496f56e807a786834db187c045bbc135b5dd45aeb4d5e946dad8cbb18f6&amp;scene=0#rd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五十四、【献血十年享优待被拒引争议，制度“断头路”让一线医生成“夹心层”】</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发布时间：2026-04-15 04:08:09</w:t>
      </w:r>
    </w:p>
    <w:p>
      <w:pPr>
        <w:spacing w:after="120"/>
        <w:jc w:val="both"/>
      </w:pPr>
      <w:r>
        <w:rPr>
          <w:rFonts w:ascii="微软雅黑" w:hAnsi="微软雅黑" w:eastAsia="微软雅黑"/>
          <w:sz w:val="21"/>
        </w:rPr>
        <w:t xml:space="preserve">         内容摘要：一位献血十年、累计近4万毫升的市民，持“博爱卡”在县医院两次被拒免门诊诊查费，事件曝光后医院被批“冷漠”。当地卫健局随后通报，医院因未落实“三免”政策而道歉，分管领导被诫勉，涉事人员被问责。  舆论压力多指向一线医生，但核心问题在于政策落地环节存在“断头路”。医生可能根本不知道“博爱卡”可免诊查费的规定，医院系统也缺乏对应的免收选项和专门培训。医生每日接诊量巨大，在模糊的指引下，拒绝是按既有流程办事，答应则可能面临违规风险，成为制度不完善的“夹心层”。  真正的症结在于制度设计：政策出台后，缺乏配套的培训、系统标识和畅通的投诉渠道。事件形成了“患者被拒→上网曝光→处理医生”的闭环，最终代价往往由最底层的执行者承担。卫健局已承诺设立专门窗口、完善督查机制。分析指出，好政策不能仅依赖一线医生的“人情通融”，必须打通落地的“最后一公里”。</w:t>
      </w:r>
    </w:p>
    <w:p>
      <w:pPr>
        <w:spacing w:after="240"/>
      </w:pPr>
      <w:r>
        <w:rPr>
          <w:rFonts w:ascii="微软雅黑" w:hAnsi="微软雅黑" w:eastAsia="微软雅黑"/>
          <w:sz w:val="21"/>
        </w:rPr>
        <w:t xml:space="preserve">         文章链接：</w:t>
      </w:r>
      <w:r>
        <w:rPr>
          <w:color w:val="0000FF"/>
        </w:rPr>
        <w:t>https://mp.weixin.qq.com/s/XxxfhWBJ7iPqPpoBkPeM9g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